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Foreign Investor Ownership Decision Tree</w:t>
      </w:r>
    </w:p>
    <w:p>
      <w:r>
        <w:t xml:space="preserve">Date: 2026-06-03</w:t>
      </w:r>
    </w:p>
    <w:p>
      <w:r>
        <w:t xml:space="preserve">Purpose: Break out Phase 1, Step 2 from the setup plan: whether the non-U.S. investors should invest personally, through foreign companies, through trusts, or through newly formed holding companies.</w:t>
      </w:r>
    </w:p>
    <w:p>
      <w:r>
        <w:t xml:space="preserve">Updated facts from partners: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Fact</w:t>
            </w:r>
          </w:p>
        </w:tc>
        <w:tc>
          <w:tcPr>
            <w:tcW w:w="2400" w:type="dxa"/>
            <w:shd w:fill="EEF3F8"/>
          </w:tcPr>
          <w:p>
            <w:r>
              <w:t xml:space="preserve">Current Answer</w:t>
            </w:r>
          </w:p>
        </w:tc>
      </w:tr>
      <w:tr>
        <w:tc>
          <w:tcPr>
            <w:tcW w:w="2400" w:type="dxa"/>
          </w:tcPr>
          <w:p>
            <w:r>
              <w:t xml:space="preserve">Risk appetite</w:t>
            </w:r>
          </w:p>
        </w:tc>
        <w:tc>
          <w:tcPr>
            <w:tcW w:w="2400" w:type="dxa"/>
          </w:tcPr>
          <w:p>
            <w:r>
              <w:t xml:space="preserve">No high-risk strategies or workarounds</w:t>
            </w:r>
          </w:p>
        </w:tc>
      </w:tr>
      <w:tr>
        <w:tc>
          <w:tcPr>
            <w:tcW w:w="2400" w:type="dxa"/>
          </w:tcPr>
          <w:p>
            <w:r>
              <w:t xml:space="preserve">Foreign investors</w:t>
            </w:r>
          </w:p>
        </w:tc>
        <w:tc>
          <w:tcPr>
            <w:tcW w:w="2400" w:type="dxa"/>
          </w:tcPr>
          <w:p>
            <w:r>
              <w:t xml:space="preserve">U.K. national and Belgian national, both non-U.S. persons</w:t>
            </w:r>
          </w:p>
        </w:tc>
      </w:tr>
      <w:tr>
        <w:tc>
          <w:tcPr>
            <w:tcW w:w="2400" w:type="dxa"/>
          </w:tcPr>
          <w:p>
            <w:r>
              <w:t xml:space="preserve">Tax residence</w:t>
            </w:r>
          </w:p>
        </w:tc>
        <w:tc>
          <w:tcPr>
            <w:tcW w:w="2400" w:type="dxa"/>
          </w:tcPr>
          <w:p>
            <w:r>
              <w:t xml:space="preserve">Both foreign investors are UAE tax residents</w:t>
            </w:r>
          </w:p>
        </w:tc>
      </w:tr>
      <w:tr>
        <w:tc>
          <w:tcPr>
            <w:tcW w:w="2400" w:type="dxa"/>
          </w:tcPr>
          <w:p>
            <w:r>
              <w:t xml:space="preserve">U.S. treaty posture</w:t>
            </w:r>
          </w:p>
        </w:tc>
        <w:tc>
          <w:tcPr>
            <w:tcW w:w="2400" w:type="dxa"/>
          </w:tcPr>
          <w:p>
            <w:r>
              <w:t xml:space="preserve">No U.S.-UAE income tax treaty baseline</w:t>
            </w:r>
          </w:p>
        </w:tc>
      </w:tr>
      <w:tr>
        <w:tc>
          <w:tcPr>
            <w:tcW w:w="2400" w:type="dxa"/>
          </w:tcPr>
          <w:p>
            <w:r>
              <w:t xml:space="preserve">U.S. services</w:t>
            </w:r>
          </w:p>
        </w:tc>
        <w:tc>
          <w:tcPr>
            <w:tcW w:w="2400" w:type="dxa"/>
          </w:tcPr>
          <w:p>
            <w:r>
              <w:t xml:space="preserve">Foreign investors will not provide U.S.-based services; passive capital only</w:t>
            </w:r>
          </w:p>
        </w:tc>
      </w:tr>
      <w:tr>
        <w:tc>
          <w:tcPr>
            <w:tcW w:w="2400" w:type="dxa"/>
          </w:tcPr>
          <w:p>
            <w:r>
              <w:t xml:space="preserve">First operating state</w:t>
            </w:r>
          </w:p>
        </w:tc>
        <w:tc>
          <w:tcPr>
            <w:tcW w:w="2400" w:type="dxa"/>
          </w:tcPr>
          <w:p>
            <w:r>
              <w:t xml:space="preserve">Wisconsin</w:t>
            </w:r>
          </w:p>
        </w:tc>
      </w:tr>
      <w:tr>
        <w:tc>
          <w:tcPr>
            <w:tcW w:w="2400" w:type="dxa"/>
          </w:tcPr>
          <w:p>
            <w:r>
              <w:t xml:space="preserve">Desired economics</w:t>
            </w:r>
          </w:p>
        </w:tc>
        <w:tc>
          <w:tcPr>
            <w:tcW w:w="2400" w:type="dxa"/>
          </w:tcPr>
          <w:p>
            <w:r>
              <w:t xml:space="preserve">Foreign investors provide capital and require profit participation</w:t>
            </w:r>
          </w:p>
        </w:tc>
      </w:tr>
    </w:tbl>
    <w:p>
      <w:r>
        <w:t xml:space="preserve">Important correction: UAE residence usually means no UAE personal income tax, but the UAE now has a corporate tax regime. If a UAE company is used as a holding company, UAE corporate tax, free zone status, participation exemptions, substance, accounting, and registration must be reviewed by UAE counsel.</w:t>
      </w:r>
    </w:p>
    <w:p>
      <w:pPr>
        <w:pStyle w:val="Heading1"/>
      </w:pPr>
      <w:r>
        <w:t xml:space="preserve">Executive Recommendation</w:t>
      </w:r>
    </w:p>
    <w:p>
      <w:r>
        <w:t xml:space="preserve">Given the updated facts and the instruction to avoid high-risk strategies, the most conservative structure to evaluate first is: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Layer</w:t>
            </w:r>
          </w:p>
        </w:tc>
        <w:tc>
          <w:tcPr>
            <w:tcW w:w="2400" w:type="dxa"/>
            <w:shd w:fill="EEF3F8"/>
          </w:tcPr>
          <w:p>
            <w:r>
              <w:t xml:space="preserve">Recommended Conservative Path</w:t>
            </w:r>
          </w:p>
        </w:tc>
      </w:tr>
      <w:tr>
        <w:tc>
          <w:tcPr>
            <w:tcW w:w="2400" w:type="dxa"/>
          </w:tcPr>
          <w:p>
            <w:r>
              <w:t xml:space="preserve">U.S. business</w:t>
            </w:r>
          </w:p>
        </w:tc>
        <w:tc>
          <w:tcPr>
            <w:tcW w:w="2400" w:type="dxa"/>
          </w:tcPr>
          <w:p>
            <w:r>
              <w:t xml:space="preserve">U.S. C corporation blocker</w:t>
            </w:r>
          </w:p>
        </w:tc>
      </w:tr>
      <w:tr>
        <w:tc>
          <w:tcPr>
            <w:tcW w:w="2400" w:type="dxa"/>
          </w:tcPr>
          <w:p>
            <w:r>
              <w:t xml:space="preserve">Wisconsin activity</w:t>
            </w:r>
          </w:p>
        </w:tc>
        <w:tc>
          <w:tcPr>
            <w:tcW w:w="2400" w:type="dxa"/>
          </w:tcPr>
          <w:p>
            <w:r>
              <w:t xml:space="preserve">Wisconsin registration and/or Wisconsin title LLCs owned by the U.S. C corporation</w:t>
            </w:r>
          </w:p>
        </w:tc>
      </w:tr>
      <w:tr>
        <w:tc>
          <w:tcPr>
            <w:tcW w:w="2400" w:type="dxa"/>
          </w:tcPr>
          <w:p>
            <w:r>
              <w:t xml:space="preserve">Foreign investors</w:t>
            </w:r>
          </w:p>
        </w:tc>
        <w:tc>
          <w:tcPr>
            <w:tcW w:w="2400" w:type="dxa"/>
          </w:tcPr>
          <w:p>
            <w:r>
              <w:t xml:space="preserve">Each foreign investor uses a separate non-U.S. holding company, likely UAE or another counsel-approved foreign jurisdiction</w:t>
            </w:r>
          </w:p>
        </w:tc>
      </w:tr>
      <w:tr>
        <w:tc>
          <w:tcPr>
            <w:tcW w:w="2400" w:type="dxa"/>
          </w:tcPr>
          <w:p>
            <w:r>
              <w:t xml:space="preserve">Foreign investor role</w:t>
            </w:r>
          </w:p>
        </w:tc>
        <w:tc>
          <w:tcPr>
            <w:tcW w:w="2400" w:type="dxa"/>
          </w:tcPr>
          <w:p>
            <w:r>
              <w:t xml:space="preserve">Passive capital investor only</w:t>
            </w:r>
          </w:p>
        </w:tc>
      </w:tr>
      <w:tr>
        <w:tc>
          <w:tcPr>
            <w:tcW w:w="2400" w:type="dxa"/>
          </w:tcPr>
          <w:p>
            <w:r>
              <w:t xml:space="preserve">Profit return</w:t>
            </w:r>
          </w:p>
        </w:tc>
        <w:tc>
          <w:tcPr>
            <w:tcW w:w="2400" w:type="dxa"/>
          </w:tcPr>
          <w:p>
            <w:r>
              <w:t xml:space="preserve">Dividends or preferred equity return after U.S. corporate tax, with U.S. withholding handled cleanly</w:t>
            </w:r>
          </w:p>
        </w:tc>
      </w:tr>
      <w:tr>
        <w:tc>
          <w:tcPr>
            <w:tcW w:w="2400" w:type="dxa"/>
          </w:tcPr>
          <w:p>
            <w:r>
              <w:t xml:space="preserve">Debt</w:t>
            </w:r>
          </w:p>
        </w:tc>
        <w:tc>
          <w:tcPr>
            <w:tcW w:w="2400" w:type="dxa"/>
          </w:tcPr>
          <w:p>
            <w:r>
              <w:t xml:space="preserve">Avoid aggressive shareholder debt as the main strategy; use only if tax counsel signs off</w:t>
            </w:r>
          </w:p>
        </w:tc>
      </w:tr>
      <w:tr>
        <w:tc>
          <w:tcPr>
            <w:tcW w:w="2400" w:type="dxa"/>
          </w:tcPr>
          <w:p>
            <w:r>
              <w:t xml:space="preserve">Treaty planning</w:t>
            </w:r>
          </w:p>
        </w:tc>
        <w:tc>
          <w:tcPr>
            <w:tcW w:w="2400" w:type="dxa"/>
          </w:tcPr>
          <w:p>
            <w:r>
              <w:t xml:space="preserve">Do not assume U.K. or Belgium treaty benefits if both investors are UAE tax residents</w:t>
            </w:r>
          </w:p>
        </w:tc>
      </w:tr>
      <w:tr>
        <w:tc>
          <w:tcPr>
            <w:tcW w:w="2400" w:type="dxa"/>
          </w:tcPr>
          <w:p>
            <w:r>
              <w:t xml:space="preserve">Estate tax</w:t>
            </w:r>
          </w:p>
        </w:tc>
        <w:tc>
          <w:tcPr>
            <w:tcW w:w="2400" w:type="dxa"/>
          </w:tcPr>
          <w:p>
            <w:r>
              <w:t xml:space="preserve">Avoid direct NRA ownership of U.S. corporation shares unless estate counsel approves it</w:t>
            </w:r>
          </w:p>
        </w:tc>
      </w:tr>
    </w:tbl>
    <w:p>
      <w:r>
        <w:t xml:space="preserve">Plain-English answer: if the foreign investors are UAE tax residents and want a low-risk structure, direct personal ownership of U.S. corporation shares is probably not the best starting point because of U.S. estate tax exposure. Aggressive shareholder-note planning is also not the best fit because there is no U.S.-UAE treaty and the partners want low risk. The cleaner route is to use a foreign holding company layer for each foreign investor, accept that U.S. withholding may be part of the cost, and focus on proper documentation, banking, and compliance.</w:t>
      </w:r>
    </w:p>
    <w:p>
      <w:pPr>
        <w:pStyle w:val="Heading1"/>
      </w:pPr>
      <w:r>
        <w:t xml:space="preserve">Decision Tree</w:t>
      </w:r>
    </w:p>
    <w:p>
      <w:pPr>
        <w:pStyle w:val="Heading2"/>
      </w:pPr>
      <w:r>
        <w:t xml:space="preserve">Step 1 - Are the foreign investors truly UAE tax residents?</w:t>
      </w:r>
    </w:p>
    <w:p>
      <w:r>
        <w:t xml:space="preserve">If yes:</w:t>
      </w:r>
    </w:p>
    <w:p>
      <w:r>
        <w:t xml:space="preserve">Proceed using UAE residence as the treaty fact pattern. Do not claim U.K. or Belgium treaty benefits unless a tax advisor confirms dual residence or treaty residence under those countries.</w:t>
      </w:r>
    </w:p>
    <w:p>
      <w:r>
        <w:t xml:space="preserve">If no or uncertain:</w:t>
      </w:r>
    </w:p>
    <w:p>
      <w:r>
        <w:t xml:space="preserve">Pause. Get tax residence certificates or written advisor confirmation before choosing the structure.</w:t>
      </w:r>
    </w:p>
    <w:p>
      <w:r>
        <w:t xml:space="preserve">Advisor review:</w:t>
      </w:r>
    </w:p>
    <w:p>
      <w:r>
        <w:t xml:space="preserve">UAE tax advisor, U.K. advisor, Belgian advisor, and U.S. international tax counsel.</w:t>
      </w:r>
    </w:p>
    <w:p>
      <w:pPr>
        <w:pStyle w:val="Heading2"/>
      </w:pPr>
      <w:r>
        <w:t xml:space="preserve">Step 2 - Will the foreign investors perform U.S.-based services?</w:t>
      </w:r>
    </w:p>
    <w:p>
      <w:r>
        <w:t xml:space="preserve">Current answer: no.</w:t>
      </w:r>
    </w:p>
    <w:p>
      <w:r>
        <w:t xml:space="preserve">Result:</w:t>
      </w:r>
    </w:p>
    <w:p>
      <w:r>
        <w:t xml:space="preserve">This is good. Keep them as passive capital providers. Do not have them negotiate U.S. deals, supervise renovations in the U.S., sign U.S. property contracts while physically in the U.S., or earn U.S. service fees unless immigration and tax counsel approve.</w:t>
      </w:r>
    </w:p>
    <w:p>
      <w:r>
        <w:t xml:space="preserve">Why:</w:t>
      </w:r>
    </w:p>
    <w:p>
      <w:r>
        <w:t xml:space="preserve">Passive investors are easier to keep out of individual U.S. trade-or-business filing exposure.</w:t>
      </w:r>
    </w:p>
    <w:p>
      <w:pPr>
        <w:pStyle w:val="Heading2"/>
      </w:pPr>
      <w:r>
        <w:t xml:space="preserve">Step 3 - Should they own the U.S. C corporation directly?</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Option</w:t>
            </w:r>
          </w:p>
        </w:tc>
        <w:tc>
          <w:tcPr>
            <w:tcW w:w="2400" w:type="dxa"/>
            <w:shd w:fill="EEF3F8"/>
          </w:tcPr>
          <w:p>
            <w:r>
              <w:t xml:space="preserve">Result</w:t>
            </w:r>
          </w:p>
        </w:tc>
      </w:tr>
      <w:tr>
        <w:tc>
          <w:tcPr>
            <w:tcW w:w="2400" w:type="dxa"/>
          </w:tcPr>
          <w:p>
            <w:r>
              <w:t xml:space="preserve">Direct individual ownership</w:t>
            </w:r>
          </w:p>
        </w:tc>
        <w:tc>
          <w:tcPr>
            <w:tcW w:w="2400" w:type="dxa"/>
          </w:tcPr>
          <w:p>
            <w:r>
              <w:t xml:space="preserve">Simple but not recommended as the first choice</w:t>
            </w:r>
          </w:p>
        </w:tc>
      </w:tr>
      <w:tr>
        <w:tc>
          <w:tcPr>
            <w:tcW w:w="2400" w:type="dxa"/>
          </w:tcPr>
          <w:p>
            <w:r>
              <w:t xml:space="preserve">Separate foreign holding company for each investor</w:t>
            </w:r>
          </w:p>
        </w:tc>
        <w:tc>
          <w:tcPr>
            <w:tcW w:w="2400" w:type="dxa"/>
          </w:tcPr>
          <w:p>
            <w:r>
              <w:t xml:space="preserve">Recommended for review</w:t>
            </w:r>
          </w:p>
        </w:tc>
      </w:tr>
      <w:tr>
        <w:tc>
          <w:tcPr>
            <w:tcW w:w="2400" w:type="dxa"/>
          </w:tcPr>
          <w:p>
            <w:r>
              <w:t xml:space="preserve">One pooled foreign holding company</w:t>
            </w:r>
          </w:p>
        </w:tc>
        <w:tc>
          <w:tcPr>
            <w:tcW w:w="2400" w:type="dxa"/>
          </w:tcPr>
          <w:p>
            <w:r>
              <w:t xml:space="preserve">Possible but less clean because it mixes two investors</w:t>
            </w:r>
          </w:p>
        </w:tc>
      </w:tr>
      <w:tr>
        <w:tc>
          <w:tcPr>
            <w:tcW w:w="2400" w:type="dxa"/>
          </w:tcPr>
          <w:p>
            <w:r>
              <w:t xml:space="preserve">Trust ownership</w:t>
            </w:r>
          </w:p>
        </w:tc>
        <w:tc>
          <w:tcPr>
            <w:tcW w:w="2400" w:type="dxa"/>
          </w:tcPr>
          <w:p>
            <w:r>
              <w:t xml:space="preserve">Do not use without specialized estate/trust counsel</w:t>
            </w:r>
          </w:p>
        </w:tc>
      </w:tr>
      <w:tr>
        <w:tc>
          <w:tcPr>
            <w:tcW w:w="2400" w:type="dxa"/>
          </w:tcPr>
          <w:p>
            <w:r>
              <w:t xml:space="preserve">Pure debt only</w:t>
            </w:r>
          </w:p>
        </w:tc>
        <w:tc>
          <w:tcPr>
            <w:tcW w:w="2400" w:type="dxa"/>
          </w:tcPr>
          <w:p>
            <w:r>
              <w:t xml:space="preserve">Not recommended as the main plan because low-risk priority and no U.S.-UAE treaty</w:t>
            </w:r>
          </w:p>
        </w:tc>
      </w:tr>
    </w:tbl>
    <w:p>
      <w:r>
        <w:t xml:space="preserve">Recommendation:</w:t>
      </w:r>
    </w:p>
    <w:p>
      <w:r>
        <w:t xml:space="preserve">Do not start with direct individual ownership unless counsel concludes the estate tax risk is acceptable or separately solved.</w:t>
      </w:r>
    </w:p>
    <w:p>
      <w:r>
        <w:t xml:space="preserve">Why:</w:t>
      </w:r>
    </w:p>
    <w:p>
      <w:r>
        <w:t xml:space="preserve">Shares of a U.S. corporation are generally U.S.-situs property for NRA estate tax purposes. A U.S. C corporation blocker helps with operating income and FIRPTA closing mechanics, but it does not by itself remove U.S. estate tax exposure if the foreign individuals directly own the U.S. shares.</w:t>
      </w:r>
    </w:p>
    <w:p>
      <w:pPr>
        <w:pStyle w:val="Heading2"/>
      </w:pPr>
      <w:r>
        <w:t xml:space="preserve">Step 4 - Should each foreign investor use a separate holding company?</w:t>
      </w:r>
    </w:p>
    <w:p>
      <w:r>
        <w:t xml:space="preserve">Recommended answer: yes, evaluate this first.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Reason</w:t>
            </w:r>
          </w:p>
        </w:tc>
        <w:tc>
          <w:tcPr>
            <w:tcW w:w="2400" w:type="dxa"/>
            <w:shd w:fill="EEF3F8"/>
          </w:tcPr>
          <w:p>
            <w:r>
              <w:t xml:space="preserve">Plain-English Meaning</w:t>
            </w:r>
          </w:p>
        </w:tc>
      </w:tr>
      <w:tr>
        <w:tc>
          <w:tcPr>
            <w:tcW w:w="2400" w:type="dxa"/>
          </w:tcPr>
          <w:p>
            <w:r>
              <w:t xml:space="preserve">Estate tax posture</w:t>
            </w:r>
          </w:p>
        </w:tc>
        <w:tc>
          <w:tcPr>
            <w:tcW w:w="2400" w:type="dxa"/>
          </w:tcPr>
          <w:p>
            <w:r>
              <w:t xml:space="preserve">The foreign investor owns shares of a foreign company instead of shares of a U.S. company</w:t>
            </w:r>
          </w:p>
        </w:tc>
      </w:tr>
      <w:tr>
        <w:tc>
          <w:tcPr>
            <w:tcW w:w="2400" w:type="dxa"/>
          </w:tcPr>
          <w:p>
            <w:r>
              <w:t xml:space="preserve">Cleaner ownership records</w:t>
            </w:r>
          </w:p>
        </w:tc>
        <w:tc>
          <w:tcPr>
            <w:tcW w:w="2400" w:type="dxa"/>
          </w:tcPr>
          <w:p>
            <w:r>
              <w:t xml:space="preserve">The U.S. company has entity shareholders, not foreign individuals</w:t>
            </w:r>
          </w:p>
        </w:tc>
      </w:tr>
      <w:tr>
        <w:tc>
          <w:tcPr>
            <w:tcW w:w="2400" w:type="dxa"/>
          </w:tcPr>
          <w:p>
            <w:r>
              <w:t xml:space="preserve">Bank/KYC clarity</w:t>
            </w:r>
          </w:p>
        </w:tc>
        <w:tc>
          <w:tcPr>
            <w:tcW w:w="2400" w:type="dxa"/>
          </w:tcPr>
          <w:p>
            <w:r>
              <w:t xml:space="preserve">Bank can review each investor's company and source of funds separately</w:t>
            </w:r>
          </w:p>
        </w:tc>
      </w:tr>
      <w:tr>
        <w:tc>
          <w:tcPr>
            <w:tcW w:w="2400" w:type="dxa"/>
          </w:tcPr>
          <w:p>
            <w:r>
              <w:t xml:space="preserve">Exit planning</w:t>
            </w:r>
          </w:p>
        </w:tc>
        <w:tc>
          <w:tcPr>
            <w:tcW w:w="2400" w:type="dxa"/>
          </w:tcPr>
          <w:p>
            <w:r>
              <w:t xml:space="preserve">Transfers may be handled at foreign-company level, subject to tax review</w:t>
            </w:r>
          </w:p>
        </w:tc>
      </w:tr>
      <w:tr>
        <w:tc>
          <w:tcPr>
            <w:tcW w:w="2400" w:type="dxa"/>
          </w:tcPr>
          <w:p>
            <w:r>
              <w:t xml:space="preserve">Liability and governance</w:t>
            </w:r>
          </w:p>
        </w:tc>
        <w:tc>
          <w:tcPr>
            <w:tcW w:w="2400" w:type="dxa"/>
          </w:tcPr>
          <w:p>
            <w:r>
              <w:t xml:space="preserve">Holding company can separate personal assets from venture investment</w:t>
            </w:r>
          </w:p>
        </w:tc>
      </w:tr>
    </w:tbl>
    <w:p>
      <w:r>
        <w:t xml:space="preserve">Tradeoffs:</w:t>
      </w:r>
    </w:p>
    <w:p>
      <w:r>
        <w:t xml:space="preserve">There may be 30% U.S. withholding on dividends from the U.S. corporation to a UAE holding company because there is no U.S.-UAE income tax treaty. UAE corporate tax and compliance may also apply. This is why the plan should compare after-tax economics rather than chasing only U.S. withholding reduction.</w:t>
      </w:r>
    </w:p>
    <w:p>
      <w:pPr>
        <w:pStyle w:val="Heading2"/>
      </w:pPr>
      <w:r>
        <w:t xml:space="preserve">Step 5 - UAE holding company or another foreign jurisdiction?</w:t>
      </w:r>
    </w:p>
    <w:p>
      <w:r>
        <w:t xml:space="preserve">Start with UAE holding company because the investors are UAE tax residents and likely have banking/source-of-funds there.</w:t>
      </w:r>
    </w:p>
    <w:p>
      <w:r>
        <w:t xml:space="preserve">But do not finalize until advisors compare: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Holding Jurisdiction</w:t>
            </w:r>
          </w:p>
        </w:tc>
        <w:tc>
          <w:tcPr>
            <w:tcW w:w="2400" w:type="dxa"/>
            <w:shd w:fill="EEF3F8"/>
          </w:tcPr>
          <w:p>
            <w:r>
              <w:t xml:space="preserve">Benefits</w:t>
            </w:r>
          </w:p>
        </w:tc>
        <w:tc>
          <w:tcPr>
            <w:tcW w:w="2400" w:type="dxa"/>
            <w:shd w:fill="EEF3F8"/>
          </w:tcPr>
          <w:p>
            <w:r>
              <w:t xml:space="preserve">Risks</w:t>
            </w:r>
          </w:p>
        </w:tc>
      </w:tr>
      <w:tr>
        <w:tc>
          <w:tcPr>
            <w:tcW w:w="2400" w:type="dxa"/>
          </w:tcPr>
          <w:p>
            <w:r>
              <w:t xml:space="preserve">UAE company</w:t>
            </w:r>
          </w:p>
        </w:tc>
        <w:tc>
          <w:tcPr>
            <w:tcW w:w="2400" w:type="dxa"/>
          </w:tcPr>
          <w:p>
            <w:r>
              <w:t xml:space="preserve">Matches current tax residence and capital source; may be administratively practical</w:t>
            </w:r>
          </w:p>
        </w:tc>
        <w:tc>
          <w:tcPr>
            <w:tcW w:w="2400" w:type="dxa"/>
          </w:tcPr>
          <w:p>
            <w:r>
              <w:t xml:space="preserve">No U.S.-UAE treaty; UAE corporate tax/substance review needed</w:t>
            </w:r>
          </w:p>
        </w:tc>
      </w:tr>
      <w:tr>
        <w:tc>
          <w:tcPr>
            <w:tcW w:w="2400" w:type="dxa"/>
          </w:tcPr>
          <w:p>
            <w:r>
              <w:t xml:space="preserve">U.K. company</w:t>
            </w:r>
          </w:p>
        </w:tc>
        <w:tc>
          <w:tcPr>
            <w:tcW w:w="2400" w:type="dxa"/>
          </w:tcPr>
          <w:p>
            <w:r>
              <w:t xml:space="preserve">Potential U.S.-U.K. treaty benefits if truly treaty-qualified</w:t>
            </w:r>
          </w:p>
        </w:tc>
        <w:tc>
          <w:tcPr>
            <w:tcW w:w="2400" w:type="dxa"/>
          </w:tcPr>
          <w:p>
            <w:r>
              <w:t xml:space="preserve">Investors are UAE residents, so treaty residence and LOB may fail</w:t>
            </w:r>
          </w:p>
        </w:tc>
      </w:tr>
      <w:tr>
        <w:tc>
          <w:tcPr>
            <w:tcW w:w="2400" w:type="dxa"/>
          </w:tcPr>
          <w:p>
            <w:r>
              <w:t xml:space="preserve">Belgian company</w:t>
            </w:r>
          </w:p>
        </w:tc>
        <w:tc>
          <w:tcPr>
            <w:tcW w:w="2400" w:type="dxa"/>
          </w:tcPr>
          <w:p>
            <w:r>
              <w:t xml:space="preserve">Potential U.S.-Belgium treaty benefits if truly treaty-qualified</w:t>
            </w:r>
          </w:p>
        </w:tc>
        <w:tc>
          <w:tcPr>
            <w:tcW w:w="2400" w:type="dxa"/>
          </w:tcPr>
          <w:p>
            <w:r>
              <w:t xml:space="preserve">Belgian tax and treaty residence may not fit UAE-resident individual</w:t>
            </w:r>
          </w:p>
        </w:tc>
      </w:tr>
      <w:tr>
        <w:tc>
          <w:tcPr>
            <w:tcW w:w="2400" w:type="dxa"/>
          </w:tcPr>
          <w:p>
            <w:r>
              <w:t xml:space="preserve">Other treaty jurisdiction</w:t>
            </w:r>
          </w:p>
        </w:tc>
        <w:tc>
          <w:tcPr>
            <w:tcW w:w="2400" w:type="dxa"/>
          </w:tcPr>
          <w:p>
            <w:r>
              <w:t xml:space="preserve">Could improve withholding in theory</w:t>
            </w:r>
          </w:p>
        </w:tc>
        <w:tc>
          <w:tcPr>
            <w:tcW w:w="2400" w:type="dxa"/>
          </w:tcPr>
          <w:p>
            <w:r>
              <w:t xml:space="preserve">High anti-conduit and substance risk; not aligned with low-risk instruction</w:t>
            </w:r>
          </w:p>
        </w:tc>
      </w:tr>
      <w:tr>
        <w:tc>
          <w:tcPr>
            <w:tcW w:w="2400" w:type="dxa"/>
          </w:tcPr>
          <w:p>
            <w:r>
              <w:t xml:space="preserve">Personal ownership</w:t>
            </w:r>
          </w:p>
        </w:tc>
        <w:tc>
          <w:tcPr>
            <w:tcW w:w="2400" w:type="dxa"/>
          </w:tcPr>
          <w:p>
            <w:r>
              <w:t xml:space="preserve">Simple</w:t>
            </w:r>
          </w:p>
        </w:tc>
        <w:tc>
          <w:tcPr>
            <w:tcW w:w="2400" w:type="dxa"/>
          </w:tcPr>
          <w:p>
            <w:r>
              <w:t xml:space="preserve">U.S. estate tax exposure and less clean for succession</w:t>
            </w:r>
          </w:p>
        </w:tc>
      </w:tr>
    </w:tbl>
    <w:p>
      <w:r>
        <w:t xml:space="preserve">Recommendation:</w:t>
      </w:r>
    </w:p>
    <w:p>
      <w:r>
        <w:t xml:space="preserve">For a low-risk structure, do not create a treaty-country company just to chase treaty rates unless that company has real substance, real tax residence, and local advisors confirm it is defensible. That kind of structure can become an anti-conduit problem.</w:t>
      </w:r>
    </w:p>
    <w:p>
      <w:pPr>
        <w:pStyle w:val="Heading2"/>
      </w:pPr>
      <w:r>
        <w:t xml:space="preserve">Step 6 - Equity, preferred equity, or debt?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Instrument</w:t>
            </w:r>
          </w:p>
        </w:tc>
        <w:tc>
          <w:tcPr>
            <w:tcW w:w="2400" w:type="dxa"/>
            <w:shd w:fill="EEF3F8"/>
          </w:tcPr>
          <w:p>
            <w:r>
              <w:t xml:space="preserve">Recommended Use</w:t>
            </w:r>
          </w:p>
        </w:tc>
      </w:tr>
      <w:tr>
        <w:tc>
          <w:tcPr>
            <w:tcW w:w="2400" w:type="dxa"/>
          </w:tcPr>
          <w:p>
            <w:r>
              <w:t xml:space="preserve">Common equity</w:t>
            </w:r>
          </w:p>
        </w:tc>
        <w:tc>
          <w:tcPr>
            <w:tcW w:w="2400" w:type="dxa"/>
          </w:tcPr>
          <w:p>
            <w:r>
              <w:t xml:space="preserve">Use for true ownership and upside</w:t>
            </w:r>
          </w:p>
        </w:tc>
      </w:tr>
      <w:tr>
        <w:tc>
          <w:tcPr>
            <w:tcW w:w="2400" w:type="dxa"/>
          </w:tcPr>
          <w:p>
            <w:r>
              <w:t xml:space="preserve">Nonvoting common equity</w:t>
            </w:r>
          </w:p>
        </w:tc>
        <w:tc>
          <w:tcPr>
            <w:tcW w:w="2400" w:type="dxa"/>
          </w:tcPr>
          <w:p>
            <w:r>
              <w:t xml:space="preserve">Consider if voting control and portfolio-interest rules are relevant, but do not use as a workaround without counsel</w:t>
            </w:r>
          </w:p>
        </w:tc>
      </w:tr>
      <w:tr>
        <w:tc>
          <w:tcPr>
            <w:tcW w:w="2400" w:type="dxa"/>
          </w:tcPr>
          <w:p>
            <w:r>
              <w:t xml:space="preserve">Preferred equity</w:t>
            </w:r>
          </w:p>
        </w:tc>
        <w:tc>
          <w:tcPr>
            <w:tcW w:w="2400" w:type="dxa"/>
          </w:tcPr>
          <w:p>
            <w:r>
              <w:t xml:space="preserve">Strong candidate for passive investors who want a preferred economic return without pretending it is debt</w:t>
            </w:r>
          </w:p>
        </w:tc>
      </w:tr>
      <w:tr>
        <w:tc>
          <w:tcPr>
            <w:tcW w:w="2400" w:type="dxa"/>
          </w:tcPr>
          <w:p>
            <w:r>
              <w:t xml:space="preserve">Shareholder debt</w:t>
            </w:r>
          </w:p>
        </w:tc>
        <w:tc>
          <w:tcPr>
            <w:tcW w:w="2400" w:type="dxa"/>
          </w:tcPr>
          <w:p>
            <w:r>
              <w:t xml:space="preserve">Use carefully and only after tax review</w:t>
            </w:r>
          </w:p>
        </w:tc>
      </w:tr>
      <w:tr>
        <w:tc>
          <w:tcPr>
            <w:tcW w:w="2400" w:type="dxa"/>
          </w:tcPr>
          <w:p>
            <w:r>
              <w:t xml:space="preserve">Profit-linked debt</w:t>
            </w:r>
          </w:p>
        </w:tc>
        <w:tc>
          <w:tcPr>
            <w:tcW w:w="2400" w:type="dxa"/>
          </w:tcPr>
          <w:p>
            <w:r>
              <w:t xml:space="preserve">Avoid as high risk</w:t>
            </w:r>
          </w:p>
        </w:tc>
      </w:tr>
      <w:tr>
        <w:tc>
          <w:tcPr>
            <w:tcW w:w="2400" w:type="dxa"/>
          </w:tcPr>
          <w:p>
            <w:r>
              <w:t xml:space="preserve">Pure portfolio-interest structure</w:t>
            </w:r>
          </w:p>
        </w:tc>
        <w:tc>
          <w:tcPr>
            <w:tcW w:w="2400" w:type="dxa"/>
          </w:tcPr>
          <w:p>
            <w:r>
              <w:t xml:space="preserve">Avoid as the main plan under the no-high-risk instruction</w:t>
            </w:r>
          </w:p>
        </w:tc>
      </w:tr>
    </w:tbl>
    <w:p>
      <w:r>
        <w:t xml:space="preserve">Recommended approach:</w:t>
      </w:r>
    </w:p>
    <w:p>
      <w:r>
        <w:t xml:space="preserve">Use equity and/or preferred equity as the base case. Consider a modest, well-documented debt component only if counsel approves withholding, debt/equity treatment, interest rate, and Section 163(j) treatment.</w:t>
      </w:r>
    </w:p>
    <w:p>
      <w:r>
        <w:t xml:space="preserve">Plain-English point:</w:t>
      </w:r>
    </w:p>
    <w:p>
      <w:r>
        <w:t xml:space="preserve">A preferred equity return may be less tax-efficient than deductible interest, but it is often more defensible when the investors are really sharing business risk and there is no treaty safety net.</w:t>
      </w:r>
    </w:p>
    <w:p>
      <w:pPr>
        <w:pStyle w:val="Heading2"/>
      </w:pPr>
      <w:r>
        <w:t xml:space="preserve">Step 7 - How should profits go back to the foreign investors?</w:t>
      </w:r>
    </w:p>
    <w:p>
      <w:r>
        <w:t xml:space="preserve">Base-case waterfall:</w:t>
      </w:r>
    </w:p>
    <w:p>
      <w:pPr>
        <w:numPr>
          <w:ilvl w:val="0"/>
          <w:numId w:val="2"/>
        </w:numPr>
      </w:pPr>
      <w:r>
        <w:t xml:space="preserve">U.S. C corporation earns flip profits.</w:t>
      </w:r>
    </w:p>
    <w:p>
      <w:pPr>
        <w:numPr>
          <w:ilvl w:val="0"/>
          <w:numId w:val="2"/>
        </w:numPr>
      </w:pPr>
      <w:r>
        <w:t xml:space="preserve">U.S. C corporation pays U.S. federal and Wisconsin tax.</w:t>
      </w:r>
    </w:p>
    <w:p>
      <w:pPr>
        <w:numPr>
          <w:ilvl w:val="0"/>
          <w:numId w:val="2"/>
        </w:numPr>
      </w:pPr>
      <w:r>
        <w:t xml:space="preserve">U.S. corporation keeps a reserve for future deals and taxes.</w:t>
      </w:r>
    </w:p>
    <w:p>
      <w:pPr>
        <w:numPr>
          <w:ilvl w:val="0"/>
          <w:numId w:val="2"/>
        </w:numPr>
      </w:pPr>
      <w:r>
        <w:t xml:space="preserve">U.S. corporation pays dividends or preferred distributions to the foreign holding companies.</w:t>
      </w:r>
    </w:p>
    <w:p>
      <w:pPr>
        <w:numPr>
          <w:ilvl w:val="0"/>
          <w:numId w:val="2"/>
        </w:numPr>
      </w:pPr>
      <w:r>
        <w:t xml:space="preserve">U.S. corporation withholds U.S. tax if required.</w:t>
      </w:r>
    </w:p>
    <w:p>
      <w:pPr>
        <w:numPr>
          <w:ilvl w:val="0"/>
          <w:numId w:val="2"/>
        </w:numPr>
      </w:pPr>
      <w:r>
        <w:t xml:space="preserve">Foreign holding company distributes or retains funds under UAE/local rules.</w:t>
      </w:r>
    </w:p>
    <w:p>
      <w:pPr>
        <w:numPr>
          <w:ilvl w:val="0"/>
          <w:numId w:val="2"/>
        </w:numPr>
      </w:pPr>
      <w:r>
        <w:t xml:space="preserve">UAE/local advisor handles investor-level reporting.</w:t>
      </w:r>
    </w:p>
    <w:p>
      <w:r>
        <w:t xml:space="preserve">Avoid:</w:t>
      </w:r>
    </w:p>
    <w:p>
      <w:r>
        <w:t xml:space="preserve">Unreviewed interest payments, undocumented reimbursements, management fees to foreign investors, redemptions, liquidation distributions, or informal repayments through personal accounts.</w:t>
      </w:r>
    </w:p>
    <w:p>
      <w:pPr>
        <w:pStyle w:val="Heading1"/>
      </w:pPr>
      <w:r>
        <w:t xml:space="preserve">Recommended Structure To Model First</w:t>
      </w:r>
    </w:p>
    <w:p>
      <w:pPr>
        <w:pStyle w:val="Heading2"/>
      </w:pPr>
      <w:r>
        <w:t xml:space="preserve">Conservative Base Case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Layer</w:t>
            </w:r>
          </w:p>
        </w:tc>
        <w:tc>
          <w:tcPr>
            <w:tcW w:w="2400" w:type="dxa"/>
            <w:shd w:fill="EEF3F8"/>
          </w:tcPr>
          <w:p>
            <w:r>
              <w:t xml:space="preserve">Entity</w:t>
            </w:r>
          </w:p>
        </w:tc>
        <w:tc>
          <w:tcPr>
            <w:tcW w:w="2400" w:type="dxa"/>
            <w:shd w:fill="EEF3F8"/>
          </w:tcPr>
          <w:p>
            <w:r>
              <w:t xml:space="preserve">Notes</w:t>
            </w:r>
          </w:p>
        </w:tc>
      </w:tr>
      <w:tr>
        <w:tc>
          <w:tcPr>
            <w:tcW w:w="2400" w:type="dxa"/>
          </w:tcPr>
          <w:p>
            <w:r>
              <w:t xml:space="preserve">Investor 1</w:t>
            </w:r>
          </w:p>
        </w:tc>
        <w:tc>
          <w:tcPr>
            <w:tcW w:w="2400" w:type="dxa"/>
          </w:tcPr>
          <w:p>
            <w:r>
              <w:t xml:space="preserve">U.S. citizen</w:t>
            </w:r>
          </w:p>
        </w:tc>
        <w:tc>
          <w:tcPr>
            <w:tcW w:w="2400" w:type="dxa"/>
          </w:tcPr>
          <w:p>
            <w:r>
              <w:t xml:space="preserve">Direct shareholder or through U.S. entity if counsel prefers</w:t>
            </w:r>
          </w:p>
        </w:tc>
      </w:tr>
      <w:tr>
        <w:tc>
          <w:tcPr>
            <w:tcW w:w="2400" w:type="dxa"/>
          </w:tcPr>
          <w:p>
            <w:r>
              <w:t xml:space="preserve">Investor 2</w:t>
            </w:r>
          </w:p>
        </w:tc>
        <w:tc>
          <w:tcPr>
            <w:tcW w:w="2400" w:type="dxa"/>
          </w:tcPr>
          <w:p>
            <w:r>
              <w:t xml:space="preserve">U.S. citizen</w:t>
            </w:r>
          </w:p>
        </w:tc>
        <w:tc>
          <w:tcPr>
            <w:tcW w:w="2400" w:type="dxa"/>
          </w:tcPr>
          <w:p>
            <w:r>
              <w:t xml:space="preserve">Direct shareholder or through U.S. entity if counsel prefers</w:t>
            </w:r>
          </w:p>
        </w:tc>
      </w:tr>
      <w:tr>
        <w:tc>
          <w:tcPr>
            <w:tcW w:w="2400" w:type="dxa"/>
          </w:tcPr>
          <w:p>
            <w:r>
              <w:t xml:space="preserve">Investor 3</w:t>
            </w:r>
          </w:p>
        </w:tc>
        <w:tc>
          <w:tcPr>
            <w:tcW w:w="2400" w:type="dxa"/>
          </w:tcPr>
          <w:p>
            <w:r>
              <w:t xml:space="preserve">UAE-resident U.K. national</w:t>
            </w:r>
          </w:p>
        </w:tc>
        <w:tc>
          <w:tcPr>
            <w:tcW w:w="2400" w:type="dxa"/>
          </w:tcPr>
          <w:p>
            <w:r>
              <w:t xml:space="preserve">Owns separate UAE holding company</w:t>
            </w:r>
          </w:p>
        </w:tc>
      </w:tr>
      <w:tr>
        <w:tc>
          <w:tcPr>
            <w:tcW w:w="2400" w:type="dxa"/>
          </w:tcPr>
          <w:p>
            <w:r>
              <w:t xml:space="preserve">Investor 4</w:t>
            </w:r>
          </w:p>
        </w:tc>
        <w:tc>
          <w:tcPr>
            <w:tcW w:w="2400" w:type="dxa"/>
          </w:tcPr>
          <w:p>
            <w:r>
              <w:t xml:space="preserve">UAE-resident Belgian national</w:t>
            </w:r>
          </w:p>
        </w:tc>
        <w:tc>
          <w:tcPr>
            <w:tcW w:w="2400" w:type="dxa"/>
          </w:tcPr>
          <w:p>
            <w:r>
              <w:t xml:space="preserve">Owns separate UAE holding company</w:t>
            </w:r>
          </w:p>
        </w:tc>
      </w:tr>
      <w:tr>
        <w:tc>
          <w:tcPr>
            <w:tcW w:w="2400" w:type="dxa"/>
          </w:tcPr>
          <w:p>
            <w:r>
              <w:t xml:space="preserve">Parent</w:t>
            </w:r>
          </w:p>
        </w:tc>
        <w:tc>
          <w:tcPr>
            <w:tcW w:w="2400" w:type="dxa"/>
          </w:tcPr>
          <w:p>
            <w:r>
              <w:t xml:space="preserve">U.S. C corporation</w:t>
            </w:r>
          </w:p>
        </w:tc>
        <w:tc>
          <w:tcPr>
            <w:tcW w:w="2400" w:type="dxa"/>
          </w:tcPr>
          <w:p>
            <w:r>
              <w:t xml:space="preserve">Main tax blocker and operator</w:t>
            </w:r>
          </w:p>
        </w:tc>
      </w:tr>
      <w:tr>
        <w:tc>
          <w:tcPr>
            <w:tcW w:w="2400" w:type="dxa"/>
          </w:tcPr>
          <w:p>
            <w:r>
              <w:t xml:space="preserve">Wisconsin property layer</w:t>
            </w:r>
          </w:p>
        </w:tc>
        <w:tc>
          <w:tcPr>
            <w:tcW w:w="2400" w:type="dxa"/>
          </w:tcPr>
          <w:p>
            <w:r>
              <w:t xml:space="preserve">Wisconsin LLC owned 100% by U.S. C corporation</w:t>
            </w:r>
          </w:p>
        </w:tc>
        <w:tc>
          <w:tcPr>
            <w:tcW w:w="2400" w:type="dxa"/>
          </w:tcPr>
          <w:p>
            <w:r>
              <w:t xml:space="preserve">Used for title/liability; disregarded for federal tax if properly structured</w:t>
            </w:r>
          </w:p>
        </w:tc>
      </w:tr>
    </w:tbl>
    <w:p>
      <w:pPr>
        <w:pStyle w:val="Heading2"/>
      </w:pPr>
      <w:r>
        <w:t xml:space="preserve">Why This Is The First Model</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Goal</w:t>
            </w:r>
          </w:p>
        </w:tc>
        <w:tc>
          <w:tcPr>
            <w:tcW w:w="2400" w:type="dxa"/>
            <w:shd w:fill="EEF3F8"/>
          </w:tcPr>
          <w:p>
            <w:r>
              <w:t xml:space="preserve">How The Base Case Helps</w:t>
            </w:r>
          </w:p>
        </w:tc>
      </w:tr>
      <w:tr>
        <w:tc>
          <w:tcPr>
            <w:tcW w:w="2400" w:type="dxa"/>
          </w:tcPr>
          <w:p>
            <w:r>
              <w:t xml:space="preserve">Avoid direct foreign individual U.S. filing</w:t>
            </w:r>
          </w:p>
        </w:tc>
        <w:tc>
          <w:tcPr>
            <w:tcW w:w="2400" w:type="dxa"/>
          </w:tcPr>
          <w:p>
            <w:r>
              <w:t xml:space="preserve">Foreign investors are passive owners through holding companies</w:t>
            </w:r>
          </w:p>
        </w:tc>
      </w:tr>
      <w:tr>
        <w:tc>
          <w:tcPr>
            <w:tcW w:w="2400" w:type="dxa"/>
          </w:tcPr>
          <w:p>
            <w:r>
              <w:t xml:space="preserve">Avoid direct NRA estate tax exposure on U.S. shares</w:t>
            </w:r>
          </w:p>
        </w:tc>
        <w:tc>
          <w:tcPr>
            <w:tcW w:w="2400" w:type="dxa"/>
          </w:tcPr>
          <w:p>
            <w:r>
              <w:t xml:space="preserve">Foreign individuals own foreign company shares instead of U.S. corporation shares</w:t>
            </w:r>
          </w:p>
        </w:tc>
      </w:tr>
      <w:tr>
        <w:tc>
          <w:tcPr>
            <w:tcW w:w="2400" w:type="dxa"/>
          </w:tcPr>
          <w:p>
            <w:r>
              <w:t xml:space="preserve">Avoid high-risk tax workarounds</w:t>
            </w:r>
          </w:p>
        </w:tc>
        <w:tc>
          <w:tcPr>
            <w:tcW w:w="2400" w:type="dxa"/>
          </w:tcPr>
          <w:p>
            <w:r>
              <w:t xml:space="preserve">Does not rely on aggressive portfolio interest or treaty shopping</w:t>
            </w:r>
          </w:p>
        </w:tc>
      </w:tr>
      <w:tr>
        <w:tc>
          <w:tcPr>
            <w:tcW w:w="2400" w:type="dxa"/>
          </w:tcPr>
          <w:p>
            <w:r>
              <w:t xml:space="preserve">Support banking</w:t>
            </w:r>
          </w:p>
        </w:tc>
        <w:tc>
          <w:tcPr>
            <w:tcW w:w="2400" w:type="dxa"/>
          </w:tcPr>
          <w:p>
            <w:r>
              <w:t xml:space="preserve">Clear entity chart and source-of-funds trail</w:t>
            </w:r>
          </w:p>
        </w:tc>
      </w:tr>
      <w:tr>
        <w:tc>
          <w:tcPr>
            <w:tcW w:w="2400" w:type="dxa"/>
          </w:tcPr>
          <w:p>
            <w:r>
              <w:t xml:space="preserve">Support Wisconsin operations</w:t>
            </w:r>
          </w:p>
        </w:tc>
        <w:tc>
          <w:tcPr>
            <w:tcW w:w="2400" w:type="dxa"/>
          </w:tcPr>
          <w:p>
            <w:r>
              <w:t xml:space="preserve">Wisconsin title LLC and/or foreign registration can be handled cleanly</w:t>
            </w:r>
          </w:p>
        </w:tc>
      </w:tr>
      <w:tr>
        <w:tc>
          <w:tcPr>
            <w:tcW w:w="2400" w:type="dxa"/>
          </w:tcPr>
          <w:p>
            <w:r>
              <w:t xml:space="preserve">Support title closings</w:t>
            </w:r>
          </w:p>
        </w:tc>
        <w:tc>
          <w:tcPr>
            <w:tcW w:w="2400" w:type="dxa"/>
          </w:tcPr>
          <w:p>
            <w:r>
              <w:t xml:space="preserve">Seller is a domestic U.S. corporation or disregarded LLC owned by it</w:t>
            </w:r>
          </w:p>
        </w:tc>
      </w:tr>
    </w:tbl>
    <w:p>
      <w:pPr>
        <w:pStyle w:val="Heading2"/>
      </w:pPr>
      <w:r>
        <w:t xml:space="preserve">Main Cost</w:t>
      </w:r>
    </w:p>
    <w:p>
      <w:r>
        <w:t xml:space="preserve">The likely cost is less withholding optimization. Without a U.S.-UAE treaty, dividends from the U.S. corporation to UAE holding companies may face the default 30% U.S. withholding unless another exemption or structure is properly available. That may still be the right answer if the partners want low risk.</w:t>
      </w:r>
    </w:p>
    <w:p>
      <w:pPr>
        <w:pStyle w:val="Heading1"/>
      </w:pPr>
      <w:r>
        <w:t xml:space="preserve">Wisconsin-Specific Setup Track</w:t>
      </w:r>
    </w:p>
    <w:p>
      <w:r>
        <w:t xml:space="preserve">Because Wisconsin is the likely first state, add this to the setup checklist: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Step</w:t>
            </w:r>
          </w:p>
        </w:tc>
        <w:tc>
          <w:tcPr>
            <w:tcW w:w="2400" w:type="dxa"/>
            <w:shd w:fill="EEF3F8"/>
          </w:tcPr>
          <w:p>
            <w:r>
              <w:t xml:space="preserve">Action</w:t>
            </w:r>
          </w:p>
        </w:tc>
      </w:tr>
      <w:tr>
        <w:tc>
          <w:tcPr>
            <w:tcW w:w="2400" w:type="dxa"/>
          </w:tcPr>
          <w:p>
            <w:r>
              <w:t xml:space="preserve">1</w:t>
            </w:r>
          </w:p>
        </w:tc>
        <w:tc>
          <w:tcPr>
            <w:tcW w:w="2400" w:type="dxa"/>
          </w:tcPr>
          <w:p>
            <w:r>
              <w:t xml:space="preserve">Decide whether parent C corporation is formed in Wisconsin or formed elsewhere and registered in Wisconsin</w:t>
            </w:r>
          </w:p>
        </w:tc>
      </w:tr>
      <w:tr>
        <w:tc>
          <w:tcPr>
            <w:tcW w:w="2400" w:type="dxa"/>
          </w:tcPr>
          <w:p>
            <w:r>
              <w:t xml:space="preserve">2</w:t>
            </w:r>
          </w:p>
        </w:tc>
        <w:tc>
          <w:tcPr>
            <w:tcW w:w="2400" w:type="dxa"/>
          </w:tcPr>
          <w:p>
            <w:r>
              <w:t xml:space="preserve">If formed outside Wisconsin, prepare Wisconsin foreign corporation certificate-of-authority filing</w:t>
            </w:r>
          </w:p>
        </w:tc>
      </w:tr>
      <w:tr>
        <w:tc>
          <w:tcPr>
            <w:tcW w:w="2400" w:type="dxa"/>
          </w:tcPr>
          <w:p>
            <w:r>
              <w:t xml:space="preserve">3</w:t>
            </w:r>
          </w:p>
        </w:tc>
        <w:tc>
          <w:tcPr>
            <w:tcW w:w="2400" w:type="dxa"/>
          </w:tcPr>
          <w:p>
            <w:r>
              <w:t xml:space="preserve">If using Wisconsin title LLCs, form Wisconsin LLCs owned 100% by the U.S. C corporation</w:t>
            </w:r>
          </w:p>
        </w:tc>
      </w:tr>
      <w:tr>
        <w:tc>
          <w:tcPr>
            <w:tcW w:w="2400" w:type="dxa"/>
          </w:tcPr>
          <w:p>
            <w:r>
              <w:t xml:space="preserve">4</w:t>
            </w:r>
          </w:p>
        </w:tc>
        <w:tc>
          <w:tcPr>
            <w:tcW w:w="2400" w:type="dxa"/>
          </w:tcPr>
          <w:p>
            <w:r>
              <w:t xml:space="preserve">Register with Wisconsin Department of Revenue if required for corporate income/franchise tax, withholding, sales/use tax, or other accounts</w:t>
            </w:r>
          </w:p>
        </w:tc>
      </w:tr>
      <w:tr>
        <w:tc>
          <w:tcPr>
            <w:tcW w:w="2400" w:type="dxa"/>
          </w:tcPr>
          <w:p>
            <w:r>
              <w:t xml:space="preserve">5</w:t>
            </w:r>
          </w:p>
        </w:tc>
        <w:tc>
          <w:tcPr>
            <w:tcW w:w="2400" w:type="dxa"/>
          </w:tcPr>
          <w:p>
            <w:r>
              <w:t xml:space="preserve">Confirm Wisconsin real estate transfer, title, property tax, contractor, and local permit requirements</w:t>
            </w:r>
          </w:p>
        </w:tc>
      </w:tr>
      <w:tr>
        <w:tc>
          <w:tcPr>
            <w:tcW w:w="2400" w:type="dxa"/>
          </w:tcPr>
          <w:p>
            <w:r>
              <w:t xml:space="preserve">6</w:t>
            </w:r>
          </w:p>
        </w:tc>
        <w:tc>
          <w:tcPr>
            <w:tcW w:w="2400" w:type="dxa"/>
          </w:tcPr>
          <w:p>
            <w:r>
              <w:t xml:space="preserve">Build Wisconsin corporate tax and annual report deadlines into the compliance calendar</w:t>
            </w:r>
          </w:p>
        </w:tc>
      </w:tr>
      <w:tr>
        <w:tc>
          <w:tcPr>
            <w:tcW w:w="2400" w:type="dxa"/>
          </w:tcPr>
          <w:p>
            <w:r>
              <w:t xml:space="preserve">7</w:t>
            </w:r>
          </w:p>
        </w:tc>
        <w:tc>
          <w:tcPr>
            <w:tcW w:w="2400" w:type="dxa"/>
          </w:tcPr>
          <w:p>
            <w:r>
              <w:t xml:space="preserve">Create a Wisconsin title-company closing packet showing the seller is domestic, not foreign</w:t>
            </w:r>
          </w:p>
        </w:tc>
      </w:tr>
    </w:tbl>
    <w:p>
      <w:r>
        <w:t xml:space="preserve">Downloaded Wisconsin materials are in:</w:t>
      </w:r>
    </w:p>
    <w:p>
      <w:r>
        <w:t xml:space="preserve">research/real-estate-jv-tax-2026-06-03/wisconsin-forms/</w:t>
      </w:r>
    </w:p>
    <w:p>
      <w:r>
        <w:t xml:space="preserve">Included files: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File</w:t>
            </w:r>
          </w:p>
        </w:tc>
        <w:tc>
          <w:tcPr>
            <w:tcW w:w="2400" w:type="dxa"/>
            <w:shd w:fill="EEF3F8"/>
          </w:tcPr>
          <w:p>
            <w:r>
              <w:t xml:space="preserve">Use</w:t>
            </w:r>
          </w:p>
        </w:tc>
      </w:tr>
      <w:tr>
        <w:tc>
          <w:tcPr>
            <w:tcW w:w="2400" w:type="dxa"/>
          </w:tcPr>
          <w:p>
            <w:r>
              <w:t xml:space="preserve">wi-CORP21-foreign-business-corp-certificate-authority.pdf</w:t>
            </w:r>
          </w:p>
        </w:tc>
        <w:tc>
          <w:tcPr>
            <w:tcW w:w="2400" w:type="dxa"/>
          </w:tcPr>
          <w:p>
            <w:r>
              <w:t xml:space="preserve">Wisconsin certificate of authority for a foreign business corporation</w:t>
            </w:r>
          </w:p>
        </w:tc>
      </w:tr>
      <w:tr>
        <w:tc>
          <w:tcPr>
            <w:tcW w:w="2400" w:type="dxa"/>
          </w:tcPr>
          <w:p>
            <w:r>
              <w:t xml:space="preserve">wi-CORP502-llc-articles-organization.pdf</w:t>
            </w:r>
          </w:p>
        </w:tc>
        <w:tc>
          <w:tcPr>
            <w:tcW w:w="2400" w:type="dxa"/>
          </w:tcPr>
          <w:p>
            <w:r>
              <w:t xml:space="preserve">Wisconsin LLC articles of organization</w:t>
            </w:r>
          </w:p>
        </w:tc>
      </w:tr>
      <w:tr>
        <w:tc>
          <w:tcPr>
            <w:tcW w:w="2400" w:type="dxa"/>
          </w:tcPr>
          <w:p>
            <w:r>
              <w:t xml:space="preserve">wi-CORP521-foreign-llc-registration.pdf</w:t>
            </w:r>
          </w:p>
        </w:tc>
        <w:tc>
          <w:tcPr>
            <w:tcW w:w="2400" w:type="dxa"/>
          </w:tcPr>
          <w:p>
            <w:r>
              <w:t xml:space="preserve">Wisconsin registration statement for a foreign LLC</w:t>
            </w:r>
          </w:p>
        </w:tc>
      </w:tr>
      <w:tr>
        <w:tc>
          <w:tcPr>
            <w:tcW w:w="2400" w:type="dxa"/>
          </w:tcPr>
          <w:p>
            <w:r>
              <w:t xml:space="preserve">wi-dfi-business-entity-forms.html</w:t>
            </w:r>
          </w:p>
        </w:tc>
        <w:tc>
          <w:tcPr>
            <w:tcW w:w="2400" w:type="dxa"/>
          </w:tcPr>
          <w:p>
            <w:r>
              <w:t xml:space="preserve">Wisconsin DFI business entity forms page</w:t>
            </w:r>
          </w:p>
        </w:tc>
      </w:tr>
      <w:tr>
        <w:tc>
          <w:tcPr>
            <w:tcW w:w="2400" w:type="dxa"/>
          </w:tcPr>
          <w:p>
            <w:r>
              <w:t xml:space="preserve">wi-dfi-foreign-entities.html</w:t>
            </w:r>
          </w:p>
        </w:tc>
        <w:tc>
          <w:tcPr>
            <w:tcW w:w="2400" w:type="dxa"/>
          </w:tcPr>
          <w:p>
            <w:r>
              <w:t xml:space="preserve">Wisconsin DFI foreign entities page</w:t>
            </w:r>
          </w:p>
        </w:tc>
      </w:tr>
      <w:tr>
        <w:tc>
          <w:tcPr>
            <w:tcW w:w="2400" w:type="dxa"/>
          </w:tcPr>
          <w:p>
            <w:r>
              <w:t xml:space="preserve">wi-dor-new-business.html</w:t>
            </w:r>
          </w:p>
        </w:tc>
        <w:tc>
          <w:tcPr>
            <w:tcW w:w="2400" w:type="dxa"/>
          </w:tcPr>
          <w:p>
            <w:r>
              <w:t xml:space="preserve">Wisconsin Department of Revenue new business page</w:t>
            </w:r>
          </w:p>
        </w:tc>
      </w:tr>
    </w:tbl>
    <w:p>
      <w:pPr>
        <w:pStyle w:val="Heading1"/>
      </w:pPr>
      <w:r>
        <w:t xml:space="preserve">Advisor Questions For This Specific Decision</w:t>
      </w:r>
    </w:p>
    <w:p>
      <w:r>
        <w:t xml:space="preserve">Ask U.S. tax counsel:</w:t>
      </w:r>
    </w:p>
    <w:p>
      <w:pPr>
        <w:numPr>
          <w:ilvl w:val="0"/>
          <w:numId w:val="2"/>
        </w:numPr>
      </w:pPr>
      <w:r>
        <w:t xml:space="preserve">For UAE-resident foreign individuals, is direct ownership of U.S. C corporation shares acceptable, or should each use a foreign holding company?</w:t>
      </w:r>
    </w:p>
    <w:p>
      <w:pPr>
        <w:numPr>
          <w:ilvl w:val="0"/>
          <w:numId w:val="2"/>
        </w:numPr>
      </w:pPr>
      <w:r>
        <w:t xml:space="preserve">If foreign holding companies are used, should they be UAE companies or another jurisdiction?</w:t>
      </w:r>
    </w:p>
    <w:p>
      <w:pPr>
        <w:numPr>
          <w:ilvl w:val="0"/>
          <w:numId w:val="2"/>
        </w:numPr>
      </w:pPr>
      <w:r>
        <w:t xml:space="preserve">What is the expected U.S. withholding cost on dividends to the holding companies?</w:t>
      </w:r>
    </w:p>
    <w:p>
      <w:pPr>
        <w:numPr>
          <w:ilvl w:val="0"/>
          <w:numId w:val="2"/>
        </w:numPr>
      </w:pPr>
      <w:r>
        <w:t xml:space="preserve">Can preferred equity be used to give the foreign investors a clear economic return without using high-risk debt?</w:t>
      </w:r>
    </w:p>
    <w:p>
      <w:pPr>
        <w:numPr>
          <w:ilvl w:val="0"/>
          <w:numId w:val="2"/>
        </w:numPr>
      </w:pPr>
      <w:r>
        <w:t xml:space="preserve">Should any shareholder debt be used at all under the no-high-risk instruction?</w:t>
      </w:r>
    </w:p>
    <w:p>
      <w:pPr>
        <w:numPr>
          <w:ilvl w:val="0"/>
          <w:numId w:val="2"/>
        </w:numPr>
      </w:pPr>
      <w:r>
        <w:t xml:space="preserve">Would any part of the structure create a U.S. real property holding corporation issue on exit?</w:t>
      </w:r>
    </w:p>
    <w:p>
      <w:pPr>
        <w:numPr>
          <w:ilvl w:val="0"/>
          <w:numId w:val="2"/>
        </w:numPr>
      </w:pPr>
      <w:r>
        <w:t xml:space="preserve">What Form 5472 and related-party reporting will be required?</w:t>
      </w:r>
    </w:p>
    <w:p>
      <w:r>
        <w:t xml:space="preserve">Ask UAE counsel:</w:t>
      </w:r>
    </w:p>
    <w:p>
      <w:pPr>
        <w:numPr>
          <w:ilvl w:val="0"/>
          <w:numId w:val="2"/>
        </w:numPr>
      </w:pPr>
      <w:r>
        <w:t xml:space="preserve">What type of UAE entity is best for passive ownership of U.S. corporation shares?</w:t>
      </w:r>
    </w:p>
    <w:p>
      <w:pPr>
        <w:numPr>
          <w:ilvl w:val="0"/>
          <w:numId w:val="2"/>
        </w:numPr>
      </w:pPr>
      <w:r>
        <w:t xml:space="preserve">Would the holding company be subject to UAE corporate tax?</w:t>
      </w:r>
    </w:p>
    <w:p>
      <w:pPr>
        <w:numPr>
          <w:ilvl w:val="0"/>
          <w:numId w:val="2"/>
        </w:numPr>
      </w:pPr>
      <w:r>
        <w:t xml:space="preserve">Is a participation exemption or other relief available for dividends from the U.S. corporation?</w:t>
      </w:r>
    </w:p>
    <w:p>
      <w:pPr>
        <w:numPr>
          <w:ilvl w:val="0"/>
          <w:numId w:val="2"/>
        </w:numPr>
      </w:pPr>
      <w:r>
        <w:t xml:space="preserve">What substance, accounting, audit, registration, or free-zone requirements apply?</w:t>
      </w:r>
    </w:p>
    <w:p>
      <w:pPr>
        <w:numPr>
          <w:ilvl w:val="0"/>
          <w:numId w:val="2"/>
        </w:numPr>
      </w:pPr>
      <w:r>
        <w:t xml:space="preserve">How can funds be distributed from the UAE company to the individual investor?</w:t>
      </w:r>
    </w:p>
    <w:p>
      <w:r>
        <w:t xml:space="preserve">Ask Wisconsin counsel/CPA:</w:t>
      </w:r>
    </w:p>
    <w:p>
      <w:pPr>
        <w:numPr>
          <w:ilvl w:val="0"/>
          <w:numId w:val="2"/>
        </w:numPr>
      </w:pPr>
      <w:r>
        <w:t xml:space="preserve">Should the parent corporation be Wisconsin or Delaware plus Wisconsin foreign qualification?</w:t>
      </w:r>
    </w:p>
    <w:p>
      <w:pPr>
        <w:numPr>
          <w:ilvl w:val="0"/>
          <w:numId w:val="2"/>
        </w:numPr>
      </w:pPr>
      <w:r>
        <w:t xml:space="preserve">Should every property be held in a separate Wisconsin LLC, or should LLCs be grouped by project?</w:t>
      </w:r>
    </w:p>
    <w:p>
      <w:pPr>
        <w:numPr>
          <w:ilvl w:val="0"/>
          <w:numId w:val="2"/>
        </w:numPr>
      </w:pPr>
      <w:r>
        <w:t xml:space="preserve">What Wisconsin tax accounts are required before the first acquisition?</w:t>
      </w:r>
    </w:p>
    <w:p>
      <w:pPr>
        <w:numPr>
          <w:ilvl w:val="0"/>
          <w:numId w:val="2"/>
        </w:numPr>
      </w:pPr>
      <w:r>
        <w:t xml:space="preserve">What title-company documents are needed to avoid FIRPTA confusion at closings?</w:t>
      </w:r>
    </w:p>
    <w:p>
      <w:pPr>
        <w:numPr>
          <w:ilvl w:val="0"/>
          <w:numId w:val="2"/>
        </w:numPr>
      </w:pPr>
      <w:r>
        <w:t xml:space="preserve">What state and local transfer/property tax costs should be modeled?</w:t>
      </w:r>
    </w:p>
    <w:p>
      <w:pPr>
        <w:pStyle w:val="Heading1"/>
      </w:pPr>
      <w:r>
        <w:t xml:space="preserve">Decision Matrix</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Option</w:t>
            </w:r>
          </w:p>
        </w:tc>
        <w:tc>
          <w:tcPr>
            <w:tcW w:w="2400" w:type="dxa"/>
            <w:shd w:fill="EEF3F8"/>
          </w:tcPr>
          <w:p>
            <w:r>
              <w:t xml:space="preserve">Tax Efficiency</w:t>
            </w:r>
          </w:p>
        </w:tc>
        <w:tc>
          <w:tcPr>
            <w:tcW w:w="2400" w:type="dxa"/>
            <w:shd w:fill="EEF3F8"/>
          </w:tcPr>
          <w:p>
            <w:r>
              <w:t xml:space="preserve">Estate Tax Protection</w:t>
            </w:r>
          </w:p>
        </w:tc>
        <w:tc>
          <w:tcPr>
            <w:tcW w:w="2400" w:type="dxa"/>
            <w:shd w:fill="EEF3F8"/>
          </w:tcPr>
          <w:p>
            <w:r>
              <w:t xml:space="preserve">Compliance Simplicity</w:t>
            </w:r>
          </w:p>
        </w:tc>
        <w:tc>
          <w:tcPr>
            <w:tcW w:w="2400" w:type="dxa"/>
            <w:shd w:fill="EEF3F8"/>
          </w:tcPr>
          <w:p>
            <w:r>
              <w:t xml:space="preserve">Audit Defensibility</w:t>
            </w:r>
          </w:p>
        </w:tc>
        <w:tc>
          <w:tcPr>
            <w:tcW w:w="2400" w:type="dxa"/>
            <w:shd w:fill="EEF3F8"/>
          </w:tcPr>
          <w:p>
            <w:r>
              <w:t xml:space="preserve">Overall Fit</w:t>
            </w:r>
          </w:p>
        </w:tc>
      </w:tr>
      <w:tr>
        <w:tc>
          <w:tcPr>
            <w:tcW w:w="2400" w:type="dxa"/>
          </w:tcPr>
          <w:p>
            <w:r>
              <w:t xml:space="preserve">Direct foreign individual ownership</w:t>
            </w:r>
          </w:p>
        </w:tc>
        <w:tc>
          <w:tcPr>
            <w:tcW w:w="2400" w:type="dxa"/>
          </w:tcPr>
          <w:p>
            <w:r>
              <w:t xml:space="preserve">Medium/Low</w:t>
            </w:r>
          </w:p>
        </w:tc>
        <w:tc>
          <w:tcPr>
            <w:tcW w:w="2400" w:type="dxa"/>
          </w:tcPr>
          <w:p>
            <w:r>
              <w:t xml:space="preserve">Poor</w:t>
            </w:r>
          </w:p>
        </w:tc>
        <w:tc>
          <w:tcPr>
            <w:tcW w:w="2400" w:type="dxa"/>
          </w:tcPr>
          <w:p>
            <w:r>
              <w:t xml:space="preserve">Simple</w:t>
            </w:r>
          </w:p>
        </w:tc>
        <w:tc>
          <w:tcPr>
            <w:tcW w:w="2400" w:type="dxa"/>
          </w:tcPr>
          <w:p>
            <w:r>
              <w:t xml:space="preserve">Medium</w:t>
            </w:r>
          </w:p>
        </w:tc>
        <w:tc>
          <w:tcPr>
            <w:tcW w:w="2400" w:type="dxa"/>
          </w:tcPr>
          <w:p>
            <w:r>
              <w:t xml:space="preserve">Not recommended as first choice</w:t>
            </w:r>
          </w:p>
        </w:tc>
      </w:tr>
      <w:tr>
        <w:tc>
          <w:tcPr>
            <w:tcW w:w="2400" w:type="dxa"/>
          </w:tcPr>
          <w:p>
            <w:r>
              <w:t xml:space="preserve">Foreign holding company for each investor</w:t>
            </w:r>
          </w:p>
        </w:tc>
        <w:tc>
          <w:tcPr>
            <w:tcW w:w="2400" w:type="dxa"/>
          </w:tcPr>
          <w:p>
            <w:r>
              <w:t xml:space="preserve">Medium</w:t>
            </w:r>
          </w:p>
        </w:tc>
        <w:tc>
          <w:tcPr>
            <w:tcW w:w="2400" w:type="dxa"/>
          </w:tcPr>
          <w:p>
            <w:r>
              <w:t xml:space="preserve">Stronger</w:t>
            </w:r>
          </w:p>
        </w:tc>
        <w:tc>
          <w:tcPr>
            <w:tcW w:w="2400" w:type="dxa"/>
          </w:tcPr>
          <w:p>
            <w:r>
              <w:t xml:space="preserve">Medium</w:t>
            </w:r>
          </w:p>
        </w:tc>
        <w:tc>
          <w:tcPr>
            <w:tcW w:w="2400" w:type="dxa"/>
          </w:tcPr>
          <w:p>
            <w:r>
              <w:t xml:space="preserve">Stronger</w:t>
            </w:r>
          </w:p>
        </w:tc>
        <w:tc>
          <w:tcPr>
            <w:tcW w:w="2400" w:type="dxa"/>
          </w:tcPr>
          <w:p>
            <w:r>
              <w:t xml:space="preserve">Recommended for review</w:t>
            </w:r>
          </w:p>
        </w:tc>
      </w:tr>
      <w:tr>
        <w:tc>
          <w:tcPr>
            <w:tcW w:w="2400" w:type="dxa"/>
          </w:tcPr>
          <w:p>
            <w:r>
              <w:t xml:space="preserve">One pooled foreign holding company</w:t>
            </w:r>
          </w:p>
        </w:tc>
        <w:tc>
          <w:tcPr>
            <w:tcW w:w="2400" w:type="dxa"/>
          </w:tcPr>
          <w:p>
            <w:r>
              <w:t xml:space="preserve">Medium</w:t>
            </w:r>
          </w:p>
        </w:tc>
        <w:tc>
          <w:tcPr>
            <w:tcW w:w="2400" w:type="dxa"/>
          </w:tcPr>
          <w:p>
            <w:r>
              <w:t xml:space="preserve">Stronger</w:t>
            </w:r>
          </w:p>
        </w:tc>
        <w:tc>
          <w:tcPr>
            <w:tcW w:w="2400" w:type="dxa"/>
          </w:tcPr>
          <w:p>
            <w:r>
              <w:t xml:space="preserve">Medium/Low</w:t>
            </w:r>
          </w:p>
        </w:tc>
        <w:tc>
          <w:tcPr>
            <w:tcW w:w="2400" w:type="dxa"/>
          </w:tcPr>
          <w:p>
            <w:r>
              <w:t xml:space="preserve">Medium</w:t>
            </w:r>
          </w:p>
        </w:tc>
        <w:tc>
          <w:tcPr>
            <w:tcW w:w="2400" w:type="dxa"/>
          </w:tcPr>
          <w:p>
            <w:r>
              <w:t xml:space="preserve">Possible but not preferred</w:t>
            </w:r>
          </w:p>
        </w:tc>
      </w:tr>
      <w:tr>
        <w:tc>
          <w:tcPr>
            <w:tcW w:w="2400" w:type="dxa"/>
          </w:tcPr>
          <w:p>
            <w:r>
              <w:t xml:space="preserve">Treaty-country holding company</w:t>
            </w:r>
          </w:p>
        </w:tc>
        <w:tc>
          <w:tcPr>
            <w:tcW w:w="2400" w:type="dxa"/>
          </w:tcPr>
          <w:p>
            <w:r>
              <w:t xml:space="preserve">Potentially higher</w:t>
            </w:r>
          </w:p>
        </w:tc>
        <w:tc>
          <w:tcPr>
            <w:tcW w:w="2400" w:type="dxa"/>
          </w:tcPr>
          <w:p>
            <w:r>
              <w:t xml:space="preserve">Stronger</w:t>
            </w:r>
          </w:p>
        </w:tc>
        <w:tc>
          <w:tcPr>
            <w:tcW w:w="2400" w:type="dxa"/>
          </w:tcPr>
          <w:p>
            <w:r>
              <w:t xml:space="preserve">Low</w:t>
            </w:r>
          </w:p>
        </w:tc>
        <w:tc>
          <w:tcPr>
            <w:tcW w:w="2400" w:type="dxa"/>
          </w:tcPr>
          <w:p>
            <w:r>
              <w:t xml:space="preserve">Riskier if no real substance</w:t>
            </w:r>
          </w:p>
        </w:tc>
        <w:tc>
          <w:tcPr>
            <w:tcW w:w="2400" w:type="dxa"/>
          </w:tcPr>
          <w:p>
            <w:r>
              <w:t xml:space="preserve">Not recommended unless real substance exists</w:t>
            </w:r>
          </w:p>
        </w:tc>
      </w:tr>
      <w:tr>
        <w:tc>
          <w:tcPr>
            <w:tcW w:w="2400" w:type="dxa"/>
          </w:tcPr>
          <w:p>
            <w:r>
              <w:t xml:space="preserve">Debt-heavy structure</w:t>
            </w:r>
          </w:p>
        </w:tc>
        <w:tc>
          <w:tcPr>
            <w:tcW w:w="2400" w:type="dxa"/>
          </w:tcPr>
          <w:p>
            <w:r>
              <w:t xml:space="preserve">Potentially higher</w:t>
            </w:r>
          </w:p>
        </w:tc>
        <w:tc>
          <w:tcPr>
            <w:tcW w:w="2400" w:type="dxa"/>
          </w:tcPr>
          <w:p>
            <w:r>
              <w:t xml:space="preserve">Medium</w:t>
            </w:r>
          </w:p>
        </w:tc>
        <w:tc>
          <w:tcPr>
            <w:tcW w:w="2400" w:type="dxa"/>
          </w:tcPr>
          <w:p>
            <w:r>
              <w:t xml:space="preserve">Low</w:t>
            </w:r>
          </w:p>
        </w:tc>
        <w:tc>
          <w:tcPr>
            <w:tcW w:w="2400" w:type="dxa"/>
          </w:tcPr>
          <w:p>
            <w:r>
              <w:t xml:space="preserve">Riskier</w:t>
            </w:r>
          </w:p>
        </w:tc>
        <w:tc>
          <w:tcPr>
            <w:tcW w:w="2400" w:type="dxa"/>
          </w:tcPr>
          <w:p>
            <w:r>
              <w:t xml:space="preserve">Not recommended as base case</w:t>
            </w:r>
          </w:p>
        </w:tc>
      </w:tr>
      <w:tr>
        <w:tc>
          <w:tcPr>
            <w:tcW w:w="2400" w:type="dxa"/>
          </w:tcPr>
          <w:p>
            <w:r>
              <w:t xml:space="preserve">Preferred equity through foreign holding companies</w:t>
            </w:r>
          </w:p>
        </w:tc>
        <w:tc>
          <w:tcPr>
            <w:tcW w:w="2400" w:type="dxa"/>
          </w:tcPr>
          <w:p>
            <w:r>
              <w:t xml:space="preserve">Medium</w:t>
            </w:r>
          </w:p>
        </w:tc>
        <w:tc>
          <w:tcPr>
            <w:tcW w:w="2400" w:type="dxa"/>
          </w:tcPr>
          <w:p>
            <w:r>
              <w:t xml:space="preserve">Stronger</w:t>
            </w:r>
          </w:p>
        </w:tc>
        <w:tc>
          <w:tcPr>
            <w:tcW w:w="2400" w:type="dxa"/>
          </w:tcPr>
          <w:p>
            <w:r>
              <w:t xml:space="preserve">Medium</w:t>
            </w:r>
          </w:p>
        </w:tc>
        <w:tc>
          <w:tcPr>
            <w:tcW w:w="2400" w:type="dxa"/>
          </w:tcPr>
          <w:p>
            <w:r>
              <w:t xml:space="preserve">Stronger</w:t>
            </w:r>
          </w:p>
        </w:tc>
        <w:tc>
          <w:tcPr>
            <w:tcW w:w="2400" w:type="dxa"/>
          </w:tcPr>
          <w:p>
            <w:r>
              <w:t xml:space="preserve">Best conservative model to evaluate</w:t>
            </w:r>
          </w:p>
        </w:tc>
      </w:tr>
    </w:tbl>
    <w:p>
      <w:pPr>
        <w:pStyle w:val="Heading1"/>
      </w:pPr>
      <w:r>
        <w:t xml:space="preserve">Updated Recommendation</w:t>
      </w:r>
    </w:p>
    <w:p>
      <w:r>
        <w:t xml:space="preserve">For the next version of the plan, model the foreign investors as passive UAE-resident investors using separate foreign holding companies, with preferred equity or clean equity as the base case. Treat debt as optional and secondary, not the foundation of the plan.</w:t>
      </w:r>
    </w:p>
    <w:p>
      <w:r>
        <w:t xml:space="preserve">The tax cost may be higher than an aggressive structure, but the risk profile is much better. With no U.S.-UAE treaty and a no-workaround policy, the priority should be estate-tax protection, documentation, withholding compliance, Wisconsin readiness, and bankability.</w:t>
      </w:r>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lvl>
  </w:abstractNum>
  <w:abstractNum w:abstractNumId="2">
    <w:lvl w:ilvl="0">
      <w:start w:val="1"/>
      <w:numFmt w:val="decimal"/>
      <w:lvlText w:val="%1."/>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rPr>
      <w:sz w:val="22"/>
      <w:rFonts w:ascii="Arial" w:hAnsi="Arial"/>
    </w:rPr>
    <w:pPr>
      <w:spacing w:after="120"/>
    </w:pPr>
  </w:style>
  <w:style w:type="paragraph" w:styleId="Title">
    <w:name w:val="Title"/>
    <w:basedOn w:val="Normal"/>
    <w:rPr>
      <w:b/>
      <w:sz w:val="34"/>
    </w:rPr>
    <w:pPr>
      <w:spacing w:after="240"/>
    </w:pPr>
  </w:style>
  <w:style w:type="paragraph" w:styleId="Heading1">
    <w:name w:val="Heading 1"/>
    <w:basedOn w:val="Normal"/>
    <w:rPr>
      <w:b/>
      <w:sz w:val="28"/>
    </w:rPr>
    <w:pPr>
      <w:spacing w:before="360" w:after="160"/>
    </w:pPr>
  </w:style>
  <w:style w:type="paragraph" w:styleId="Heading2">
    <w:name w:val="Heading 2"/>
    <w:basedOn w:val="Normal"/>
    <w:rPr>
      <w:b/>
      <w:sz w:val="24"/>
    </w:rPr>
    <w:pPr>
      <w:spacing w:before="24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OpenClaw</Application>
</Properties>
</file>

<file path=docProps/core.xml><?xml version="1.0" encoding="utf-8"?>
<cp:coreProperties xmlns:cp="http://schemas.openxmlformats.org/package/2006/metadata/core-properties" xmlns:dc="http://purl.org/dc/elements/1.1/" xmlns:dcterms="http://purl.org/dc/terms/" xmlns:xsi="http://www.w3.org/2001/XMLSchema-instance">
  <dc:title>U.S. Real Estate JV Setup Project Plan</dc:title>
  <dc:creator>OpenClaw</dc:creator>
  <dcterms:created xsi:type="dcterms:W3CDTF">2026-06-04T02:18:02.601138Z</dcterms:created>
</cp:coreProperties>
</file>