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A8687" w14:textId="77777777" w:rsidR="00F94E95" w:rsidRDefault="00F94E95" w:rsidP="00F94E95">
      <w:pPr>
        <w:pStyle w:val="SemEspaamento"/>
        <w:rPr>
          <w:b/>
          <w:bCs/>
          <w:color w:val="806000" w:themeColor="accent4" w:themeShade="80"/>
          <w:sz w:val="22"/>
          <w:szCs w:val="22"/>
        </w:rPr>
      </w:pPr>
      <w:r w:rsidRPr="00F94E95">
        <w:rPr>
          <w:b/>
          <w:bCs/>
          <w:color w:val="806000" w:themeColor="accent4" w:themeShade="80"/>
          <w:sz w:val="22"/>
          <w:szCs w:val="22"/>
        </w:rPr>
        <w:t>PROPOSTA PARA DEFESA DE OPOSIÇÃO NO INPI</w:t>
      </w:r>
    </w:p>
    <w:p w14:paraId="3F3D2AE6" w14:textId="77777777" w:rsidR="00F94E95" w:rsidRDefault="00F94E95" w:rsidP="00F94E95">
      <w:pPr>
        <w:pStyle w:val="SemEspaamento"/>
        <w:rPr>
          <w:rFonts w:asciiTheme="minorHAnsi" w:hAnsiTheme="minorHAnsi" w:cstheme="minorHAnsi"/>
          <w:sz w:val="22"/>
          <w:szCs w:val="22"/>
        </w:rPr>
      </w:pPr>
      <w:r w:rsidRPr="00F94E95">
        <w:rPr>
          <w:b/>
          <w:bCs/>
          <w:color w:val="222A35" w:themeColor="text2" w:themeShade="80"/>
          <w:sz w:val="22"/>
          <w:szCs w:val="22"/>
        </w:rPr>
        <w:t xml:space="preserve">Marca: </w:t>
      </w:r>
      <w:r w:rsidRPr="00F94E95">
        <w:rPr>
          <w:b/>
          <w:bCs/>
          <w:color w:val="222A35" w:themeColor="text2" w:themeShade="80"/>
          <w:sz w:val="22"/>
          <w:szCs w:val="22"/>
        </w:rPr>
        <w:t>{{MARCA}}</w:t>
      </w:r>
      <w:r w:rsidRPr="00F94E95">
        <w:rPr>
          <w:b/>
          <w:bCs/>
          <w:color w:val="222A35" w:themeColor="text2" w:themeShade="80"/>
          <w:sz w:val="22"/>
          <w:szCs w:val="22"/>
        </w:rPr>
        <w:br/>
        <w:t>Processo no INPI: {{PROCESSO}}</w:t>
      </w:r>
      <w:r w:rsidRPr="00F94E95">
        <w:rPr>
          <w:b/>
          <w:bCs/>
          <w:color w:val="222A35" w:themeColor="text2" w:themeShade="80"/>
          <w:sz w:val="22"/>
          <w:szCs w:val="22"/>
        </w:rPr>
        <w:br/>
        <w:t xml:space="preserve">Titular: {{TITULAR}}</w:t>
      </w:r>
      <w:r>
        <w:rPr>
          <w:b/>
          <w:bCs/>
          <w:color w:val="222A35" w:themeColor="text2" w:themeShade="80"/>
          <w:sz w:val="22"/>
          <w:szCs w:val="22"/>
        </w:rPr>
        <w:br/>
      </w:r>
      <w:r>
        <w:rPr>
          <w:b/>
          <w:bCs/>
          <w:color w:val="222A35" w:themeColor="text2" w:themeShade="80"/>
          <w:sz w:val="22"/>
          <w:szCs w:val="22"/>
        </w:rPr>
        <w:br/>
      </w:r>
      <w:r w:rsidRPr="00F94E95">
        <w:rPr>
          <w:b/>
          <w:bCs/>
          <w:color w:val="222A35" w:themeColor="text2" w:themeShade="80"/>
          <w:sz w:val="22"/>
          <w:szCs w:val="22"/>
        </w:rPr>
        <w:t>Situação da marca</w:t>
      </w:r>
      <w:r w:rsidRPr="00F94E95">
        <w:rPr>
          <w:b/>
          <w:bCs/>
          <w:color w:val="222A35" w:themeColor="text2" w:themeShade="80"/>
          <w:sz w:val="22"/>
          <w:szCs w:val="22"/>
        </w:rPr>
        <w:br/>
      </w:r>
    </w:p>
    <w:p w14:paraId="13E20FCC" w14:textId="0DE25756" w:rsidR="008E6B29" w:rsidRPr="00F94E95" w:rsidRDefault="008E6B29" w:rsidP="00F94E95">
      <w:pPr>
        <w:pStyle w:val="SemEspaamento"/>
        <w:rPr>
          <w:rFonts w:asciiTheme="minorHAnsi" w:hAnsiTheme="minorHAnsi" w:cstheme="minorHAnsi"/>
          <w:sz w:val="22"/>
          <w:szCs w:val="22"/>
        </w:rPr>
      </w:pPr>
      <w:r w:rsidRPr="00F94E95">
        <w:rPr>
          <w:rFonts w:asciiTheme="minorHAnsi" w:hAnsiTheme="minorHAnsi" w:cstheme="minorHAnsi"/>
          <w:sz w:val="22"/>
          <w:szCs w:val="22"/>
        </w:rPr>
        <w:t>Olá, {{PRIMEIRO_NOME}}.</w:t>
      </w:r>
    </w:p>
    <w:p w14:paraId="2917E6A8" w14:textId="77777777" w:rsidR="00F94E95" w:rsidRPr="00F94E95" w:rsidRDefault="00F94E95" w:rsidP="00F94E95">
      <w:pPr>
        <w:pStyle w:val="SemEspaamento"/>
        <w:rPr>
          <w:b/>
          <w:bCs/>
          <w:color w:val="806000" w:themeColor="accent4" w:themeShade="80"/>
          <w:sz w:val="22"/>
          <w:szCs w:val="22"/>
        </w:rPr>
      </w:pPr>
    </w:p>
    <w:p w14:paraId="133FAE44" w14:textId="77777777" w:rsidR="00F94E95" w:rsidRPr="00F94E95" w:rsidRDefault="00F94E95" w:rsidP="00F94E95">
      <w:pPr>
        <w:pStyle w:val="SemEspaamento"/>
        <w:jc w:val="both"/>
        <w:rPr>
          <w:sz w:val="22"/>
          <w:szCs w:val="22"/>
        </w:rPr>
      </w:pPr>
      <w:r w:rsidRPr="00F94E95">
        <w:rPr>
          <w:sz w:val="22"/>
          <w:szCs w:val="22"/>
        </w:rPr>
        <w:t xml:space="preserve">Meu nome é Juvenill Ribêiro e faço parte da </w:t>
      </w:r>
      <w:r w:rsidRPr="00F94E95">
        <w:rPr>
          <w:b/>
          <w:bCs/>
          <w:sz w:val="22"/>
          <w:szCs w:val="22"/>
        </w:rPr>
        <w:t>LIV Propriedade Intelectual</w:t>
      </w:r>
      <w:r w:rsidRPr="00F94E95">
        <w:rPr>
          <w:sz w:val="22"/>
          <w:szCs w:val="22"/>
        </w:rPr>
        <w:t>. Trabalhamos com registro, defesa e acompanhamento de marcas junto ao INPI.</w:t>
      </w:r>
    </w:p>
    <w:p w14:paraId="1C2126F7" w14:textId="77777777" w:rsidR="00F94E95" w:rsidRPr="00F94E95" w:rsidRDefault="00F94E95" w:rsidP="00F94E95">
      <w:pPr>
        <w:pStyle w:val="SemEspaamento"/>
        <w:jc w:val="both"/>
        <w:rPr>
          <w:sz w:val="22"/>
          <w:szCs w:val="22"/>
        </w:rPr>
      </w:pPr>
    </w:p>
    <w:p w14:paraId="0D0D2ECA" w14:textId="77777777" w:rsidR="00F94E95" w:rsidRPr="00F94E95" w:rsidRDefault="00F94E95" w:rsidP="00F94E95">
      <w:pPr>
        <w:pStyle w:val="SemEspaamento"/>
        <w:jc w:val="both"/>
        <w:rPr>
          <w:sz w:val="22"/>
          <w:szCs w:val="22"/>
        </w:rPr>
      </w:pPr>
      <w:r w:rsidRPr="00F94E95">
        <w:rPr>
          <w:sz w:val="22"/>
          <w:szCs w:val="22"/>
        </w:rPr>
        <w:t xml:space="preserve">Identificamos que o pedido de registro da marca </w:t>
      </w:r>
      <w:r w:rsidRPr="00F94E95">
        <w:rPr>
          <w:b/>
          <w:bCs/>
          <w:sz w:val="22"/>
          <w:szCs w:val="22"/>
        </w:rPr>
        <w:t>{{MARCA}}</w:t>
      </w:r>
      <w:r w:rsidRPr="00F94E95">
        <w:rPr>
          <w:sz w:val="22"/>
          <w:szCs w:val="22"/>
        </w:rPr>
        <w:t xml:space="preserve"> recebeu uma oposição apresentada por terceiro. Isso significa que outra pessoa ou empresa enviou ao INPI argumentos para tentar impedir o registro da sua marca. </w:t>
      </w:r>
    </w:p>
    <w:p w14:paraId="4AE69FF0" w14:textId="77777777" w:rsidR="00F94E95" w:rsidRPr="00F94E95" w:rsidRDefault="00F94E95" w:rsidP="00F94E95">
      <w:pPr>
        <w:pStyle w:val="SemEspaamento"/>
        <w:jc w:val="both"/>
        <w:rPr>
          <w:sz w:val="22"/>
          <w:szCs w:val="22"/>
        </w:rPr>
      </w:pPr>
    </w:p>
    <w:p w14:paraId="4DC8A4D1" w14:textId="77777777" w:rsidR="00F94E95" w:rsidRPr="00F94E95" w:rsidRDefault="00F94E95" w:rsidP="00F94E95">
      <w:pPr>
        <w:pStyle w:val="SemEspaamento"/>
        <w:jc w:val="both"/>
        <w:rPr>
          <w:sz w:val="22"/>
          <w:szCs w:val="22"/>
        </w:rPr>
      </w:pPr>
      <w:r w:rsidRPr="00F94E95">
        <w:rPr>
          <w:sz w:val="22"/>
          <w:szCs w:val="22"/>
        </w:rPr>
        <w:t xml:space="preserve">Neste momento, o processo está aguardando uma resposta do titular. O prazo estimado para apresentar essa defesa termina em torno de </w:t>
      </w:r>
      <w:r w:rsidRPr="00F94E95">
        <w:rPr>
          <w:b/>
          <w:bCs/>
          <w:sz w:val="22"/>
          <w:szCs w:val="22"/>
        </w:rPr>
        <w:t>{{PRAZO}}</w:t>
      </w:r>
      <w:r w:rsidRPr="00F94E95">
        <w:rPr>
          <w:sz w:val="22"/>
          <w:szCs w:val="22"/>
        </w:rPr>
        <w:t xml:space="preserve">, mas a data deve ser confirmada antes da contratação. </w:t>
      </w:r>
    </w:p>
    <w:p w14:paraId="6D262F25" w14:textId="77777777" w:rsidR="00F94E95" w:rsidRPr="00F94E95" w:rsidRDefault="00F94E95" w:rsidP="00F94E95">
      <w:pPr>
        <w:pStyle w:val="SemEspaamento"/>
        <w:jc w:val="both"/>
        <w:rPr>
          <w:sz w:val="22"/>
          <w:szCs w:val="22"/>
        </w:rPr>
      </w:pPr>
    </w:p>
    <w:p w14:paraId="2567D0ED" w14:textId="77777777" w:rsidR="00F94E95" w:rsidRPr="00F94E95" w:rsidRDefault="00F94E95" w:rsidP="00F94E95">
      <w:pPr>
        <w:pStyle w:val="SemEspaamento"/>
        <w:jc w:val="both"/>
        <w:rPr>
          <w:sz w:val="22"/>
          <w:szCs w:val="22"/>
        </w:rPr>
      </w:pPr>
      <w:r w:rsidRPr="00F94E95">
        <w:rPr>
          <w:sz w:val="22"/>
          <w:szCs w:val="22"/>
        </w:rPr>
        <w:t>A oposição não significa que o pedido já foi negado. No entanto, deixar de apresentar uma resposta permite que o INPI analise o caso considerando apenas os argumentos da outra parte, o que pode enfraquecer o pedido e aumentar o risco de indeferimento.</w:t>
      </w:r>
    </w:p>
    <w:p w14:paraId="24A5438A" w14:textId="77777777" w:rsidR="00F94E95" w:rsidRPr="00F94E95" w:rsidRDefault="00F94E95" w:rsidP="00F94E95">
      <w:pPr>
        <w:pStyle w:val="SemEspaamento"/>
        <w:jc w:val="both"/>
        <w:rPr>
          <w:sz w:val="22"/>
          <w:szCs w:val="22"/>
        </w:rPr>
      </w:pPr>
    </w:p>
    <w:p w14:paraId="229EEA7B" w14:textId="7D5AA5BF" w:rsidR="008E6B29" w:rsidRPr="00F94E95" w:rsidRDefault="008E6B29" w:rsidP="00F94E95">
      <w:pPr>
        <w:pStyle w:val="SemEspaamento"/>
        <w:jc w:val="both"/>
        <w:rPr>
          <w:b/>
          <w:bCs/>
          <w:sz w:val="22"/>
          <w:szCs w:val="22"/>
        </w:rPr>
      </w:pPr>
      <w:r w:rsidRPr="00F94E95">
        <w:rPr>
          <w:b/>
          <w:bCs/>
          <w:sz w:val="22"/>
          <w:szCs w:val="22"/>
        </w:rPr>
        <w:t>O que a LIV Propriedade Intelectual fará</w:t>
      </w:r>
    </w:p>
    <w:p w14:paraId="3DF1912D" w14:textId="77777777" w:rsidR="00F94E95" w:rsidRPr="00F94E95" w:rsidRDefault="00F94E95" w:rsidP="00F94E95">
      <w:pPr>
        <w:pStyle w:val="SemEspaamento"/>
        <w:jc w:val="both"/>
        <w:rPr>
          <w:sz w:val="22"/>
          <w:szCs w:val="22"/>
        </w:rPr>
      </w:pPr>
    </w:p>
    <w:p w14:paraId="538C309B" w14:textId="77777777" w:rsidR="00F94E95" w:rsidRPr="00F94E95" w:rsidRDefault="00F94E95" w:rsidP="00F94E95">
      <w:pPr>
        <w:pStyle w:val="SemEspaamen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94E95">
        <w:rPr>
          <w:rFonts w:asciiTheme="minorHAnsi" w:hAnsiTheme="minorHAnsi" w:cstheme="minorHAnsi"/>
          <w:b/>
          <w:bCs/>
          <w:sz w:val="22"/>
          <w:szCs w:val="22"/>
        </w:rPr>
        <w:t>1. Analisar a oposição</w:t>
      </w:r>
    </w:p>
    <w:p w14:paraId="44317ED4" w14:textId="77777777" w:rsidR="00F94E95" w:rsidRPr="00F94E95" w:rsidRDefault="00F94E95" w:rsidP="00F94E95">
      <w:pPr>
        <w:pStyle w:val="SemEspaamento"/>
        <w:jc w:val="both"/>
        <w:rPr>
          <w:rFonts w:asciiTheme="minorHAnsi" w:hAnsiTheme="minorHAnsi" w:cstheme="minorHAnsi"/>
          <w:sz w:val="22"/>
          <w:szCs w:val="22"/>
        </w:rPr>
      </w:pPr>
      <w:r w:rsidRPr="00F94E95">
        <w:rPr>
          <w:rFonts w:asciiTheme="minorHAnsi" w:hAnsiTheme="minorHAnsi" w:cstheme="minorHAnsi"/>
          <w:sz w:val="22"/>
          <w:szCs w:val="22"/>
        </w:rPr>
        <w:t xml:space="preserve">Vamos estudar os argumentos apresentados pela outra parte e verificar qual marca está sendo utilizada para questionar o pedido da </w:t>
      </w:r>
      <w:r w:rsidRPr="00F94E95">
        <w:rPr>
          <w:rFonts w:asciiTheme="minorHAnsi" w:hAnsiTheme="minorHAnsi" w:cstheme="minorHAnsi"/>
          <w:sz w:val="22"/>
          <w:szCs w:val="22"/>
        </w:rPr>
        <w:t>{{MARCA}}.</w:t>
      </w:r>
    </w:p>
    <w:p w14:paraId="3645A671" w14:textId="77777777" w:rsidR="00F94E95" w:rsidRPr="00F94E95" w:rsidRDefault="00F94E95" w:rsidP="00F94E95">
      <w:pPr>
        <w:pStyle w:val="SemEspaamento"/>
        <w:jc w:val="both"/>
        <w:rPr>
          <w:rFonts w:asciiTheme="minorHAnsi" w:hAnsiTheme="minorHAnsi" w:cstheme="minorHAnsi"/>
          <w:sz w:val="22"/>
          <w:szCs w:val="22"/>
        </w:rPr>
      </w:pPr>
    </w:p>
    <w:p w14:paraId="39DB60A9" w14:textId="77777777" w:rsidR="00F94E95" w:rsidRPr="00F94E95" w:rsidRDefault="00F94E95" w:rsidP="00F94E95">
      <w:pPr>
        <w:pStyle w:val="SemEspaamen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94E95">
        <w:rPr>
          <w:rFonts w:asciiTheme="minorHAnsi" w:hAnsiTheme="minorHAnsi" w:cstheme="minorHAnsi"/>
          <w:b/>
          <w:bCs/>
          <w:sz w:val="22"/>
          <w:szCs w:val="22"/>
        </w:rPr>
        <w:t>2. Avaliar as possibilidades de defesa</w:t>
      </w:r>
    </w:p>
    <w:p w14:paraId="3017FE79" w14:textId="77777777" w:rsidR="00F94E95" w:rsidRPr="00F94E95" w:rsidRDefault="00F94E95" w:rsidP="00F94E95">
      <w:pPr>
        <w:pStyle w:val="SemEspaamento"/>
        <w:jc w:val="both"/>
        <w:rPr>
          <w:rFonts w:asciiTheme="minorHAnsi" w:hAnsiTheme="minorHAnsi" w:cstheme="minorHAnsi"/>
          <w:sz w:val="22"/>
          <w:szCs w:val="22"/>
        </w:rPr>
      </w:pPr>
      <w:r w:rsidRPr="00F94E95">
        <w:rPr>
          <w:rFonts w:asciiTheme="minorHAnsi" w:hAnsiTheme="minorHAnsi" w:cstheme="minorHAnsi"/>
          <w:sz w:val="22"/>
          <w:szCs w:val="22"/>
        </w:rPr>
        <w:t>Vamos comparar as marcas, os segmentos de atuação e os produtos ou serviços envolvidos para identificar os argumentos que podem fortalecer o pedido.</w:t>
      </w:r>
    </w:p>
    <w:p w14:paraId="73EA4008" w14:textId="77777777" w:rsidR="00F94E95" w:rsidRPr="00F94E95" w:rsidRDefault="00F94E95" w:rsidP="00F94E95">
      <w:pPr>
        <w:pStyle w:val="SemEspaamento"/>
        <w:jc w:val="both"/>
        <w:rPr>
          <w:rFonts w:asciiTheme="minorHAnsi" w:hAnsiTheme="minorHAnsi" w:cstheme="minorHAnsi"/>
          <w:sz w:val="22"/>
          <w:szCs w:val="22"/>
        </w:rPr>
      </w:pPr>
    </w:p>
    <w:p w14:paraId="40223AB4" w14:textId="7C32DB1C" w:rsidR="00F94E95" w:rsidRPr="00F94E95" w:rsidRDefault="00F94E95" w:rsidP="00F94E95">
      <w:pPr>
        <w:pStyle w:val="SemEspaamen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94E95">
        <w:rPr>
          <w:rFonts w:asciiTheme="minorHAnsi" w:hAnsiTheme="minorHAnsi" w:cstheme="minorHAnsi"/>
          <w:b/>
          <w:bCs/>
          <w:sz w:val="22"/>
          <w:szCs w:val="22"/>
        </w:rPr>
        <w:t>3. Preparar e apresentar a defesa</w:t>
      </w:r>
    </w:p>
    <w:p w14:paraId="0A10C087" w14:textId="77777777" w:rsidR="00F94E95" w:rsidRPr="00F94E95" w:rsidRDefault="00F94E95" w:rsidP="00F94E95">
      <w:pPr>
        <w:pStyle w:val="SemEspaamento"/>
        <w:jc w:val="both"/>
        <w:rPr>
          <w:rFonts w:asciiTheme="minorHAnsi" w:hAnsiTheme="minorHAnsi" w:cstheme="minorHAnsi"/>
          <w:sz w:val="22"/>
          <w:szCs w:val="22"/>
        </w:rPr>
      </w:pPr>
      <w:r w:rsidRPr="00F94E95">
        <w:rPr>
          <w:rFonts w:asciiTheme="minorHAnsi" w:hAnsiTheme="minorHAnsi" w:cstheme="minorHAnsi"/>
          <w:sz w:val="22"/>
          <w:szCs w:val="22"/>
        </w:rPr>
        <w:t>Vamos elaborar a resposta à oposição, organizar os argumentos e protocolar a manifestação no INPI dentro do prazo disponível.</w:t>
      </w:r>
    </w:p>
    <w:p w14:paraId="3C710818" w14:textId="77777777" w:rsidR="00F94E95" w:rsidRPr="00F94E95" w:rsidRDefault="00F94E95" w:rsidP="00F94E95">
      <w:pPr>
        <w:pStyle w:val="SemEspaamento"/>
        <w:jc w:val="both"/>
        <w:rPr>
          <w:rFonts w:asciiTheme="minorHAnsi" w:hAnsiTheme="minorHAnsi" w:cstheme="minorHAnsi"/>
          <w:sz w:val="22"/>
          <w:szCs w:val="22"/>
        </w:rPr>
      </w:pPr>
    </w:p>
    <w:p w14:paraId="3FB6A5D4" w14:textId="77777777" w:rsidR="00F94E95" w:rsidRPr="00F94E95" w:rsidRDefault="00F94E95" w:rsidP="00F94E95">
      <w:pPr>
        <w:pStyle w:val="SemEspaamen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94E95">
        <w:rPr>
          <w:rFonts w:asciiTheme="minorHAnsi" w:hAnsiTheme="minorHAnsi" w:cstheme="minorHAnsi"/>
          <w:b/>
          <w:bCs/>
          <w:sz w:val="22"/>
          <w:szCs w:val="22"/>
        </w:rPr>
        <w:t>4. Acompanhar o processo</w:t>
      </w:r>
    </w:p>
    <w:p w14:paraId="5D0484FD" w14:textId="77777777" w:rsidR="00F94E95" w:rsidRPr="00F94E95" w:rsidRDefault="00F94E95" w:rsidP="00F94E95">
      <w:pPr>
        <w:pStyle w:val="SemEspaamento"/>
        <w:jc w:val="both"/>
        <w:rPr>
          <w:rFonts w:asciiTheme="minorHAnsi" w:hAnsiTheme="minorHAnsi" w:cstheme="minorHAnsi"/>
          <w:sz w:val="22"/>
          <w:szCs w:val="22"/>
        </w:rPr>
      </w:pPr>
      <w:r w:rsidRPr="00F94E95">
        <w:rPr>
          <w:rFonts w:asciiTheme="minorHAnsi" w:hAnsiTheme="minorHAnsi" w:cstheme="minorHAnsi"/>
          <w:sz w:val="22"/>
          <w:szCs w:val="22"/>
        </w:rPr>
        <w:t xml:space="preserve">Após o envio da defesa, acompanharemos as novas movimentações do processo até a decisão do INPI e orientaremos sobre os próximos passos. </w:t>
      </w:r>
    </w:p>
    <w:p w14:paraId="032B66E8" w14:textId="5F84068C" w:rsidR="008E6B29" w:rsidRPr="00F94E95" w:rsidRDefault="008E6B29" w:rsidP="008E6B29">
      <w:pPr>
        <w:spacing w:before="200" w:after="40"/>
        <w:rPr>
          <w:rFonts w:asciiTheme="minorHAnsi" w:hAnsiTheme="minorHAnsi" w:cstheme="minorHAnsi"/>
          <w:sz w:val="22"/>
          <w:szCs w:val="22"/>
        </w:rPr>
      </w:pPr>
      <w:r w:rsidRPr="00F94E95">
        <w:rPr>
          <w:rFonts w:asciiTheme="minorHAnsi" w:hAnsiTheme="minorHAnsi" w:cstheme="minorHAnsi"/>
          <w:b/>
          <w:bCs/>
          <w:sz w:val="22"/>
          <w:szCs w:val="22"/>
        </w:rPr>
        <w:t>Investimento</w:t>
      </w:r>
    </w:p>
    <w:tbl>
      <w:tblPr>
        <w:tblW w:w="9209" w:type="dxa"/>
        <w:tblBorders>
          <w:top w:val="single" w:sz="4" w:space="0" w:color="E3DBCE"/>
          <w:left w:val="single" w:sz="4" w:space="0" w:color="E3DBCE"/>
          <w:bottom w:val="single" w:sz="4" w:space="0" w:color="E3DBCE"/>
          <w:right w:val="single" w:sz="4" w:space="0" w:color="E3DBCE"/>
          <w:insideH w:val="single" w:sz="2" w:space="0" w:color="E3DBCE"/>
          <w:insideV w:val="single" w:sz="2" w:space="0" w:color="E3DB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0"/>
        <w:gridCol w:w="1559"/>
      </w:tblGrid>
      <w:tr w:rsidR="008E6B29" w:rsidRPr="00F94E95" w14:paraId="69FFDE74" w14:textId="77777777" w:rsidTr="00DB5210">
        <w:trPr>
          <w:tblHeader/>
        </w:trPr>
        <w:tc>
          <w:tcPr>
            <w:tcW w:w="7650" w:type="dxa"/>
            <w:shd w:val="clear" w:color="auto" w:fill="0F253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1C669" w14:textId="77777777" w:rsidR="008E6B29" w:rsidRPr="00F94E95" w:rsidRDefault="008E6B29" w:rsidP="00DB5210">
            <w:pPr>
              <w:pStyle w:val="SemEspaamen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F94E95">
              <w:rPr>
                <w:color w:val="FFFFFF" w:themeColor="background1"/>
                <w:sz w:val="22"/>
                <w:szCs w:val="22"/>
              </w:rPr>
              <w:t>Item</w:t>
            </w:r>
          </w:p>
        </w:tc>
        <w:tc>
          <w:tcPr>
            <w:tcW w:w="1559" w:type="dxa"/>
            <w:shd w:val="clear" w:color="auto" w:fill="0F253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5796B" w14:textId="77777777" w:rsidR="008E6B29" w:rsidRPr="00F94E95" w:rsidRDefault="008E6B29" w:rsidP="00DB5210">
            <w:pPr>
              <w:pStyle w:val="SemEspaamen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F94E95">
              <w:rPr>
                <w:color w:val="FFFFFF" w:themeColor="background1"/>
                <w:sz w:val="22"/>
                <w:szCs w:val="22"/>
              </w:rPr>
              <w:t>Honorários</w:t>
            </w:r>
          </w:p>
        </w:tc>
      </w:tr>
      <w:tr w:rsidR="008E6B29" w:rsidRPr="00F94E95" w14:paraId="4488D467" w14:textId="77777777" w:rsidTr="00DB5210">
        <w:tc>
          <w:tcPr>
            <w:tcW w:w="7650" w:type="dxa"/>
            <w:shd w:val="clear" w:color="auto" w:fill="FCFA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05E727" w14:textId="464DAD0E" w:rsidR="008E6B29" w:rsidRPr="00F94E95" w:rsidRDefault="00F94E95" w:rsidP="00DB5210">
            <w:pPr>
              <w:pStyle w:val="SemEspaamento"/>
              <w:rPr>
                <w:sz w:val="22"/>
                <w:szCs w:val="22"/>
              </w:rPr>
            </w:pPr>
            <w:r w:rsidRPr="00F94E95">
              <w:rPr>
                <w:sz w:val="22"/>
                <w:szCs w:val="22"/>
              </w:rPr>
              <w:t>Análise da oposição, elaboração, protocolo e acompanhamento da defesa no INPI</w:t>
            </w:r>
          </w:p>
        </w:tc>
        <w:tc>
          <w:tcPr>
            <w:tcW w:w="1559" w:type="dxa"/>
            <w:shd w:val="clear" w:color="auto" w:fill="FCFAF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8182EF" w14:textId="77777777" w:rsidR="008E6B29" w:rsidRPr="00F94E95" w:rsidRDefault="008E6B29" w:rsidP="00DB5210">
            <w:pPr>
              <w:pStyle w:val="SemEspaamento"/>
              <w:rPr>
                <w:sz w:val="22"/>
                <w:szCs w:val="22"/>
              </w:rPr>
            </w:pPr>
            <w:r w:rsidRPr="00F94E95">
              <w:rPr>
                <w:sz w:val="22"/>
                <w:szCs w:val="22"/>
              </w:rPr>
              <w:t>R$ 980,00</w:t>
            </w:r>
          </w:p>
        </w:tc>
      </w:tr>
    </w:tbl>
    <w:p w14:paraId="62807A14" w14:textId="21171A9A" w:rsidR="008E6B29" w:rsidRPr="00F94E95" w:rsidRDefault="008E6B29" w:rsidP="008E6B29">
      <w:pPr>
        <w:pStyle w:val="SemEspaamento"/>
        <w:rPr>
          <w:color w:val="0F2536"/>
          <w:sz w:val="22"/>
          <w:szCs w:val="22"/>
        </w:rPr>
      </w:pPr>
      <w:r w:rsidRPr="00F94E95">
        <w:rPr>
          <w:b/>
          <w:bCs/>
          <w:color w:val="0F2536"/>
          <w:sz w:val="22"/>
          <w:szCs w:val="22"/>
        </w:rPr>
        <w:t xml:space="preserve">Condição de pagamento: </w:t>
      </w:r>
      <w:r w:rsidRPr="00F94E95">
        <w:rPr>
          <w:color w:val="0F2536"/>
          <w:sz w:val="22"/>
          <w:szCs w:val="22"/>
        </w:rPr>
        <w:t>entrada mais duas parcelas, sem juros.</w:t>
      </w:r>
    </w:p>
    <w:p w14:paraId="09E6814F" w14:textId="1590790C" w:rsidR="008E6B29" w:rsidRPr="00F94E95" w:rsidRDefault="008E6B29" w:rsidP="008E6B29">
      <w:pPr>
        <w:pStyle w:val="SemEspaamento"/>
        <w:jc w:val="both"/>
        <w:rPr>
          <w:sz w:val="22"/>
          <w:szCs w:val="22"/>
        </w:rPr>
      </w:pPr>
      <w:r w:rsidRPr="00F94E95">
        <w:rPr>
          <w:color w:val="0F2536"/>
          <w:sz w:val="22"/>
          <w:szCs w:val="22"/>
        </w:rPr>
        <w:lastRenderedPageBreak/>
        <w:br/>
      </w:r>
      <w:r w:rsidRPr="00F94E95">
        <w:rPr>
          <w:sz w:val="22"/>
          <w:szCs w:val="22"/>
        </w:rPr>
        <w:t xml:space="preserve">A taxa oficial cobrada pelo INPI para apresentar a defesa não está incluída nos honorários. Ela será informada previamente e repassada pelo valor vigente, sem qualquer acréscimo da LIV. </w:t>
      </w:r>
    </w:p>
    <w:p w14:paraId="6AFB56FD" w14:textId="3B28DA4A" w:rsidR="008E6B29" w:rsidRPr="00F94E95" w:rsidRDefault="008E6B29" w:rsidP="008E6B29">
      <w:pPr>
        <w:spacing w:before="200" w:after="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94E95">
        <w:rPr>
          <w:rFonts w:asciiTheme="minorHAnsi" w:hAnsiTheme="minorHAnsi" w:cstheme="minorHAnsi"/>
          <w:b/>
          <w:bCs/>
          <w:sz w:val="22"/>
          <w:szCs w:val="22"/>
        </w:rPr>
        <w:t>Próximo passo</w:t>
      </w:r>
    </w:p>
    <w:p w14:paraId="361AB571" w14:textId="77777777" w:rsidR="00F94E95" w:rsidRPr="00F94E95" w:rsidRDefault="00F94E95" w:rsidP="00F94E95">
      <w:pPr>
        <w:pStyle w:val="SemEspaamento"/>
        <w:jc w:val="both"/>
        <w:rPr>
          <w:sz w:val="22"/>
          <w:szCs w:val="22"/>
        </w:rPr>
      </w:pPr>
      <w:r w:rsidRPr="00F94E95">
        <w:rPr>
          <w:sz w:val="22"/>
          <w:szCs w:val="22"/>
        </w:rPr>
        <w:t>Como o prazo já está correndo, recomendamos que a decisão seja tomada com alguns dias de antecedência.</w:t>
      </w:r>
    </w:p>
    <w:p w14:paraId="39AF8279" w14:textId="77777777" w:rsidR="00F94E95" w:rsidRPr="00F94E95" w:rsidRDefault="00F94E95" w:rsidP="00F94E95">
      <w:pPr>
        <w:spacing w:before="200" w:after="40"/>
        <w:jc w:val="both"/>
        <w:rPr>
          <w:sz w:val="22"/>
          <w:szCs w:val="22"/>
        </w:rPr>
      </w:pPr>
      <w:r w:rsidRPr="00F94E95">
        <w:rPr>
          <w:sz w:val="22"/>
          <w:szCs w:val="22"/>
        </w:rPr>
        <w:t>Com a autorização do titular, iniciaremos a análise da oposição, a preparação da defesa e o protocolo dentro do prazo disponível.</w:t>
      </w:r>
    </w:p>
    <w:p w14:paraId="336A7B6D" w14:textId="77777777" w:rsidR="008E6B29" w:rsidRPr="00F94E95" w:rsidRDefault="008E6B29" w:rsidP="008E6B29">
      <w:pPr>
        <w:spacing w:before="200" w:after="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94E95">
        <w:rPr>
          <w:rFonts w:asciiTheme="minorHAnsi" w:hAnsiTheme="minorHAnsi" w:cstheme="minorHAnsi"/>
          <w:b/>
          <w:bCs/>
          <w:sz w:val="22"/>
          <w:szCs w:val="22"/>
        </w:rPr>
        <w:t>Informação importante</w:t>
      </w:r>
    </w:p>
    <w:p w14:paraId="170DC184" w14:textId="77777777" w:rsidR="008E6B29" w:rsidRPr="00F94E95" w:rsidRDefault="008E6B29" w:rsidP="008E6B29">
      <w:pPr>
        <w:pStyle w:val="SemEspaamento"/>
        <w:jc w:val="both"/>
        <w:rPr>
          <w:sz w:val="22"/>
          <w:szCs w:val="22"/>
        </w:rPr>
      </w:pPr>
      <w:r w:rsidRPr="00F94E95">
        <w:rPr>
          <w:sz w:val="22"/>
          <w:szCs w:val="22"/>
        </w:rPr>
        <w:t>A apresentação da defesa não garante que o INPI irá aprovar o registro da marca.</w:t>
      </w:r>
    </w:p>
    <w:p w14:paraId="05C5B248" w14:textId="77777777" w:rsidR="008E6B29" w:rsidRPr="00F94E95" w:rsidRDefault="008E6B29" w:rsidP="008E6B29">
      <w:pPr>
        <w:spacing w:before="200" w:after="40"/>
        <w:jc w:val="both"/>
        <w:rPr>
          <w:rFonts w:asciiTheme="minorHAnsi" w:hAnsiTheme="minorHAnsi" w:cstheme="minorHAnsi"/>
          <w:sz w:val="22"/>
          <w:szCs w:val="22"/>
        </w:rPr>
      </w:pPr>
      <w:r w:rsidRPr="00F94E95">
        <w:rPr>
          <w:rFonts w:asciiTheme="minorHAnsi" w:hAnsiTheme="minorHAnsi" w:cstheme="minorHAnsi"/>
          <w:sz w:val="22"/>
          <w:szCs w:val="22"/>
        </w:rPr>
        <w:t xml:space="preserve">O compromisso da LIV é analisar o caso com responsabilidade, preparar os argumentos mais adequados, agir com transparência e acompanhar os prazos do processo. </w:t>
      </w:r>
    </w:p>
    <w:p w14:paraId="755BD224" w14:textId="77777777" w:rsidR="008E6B29" w:rsidRPr="00F94E95" w:rsidRDefault="008E6B29" w:rsidP="008E6B29">
      <w:pPr>
        <w:spacing w:before="200" w:after="40"/>
        <w:rPr>
          <w:rFonts w:asciiTheme="minorHAnsi" w:hAnsiTheme="minorHAnsi" w:cstheme="minorHAnsi"/>
          <w:sz w:val="22"/>
          <w:szCs w:val="22"/>
        </w:rPr>
      </w:pPr>
    </w:p>
    <w:p w14:paraId="0C553905" w14:textId="231B9CD1" w:rsidR="008E6B29" w:rsidRPr="00F94E95" w:rsidRDefault="008E6B29" w:rsidP="008E6B29">
      <w:pPr>
        <w:spacing w:before="200" w:after="40"/>
        <w:rPr>
          <w:rFonts w:asciiTheme="minorHAnsi" w:hAnsiTheme="minorHAnsi" w:cstheme="minorHAnsi"/>
          <w:sz w:val="22"/>
          <w:szCs w:val="22"/>
        </w:rPr>
      </w:pPr>
      <w:r w:rsidRPr="00F94E95">
        <w:rPr>
          <w:rFonts w:asciiTheme="minorHAnsi" w:hAnsiTheme="minorHAnsi" w:cstheme="minorHAnsi"/>
          <w:sz w:val="22"/>
          <w:szCs w:val="22"/>
        </w:rPr>
        <w:t>Atenciosamente,</w:t>
      </w:r>
    </w:p>
    <w:p w14:paraId="0DE0147F" w14:textId="77777777" w:rsidR="00613B5B" w:rsidRDefault="00613B5B" w:rsidP="00613B5B">
      <w:pPr>
        <w:pStyle w:val="SemEspaamento"/>
        <w:rPr>
          <w:b/>
          <w:bCs/>
        </w:rPr>
      </w:pPr>
    </w:p>
    <w:p w14:paraId="104C5A9B" w14:textId="08B11E32" w:rsidR="00C41D78" w:rsidRPr="00613B5B" w:rsidRDefault="00000000" w:rsidP="00613B5B">
      <w:pPr>
        <w:pStyle w:val="SemEspaamento"/>
        <w:rPr>
          <w:b/>
          <w:bCs/>
          <w:sz w:val="22"/>
          <w:szCs w:val="22"/>
        </w:rPr>
      </w:pPr>
      <w:r w:rsidRPr="00613B5B">
        <w:rPr>
          <w:b/>
          <w:bCs/>
          <w:sz w:val="22"/>
          <w:szCs w:val="22"/>
        </w:rPr>
        <w:t>Juvenil Ribeiro</w:t>
      </w:r>
    </w:p>
    <w:p w14:paraId="5C3C9AB0" w14:textId="77777777" w:rsidR="00C41D78" w:rsidRPr="00613B5B" w:rsidRDefault="00000000">
      <w:pPr>
        <w:rPr>
          <w:rFonts w:asciiTheme="minorHAnsi" w:hAnsiTheme="minorHAnsi" w:cstheme="minorHAnsi"/>
          <w:sz w:val="20"/>
          <w:szCs w:val="20"/>
        </w:rPr>
      </w:pPr>
      <w:r w:rsidRPr="00613B5B">
        <w:rPr>
          <w:rFonts w:asciiTheme="minorHAnsi" w:hAnsiTheme="minorHAnsi" w:cstheme="minorHAnsi"/>
          <w:sz w:val="20"/>
          <w:szCs w:val="20"/>
        </w:rPr>
        <w:t>LIV Propriedade Intelectual</w:t>
      </w:r>
    </w:p>
    <w:p w14:paraId="1C073C7D" w14:textId="77777777" w:rsidR="00C41D78" w:rsidRPr="00EF7E6E" w:rsidRDefault="00000000">
      <w:pPr>
        <w:rPr>
          <w:rFonts w:asciiTheme="majorHAnsi" w:hAnsiTheme="majorHAnsi" w:cstheme="majorHAnsi"/>
        </w:rPr>
      </w:pPr>
      <w:r w:rsidRPr="00EF7E6E">
        <w:rPr>
          <w:rFonts w:asciiTheme="minorHAnsi" w:hAnsiTheme="minorHAnsi" w:cstheme="minorHAnsi"/>
          <w:color w:val="8A6D3B"/>
          <w:sz w:val="16"/>
          <w:szCs w:val="16"/>
        </w:rPr>
        <w:t>livpi.com.br  ·</w:t>
      </w:r>
      <w:r w:rsidRPr="00EF7E6E">
        <w:rPr>
          <w:rFonts w:asciiTheme="minorHAnsi" w:hAnsiTheme="minorHAnsi" w:cstheme="minorHAnsi"/>
          <w:color w:val="8A6D3B"/>
          <w:sz w:val="16"/>
          <w:szCs w:val="16"/>
        </w:rPr>
        <w:t xml:space="preserve">  </w:t>
      </w:r>
      <w:r w:rsidRPr="00EF7E6E">
        <w:rPr>
          <w:rFonts w:asciiTheme="minorHAnsi" w:hAnsiTheme="minorHAnsi" w:cstheme="minorHAnsi"/>
          <w:color w:val="8A6D3B"/>
          <w:sz w:val="16"/>
          <w:szCs w:val="16"/>
        </w:rPr>
        <w:t>contato@livpi.com.br  ·</w:t>
      </w:r>
      <w:r w:rsidRPr="00EF7E6E">
        <w:rPr>
          <w:rFonts w:asciiTheme="minorHAnsi" w:hAnsiTheme="minorHAnsi" w:cstheme="minorHAnsi"/>
          <w:color w:val="8A6D3B"/>
          <w:sz w:val="16"/>
          <w:szCs w:val="16"/>
        </w:rPr>
        <w:t xml:space="preserve">  @</w:t>
      </w:r>
      <w:r w:rsidRPr="00EF7E6E">
        <w:rPr>
          <w:rFonts w:asciiTheme="minorHAnsi" w:hAnsiTheme="minorHAnsi" w:cstheme="minorHAnsi"/>
          <w:color w:val="8A6D3B"/>
          <w:sz w:val="16"/>
          <w:szCs w:val="16"/>
        </w:rPr>
        <w:t>liv.proprieda</w:t>
      </w:r>
      <w:r w:rsidRPr="00EF7E6E">
        <w:rPr>
          <w:rFonts w:asciiTheme="majorHAnsi" w:hAnsiTheme="majorHAnsi" w:cstheme="majorHAnsi"/>
          <w:color w:val="8A6D3B"/>
          <w:sz w:val="16"/>
          <w:szCs w:val="16"/>
        </w:rPr>
        <w:t>deintelectual</w:t>
      </w:r>
    </w:p>
    <w:sectPr w:rsidR="00C41D78" w:rsidRPr="00EF7E6E" w:rsidSect="00EF7E6E">
      <w:headerReference w:type="default" r:id="rId7"/>
      <w:footerReference w:type="default" r:id="rId8"/>
      <w:pgSz w:w="11906" w:h="16838"/>
      <w:pgMar w:top="2020" w:right="1400" w:bottom="1600" w:left="1400" w:header="283" w:footer="5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95520" w14:textId="77777777" w:rsidR="00156651" w:rsidRDefault="00156651">
      <w:r>
        <w:separator/>
      </w:r>
    </w:p>
  </w:endnote>
  <w:endnote w:type="continuationSeparator" w:id="0">
    <w:p w14:paraId="67BD2438" w14:textId="77777777" w:rsidR="00156651" w:rsidRDefault="00156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5A43C" w14:textId="77777777" w:rsidR="00C41D78" w:rsidRPr="00613B5B" w:rsidRDefault="00000000">
    <w:pPr>
      <w:pBdr>
        <w:top w:val="single" w:sz="2" w:space="4" w:color="808080"/>
      </w:pBdr>
      <w:spacing w:after="20"/>
      <w:jc w:val="center"/>
      <w:rPr>
        <w:sz w:val="16"/>
        <w:szCs w:val="16"/>
      </w:rPr>
    </w:pPr>
    <w:r w:rsidRPr="00613B5B">
      <w:rPr>
        <w:b/>
        <w:bCs/>
        <w:color w:val="0F2536"/>
        <w:spacing w:val="44"/>
        <w:sz w:val="16"/>
        <w:szCs w:val="16"/>
      </w:rPr>
      <w:t>LIV PROPRIEDADE INTELECTUAL</w:t>
    </w:r>
  </w:p>
  <w:p w14:paraId="6DCA4F4F" w14:textId="475BC825" w:rsidR="00C41D78" w:rsidRDefault="00000000">
    <w:pPr>
      <w:spacing w:after="20"/>
      <w:jc w:val="center"/>
    </w:pPr>
    <w:r>
      <w:rPr>
        <w:color w:val="6E6A62"/>
        <w:sz w:val="15"/>
        <w:szCs w:val="15"/>
      </w:rPr>
      <w:t>livpi.com.br     ·     contato@livpi.com.br     ·     Lages/SC</w:t>
    </w:r>
  </w:p>
  <w:p w14:paraId="05518EC7" w14:textId="77777777" w:rsidR="00C41D78" w:rsidRDefault="00000000">
    <w:pPr>
      <w:jc w:val="center"/>
    </w:pPr>
    <w:r>
      <w:rPr>
        <w:color w:val="8A6D3B"/>
        <w:sz w:val="14"/>
        <w:szCs w:val="14"/>
      </w:rPr>
      <w:t xml:space="preserve">Página </w:t>
    </w:r>
    <w:r>
      <w:rPr>
        <w:color w:val="8A6D3B"/>
        <w:sz w:val="14"/>
        <w:szCs w:val="14"/>
      </w:rPr>
      <w:fldChar w:fldCharType="begin"/>
    </w:r>
    <w:r>
      <w:rPr>
        <w:color w:val="8A6D3B"/>
        <w:sz w:val="14"/>
        <w:szCs w:val="14"/>
      </w:rPr>
      <w:instrText>PAGE</w:instrText>
    </w:r>
    <w:r>
      <w:rPr>
        <w:color w:val="8A6D3B"/>
        <w:sz w:val="14"/>
        <w:szCs w:val="14"/>
      </w:rPr>
      <w:fldChar w:fldCharType="separate"/>
    </w:r>
    <w:r w:rsidR="00EF7E6E">
      <w:rPr>
        <w:noProof/>
        <w:color w:val="8A6D3B"/>
        <w:sz w:val="14"/>
        <w:szCs w:val="14"/>
      </w:rPr>
      <w:t>1</w:t>
    </w:r>
    <w:r>
      <w:rPr>
        <w:color w:val="8A6D3B"/>
        <w:sz w:val="14"/>
        <w:szCs w:val="14"/>
      </w:rPr>
      <w:fldChar w:fldCharType="end"/>
    </w:r>
    <w:r>
      <w:rPr>
        <w:color w:val="8A6D3B"/>
        <w:sz w:val="14"/>
        <w:szCs w:val="14"/>
      </w:rPr>
      <w:t xml:space="preserve"> de </w:t>
    </w:r>
    <w:r>
      <w:rPr>
        <w:color w:val="8A6D3B"/>
        <w:sz w:val="14"/>
        <w:szCs w:val="14"/>
      </w:rPr>
      <w:fldChar w:fldCharType="begin"/>
    </w:r>
    <w:r>
      <w:rPr>
        <w:color w:val="8A6D3B"/>
        <w:sz w:val="14"/>
        <w:szCs w:val="14"/>
      </w:rPr>
      <w:instrText>NUMPAGES</w:instrText>
    </w:r>
    <w:r>
      <w:rPr>
        <w:color w:val="8A6D3B"/>
        <w:sz w:val="14"/>
        <w:szCs w:val="14"/>
      </w:rPr>
      <w:fldChar w:fldCharType="separate"/>
    </w:r>
    <w:r w:rsidR="00EF7E6E">
      <w:rPr>
        <w:noProof/>
        <w:color w:val="8A6D3B"/>
        <w:sz w:val="14"/>
        <w:szCs w:val="14"/>
      </w:rPr>
      <w:t>2</w:t>
    </w:r>
    <w:r>
      <w:rPr>
        <w:color w:val="8A6D3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ACFB8" w14:textId="77777777" w:rsidR="00156651" w:rsidRDefault="00156651">
      <w:r>
        <w:separator/>
      </w:r>
    </w:p>
  </w:footnote>
  <w:footnote w:type="continuationSeparator" w:id="0">
    <w:p w14:paraId="2AAE956B" w14:textId="77777777" w:rsidR="00156651" w:rsidRDefault="00156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0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400"/>
      <w:gridCol w:w="5600"/>
    </w:tblGrid>
    <w:tr w:rsidR="00C41D78" w:rsidRPr="00EF7E6E" w14:paraId="77C987D3" w14:textId="77777777">
      <w:tc>
        <w:tcPr>
          <w:tcW w:w="34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F04C3D5" w14:textId="30E3F746" w:rsidR="00C41D78" w:rsidRDefault="00000000">
          <w:r>
            <w:rPr>
              <w:noProof/>
            </w:rPr>
            <w:drawing>
              <wp:inline distT="0" distB="0" distL="0" distR="0" wp14:anchorId="7846C24A" wp14:editId="17AF35D1">
                <wp:extent cx="1166400" cy="1122218"/>
                <wp:effectExtent l="0" t="0" r="0" b="1905"/>
                <wp:docPr id="443833354" name="Imagem 4438333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2311" cy="1127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4D98A29" w14:textId="77777777" w:rsidR="00C41D78" w:rsidRPr="00EF7E6E" w:rsidRDefault="00000000">
          <w:pPr>
            <w:spacing w:after="24"/>
            <w:jc w:val="right"/>
            <w:rPr>
              <w:rFonts w:asciiTheme="majorHAnsi" w:hAnsiTheme="majorHAnsi" w:cstheme="majorHAnsi"/>
            </w:rPr>
          </w:pPr>
          <w:r w:rsidRPr="00EF7E6E">
            <w:rPr>
              <w:rFonts w:asciiTheme="majorHAnsi" w:hAnsiTheme="majorHAnsi" w:cstheme="majorHAnsi"/>
              <w:b/>
              <w:bCs/>
              <w:color w:val="0F2536"/>
              <w:spacing w:val="40"/>
              <w:sz w:val="18"/>
              <w:szCs w:val="18"/>
            </w:rPr>
            <w:t>LIV PROPRIEDADE INTELECTUAL</w:t>
          </w:r>
        </w:p>
        <w:p w14:paraId="6896212E" w14:textId="77777777" w:rsidR="00C41D78" w:rsidRPr="00EF7E6E" w:rsidRDefault="00000000">
          <w:pPr>
            <w:spacing w:after="20"/>
            <w:jc w:val="right"/>
            <w:rPr>
              <w:rFonts w:asciiTheme="majorHAnsi" w:hAnsiTheme="majorHAnsi" w:cstheme="majorHAnsi"/>
            </w:rPr>
          </w:pPr>
          <w:r w:rsidRPr="00EF7E6E">
            <w:rPr>
              <w:rFonts w:asciiTheme="majorHAnsi" w:hAnsiTheme="majorHAnsi" w:cstheme="majorHAnsi"/>
              <w:i/>
              <w:iCs/>
              <w:color w:val="6E6A62"/>
              <w:sz w:val="16"/>
              <w:szCs w:val="16"/>
            </w:rPr>
            <w:t>Registro, defesa e gestão estratégica de marcas</w:t>
          </w:r>
        </w:p>
        <w:p w14:paraId="352E857F" w14:textId="77777777" w:rsidR="00613B5B" w:rsidRDefault="00613B5B">
          <w:pPr>
            <w:jc w:val="right"/>
            <w:rPr>
              <w:rFonts w:asciiTheme="majorHAnsi" w:hAnsiTheme="majorHAnsi" w:cstheme="majorHAnsi"/>
              <w:color w:val="8A6D3B"/>
              <w:sz w:val="15"/>
              <w:szCs w:val="15"/>
            </w:rPr>
          </w:pPr>
          <w:r>
            <w:rPr>
              <w:rFonts w:asciiTheme="majorHAnsi" w:hAnsiTheme="majorHAnsi" w:cstheme="majorHAnsi"/>
              <w:color w:val="8A6D3B"/>
              <w:sz w:val="15"/>
              <w:szCs w:val="15"/>
            </w:rPr>
            <w:t>+55 (49) 99964-7004</w:t>
          </w:r>
        </w:p>
        <w:p w14:paraId="6283DD31" w14:textId="5673D7E6" w:rsidR="00C41D78" w:rsidRPr="00EF7E6E" w:rsidRDefault="00207A02">
          <w:pPr>
            <w:jc w:val="right"/>
            <w:rPr>
              <w:rFonts w:asciiTheme="majorHAnsi" w:hAnsiTheme="majorHAnsi" w:cstheme="majorHAnsi"/>
            </w:rPr>
          </w:pPr>
          <w:r w:rsidRPr="00EF7E6E">
            <w:rPr>
              <w:rFonts w:asciiTheme="majorHAnsi" w:hAnsiTheme="majorHAnsi" w:cstheme="majorHAnsi"/>
              <w:color w:val="8A6D3B"/>
              <w:sz w:val="15"/>
              <w:szCs w:val="15"/>
            </w:rPr>
            <w:t xml:space="preserve">livpi.com.br · contato@livpi.com.br  </w:t>
          </w:r>
        </w:p>
      </w:tc>
    </w:tr>
  </w:tbl>
  <w:p w14:paraId="096CA07E" w14:textId="0914CF86" w:rsidR="00C41D78" w:rsidRDefault="00C41D78" w:rsidP="00EF7E6E">
    <w:pPr>
      <w:pBdr>
        <w:bottom w:val="single" w:sz="2" w:space="0" w:color="808080"/>
      </w:pBdr>
      <w:spacing w:before="10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85B52"/>
    <w:multiLevelType w:val="hybridMultilevel"/>
    <w:tmpl w:val="41781066"/>
    <w:lvl w:ilvl="0" w:tplc="6D82753E">
      <w:start w:val="1"/>
      <w:numFmt w:val="bullet"/>
      <w:lvlText w:val="●"/>
      <w:lvlJc w:val="left"/>
      <w:pPr>
        <w:ind w:left="720" w:hanging="360"/>
      </w:pPr>
    </w:lvl>
    <w:lvl w:ilvl="1" w:tplc="50B0EE4C">
      <w:start w:val="1"/>
      <w:numFmt w:val="bullet"/>
      <w:lvlText w:val="○"/>
      <w:lvlJc w:val="left"/>
      <w:pPr>
        <w:ind w:left="1440" w:hanging="360"/>
      </w:pPr>
    </w:lvl>
    <w:lvl w:ilvl="2" w:tplc="85D496EA">
      <w:start w:val="1"/>
      <w:numFmt w:val="bullet"/>
      <w:lvlText w:val="■"/>
      <w:lvlJc w:val="left"/>
      <w:pPr>
        <w:ind w:left="2160" w:hanging="360"/>
      </w:pPr>
    </w:lvl>
    <w:lvl w:ilvl="3" w:tplc="10725434">
      <w:start w:val="1"/>
      <w:numFmt w:val="bullet"/>
      <w:lvlText w:val="●"/>
      <w:lvlJc w:val="left"/>
      <w:pPr>
        <w:ind w:left="2880" w:hanging="360"/>
      </w:pPr>
    </w:lvl>
    <w:lvl w:ilvl="4" w:tplc="B9E870A0">
      <w:start w:val="1"/>
      <w:numFmt w:val="bullet"/>
      <w:lvlText w:val="○"/>
      <w:lvlJc w:val="left"/>
      <w:pPr>
        <w:ind w:left="3600" w:hanging="360"/>
      </w:pPr>
    </w:lvl>
    <w:lvl w:ilvl="5" w:tplc="21BC7A6C">
      <w:start w:val="1"/>
      <w:numFmt w:val="bullet"/>
      <w:lvlText w:val="■"/>
      <w:lvlJc w:val="left"/>
      <w:pPr>
        <w:ind w:left="4320" w:hanging="360"/>
      </w:pPr>
    </w:lvl>
    <w:lvl w:ilvl="6" w:tplc="104441E4">
      <w:start w:val="1"/>
      <w:numFmt w:val="bullet"/>
      <w:lvlText w:val="●"/>
      <w:lvlJc w:val="left"/>
      <w:pPr>
        <w:ind w:left="5040" w:hanging="360"/>
      </w:pPr>
    </w:lvl>
    <w:lvl w:ilvl="7" w:tplc="36386B04">
      <w:start w:val="1"/>
      <w:numFmt w:val="bullet"/>
      <w:lvlText w:val="●"/>
      <w:lvlJc w:val="left"/>
      <w:pPr>
        <w:ind w:left="5760" w:hanging="360"/>
      </w:pPr>
    </w:lvl>
    <w:lvl w:ilvl="8" w:tplc="EC3AF826">
      <w:start w:val="1"/>
      <w:numFmt w:val="bullet"/>
      <w:lvlText w:val="●"/>
      <w:lvlJc w:val="left"/>
      <w:pPr>
        <w:ind w:left="6480" w:hanging="360"/>
      </w:pPr>
    </w:lvl>
  </w:abstractNum>
  <w:num w:numId="1" w16cid:durableId="11413811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D78"/>
    <w:rsid w:val="00156651"/>
    <w:rsid w:val="001B1808"/>
    <w:rsid w:val="00207A02"/>
    <w:rsid w:val="00312BA1"/>
    <w:rsid w:val="003A2AB6"/>
    <w:rsid w:val="00613B5B"/>
    <w:rsid w:val="008E6B29"/>
    <w:rsid w:val="00AB6C60"/>
    <w:rsid w:val="00C41D78"/>
    <w:rsid w:val="00EB7E6B"/>
    <w:rsid w:val="00EF7E6E"/>
    <w:rsid w:val="00F9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1CF9D7"/>
  <w15:docId w15:val="{5DDB556C-4B62-46C2-BF3C-A8B74A736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D38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F7E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7E6E"/>
  </w:style>
  <w:style w:type="paragraph" w:styleId="Rodap">
    <w:name w:val="footer"/>
    <w:basedOn w:val="Normal"/>
    <w:link w:val="RodapChar"/>
    <w:uiPriority w:val="99"/>
    <w:unhideWhenUsed/>
    <w:rsid w:val="00EF7E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7E6E"/>
  </w:style>
  <w:style w:type="paragraph" w:styleId="SemEspaamento">
    <w:name w:val="No Spacing"/>
    <w:uiPriority w:val="1"/>
    <w:qFormat/>
    <w:rsid w:val="00207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424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Notificacao de Oposicao Zellos Tech (proc. 942746724)</vt:lpstr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Notificacao de Oposicao Zellos Tech (proc. 942746724)</dc:title>
  <dc:creator>LIV Propriedade Intelectual</dc:creator>
  <cp:lastModifiedBy>juvenil junior</cp:lastModifiedBy>
  <cp:revision>5</cp:revision>
  <dcterms:created xsi:type="dcterms:W3CDTF">2026-07-21T23:29:00Z</dcterms:created>
  <dcterms:modified xsi:type="dcterms:W3CDTF">2026-07-22T13:29:00Z</dcterms:modified>
</cp:coreProperties>
</file>