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77A28" w:sz="14" w:space="4"/>
        </w:pBdr>
        <w:spacing w:after="70"/>
      </w:pPr>
      <w:r>
        <w:rPr>
          <w:rFonts w:ascii="Arial" w:cs="Arial" w:eastAsia="Arial" w:hAnsi="Arial"/>
          <w:b/>
          <w:bCs/>
          <w:i w:val="false"/>
          <w:iCs w:val="false"/>
          <w:color w:val="203239"/>
          <w:sz w:val="30"/>
          <w:szCs w:val="30"/>
        </w:rPr>
        <w:t xml:space="preserve">Artisan</w:t>
      </w:r>
      <w:r>
        <w:rPr>
          <w:rFonts w:ascii="Arial" w:cs="Arial" w:eastAsia="Arial" w:hAnsi="Arial"/>
          <w:b/>
          <w:bCs/>
          <w:i w:val="false"/>
          <w:iCs w:val="false"/>
          <w:color w:val="C77A28"/>
          <w:sz w:val="30"/>
          <w:szCs w:val="30"/>
        </w:rPr>
        <w:t xml:space="preserve">Connect</w:t>
      </w:r>
      <w:r>
        <w:rPr>
          <w:rFonts w:ascii="Arial" w:cs="Arial" w:eastAsia="Arial" w:hAnsi="Arial"/>
          <w:b w:val="false"/>
          <w:bCs w:val="false"/>
          <w:i w:val="false"/>
          <w:iCs w:val="false"/>
          <w:color w:val="647378"/>
          <w:sz w:val="14"/>
          <w:szCs w:val="14"/>
        </w:rPr>
        <w:t xml:space="preserve">     DOSSIER DE DISCUSSION · 29 SEPTEMBRE 2026</w:t>
      </w:r>
    </w:p>
    <w:p>
      <w:pPr>
        <w:spacing w:after="30"/>
        <w:jc w:val="right"/>
      </w:pPr>
      <w:hyperlink w:history="1" r:id="rIdetgtduxfpslcasd30nsfz">
        <w:r>
          <w:drawing>
            <wp:inline distT="0" distB="0" distL="0" distR="0">
              <wp:extent cx="628650" cy="628650"/>
              <wp:effectExtent t="0" r="0" b="0" l="0"/>
              <wp:docPr id="6" descr="Scanner ou cliquer pour ouvrir le site" title="QR ArtisanConnect">
                <a:hlinkClick xmlns:a="http://schemas.openxmlformats.org/drawingml/2006/main" r:id="rIdetgtduxfpslcasd30nsfz"/>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a:hlinkClick r:id="rIdetgtduxfpslcasd30nsfz"/>
                      </pic:cNvPr>
                      <pic:cNvPicPr>
                        <a:picLocks noChangeAspect="1" noChangeArrowheads="1"/>
                      </pic:cNvPicPr>
                    </pic:nvPicPr>
                    <pic:blipFill>
                      <a:blip r:embed="rId7" cstate="none"/>
                      <a:srcRect/>
                      <a:stretch>
                        <a:fillRect/>
                      </a:stretch>
                    </pic:blipFill>
                    <pic:spPr bwMode="auto">
                      <a:xfrm>
                        <a:off x="0" y="0"/>
                        <a:ext cx="628650" cy="628650"/>
                      </a:xfrm>
                      <a:prstGeom prst="rect">
                        <a:avLst/>
                      </a:prstGeom>
                    </pic:spPr>
                  </pic:pic>
                </a:graphicData>
              </a:graphic>
            </wp:inline>
          </w:drawing>
        </w:r>
      </w:hyperlink>
    </w:p>
    <w:p>
      <w:pPr>
        <w:keepNext/>
        <w:spacing w:after="55"/>
      </w:pPr>
      <w:r>
        <w:rPr>
          <w:rFonts w:ascii="Arial" w:cs="Arial" w:eastAsia="Arial" w:hAnsi="Arial"/>
          <w:b/>
          <w:bCs/>
          <w:i w:val="false"/>
          <w:iCs w:val="false"/>
          <w:color w:val="203239"/>
          <w:sz w:val="40"/>
          <w:szCs w:val="40"/>
        </w:rPr>
        <w:t xml:space="preserve">Note conceptuelle — MINEPAT</w:t>
      </w:r>
    </w:p>
    <w:p>
      <w:pPr>
        <w:spacing w:after="120"/>
      </w:pPr>
      <w:r>
        <w:rPr>
          <w:rFonts w:ascii="Arial" w:cs="Arial" w:eastAsia="Arial" w:hAnsi="Arial"/>
          <w:b w:val="false"/>
          <w:bCs w:val="false"/>
          <w:i w:val="false"/>
          <w:iCs w:val="false"/>
          <w:color w:val="176B5B"/>
          <w:sz w:val="20"/>
          <w:szCs w:val="20"/>
        </w:rPr>
        <w:t xml:space="preserve">Note conceptuelle — MINEPAT</w:t>
      </w:r>
    </w:p>
    <w:p>
      <w:pPr>
        <w:keepNext/>
        <w:spacing w:after="100"/>
      </w:pPr>
      <w:r>
        <w:rPr>
          <w:rFonts w:ascii="Arial" w:cs="Arial" w:eastAsia="Arial" w:hAnsi="Arial"/>
          <w:b/>
          <w:bCs/>
          <w:i w:val="false"/>
          <w:iCs w:val="false"/>
          <w:color w:val="203239"/>
          <w:sz w:val="42"/>
          <w:szCs w:val="42"/>
        </w:rPr>
        <w:t xml:space="preserve">Note conceptuelle — accès au marché et suivi territorial des activités artisanales</w:t>
      </w:r>
    </w:p>
    <w:p>
      <w:pPr>
        <w:spacing w:after="55" w:line="260"/>
      </w:pPr>
      <w:r>
        <w:rPr>
          <w:rFonts w:ascii="Arial" w:cs="Arial" w:eastAsia="Arial" w:hAnsi="Arial"/>
          <w:b w:val="false"/>
          <w:bCs w:val="false"/>
          <w:i w:val="false"/>
          <w:iCs w:val="false"/>
          <w:color w:val="26353A"/>
          <w:sz w:val="18"/>
          <w:szCs w:val="18"/>
        </w:rPr>
        <w:t xml:space="preserve">Destinataire proposé : MINEPAT</w:t>
      </w:r>
    </w:p>
    <w:p>
      <w:pPr>
        <w:spacing w:after="55" w:line="260"/>
      </w:pPr>
      <w:r>
        <w:rPr>
          <w:rFonts w:ascii="Arial" w:cs="Arial" w:eastAsia="Arial" w:hAnsi="Arial"/>
          <w:b w:val="false"/>
          <w:bCs w:val="false"/>
          <w:i w:val="false"/>
          <w:iCs w:val="false"/>
          <w:color w:val="26353A"/>
          <w:sz w:val="18"/>
          <w:szCs w:val="18"/>
        </w:rPr>
        <w:t xml:space="preserve">Porteur : Juvet TAJO, président fondateur d'ArtisanConnect, résidant en France</w:t>
      </w:r>
    </w:p>
    <w:p>
      <w:pPr>
        <w:spacing w:after="55" w:line="260"/>
      </w:pPr>
      <w:r>
        <w:rPr>
          <w:rFonts w:ascii="Arial" w:cs="Arial" w:eastAsia="Arial" w:hAnsi="Arial"/>
          <w:b w:val="false"/>
          <w:bCs w:val="false"/>
          <w:i w:val="false"/>
          <w:iCs w:val="false"/>
          <w:color w:val="26353A"/>
          <w:sz w:val="18"/>
          <w:szCs w:val="18"/>
        </w:rPr>
        <w:t xml:space="preserve">Relais local proposé : Ngounou Junior · +237 691 759 881</w:t>
      </w:r>
    </w:p>
    <w:p>
      <w:pPr>
        <w:spacing w:after="55" w:line="260"/>
      </w:pPr>
      <w:r>
        <w:rPr>
          <w:rFonts w:ascii="Arial" w:cs="Arial" w:eastAsia="Arial" w:hAnsi="Arial"/>
          <w:b w:val="false"/>
          <w:bCs w:val="false"/>
          <w:i w:val="false"/>
          <w:iCs w:val="false"/>
          <w:color w:val="26353A"/>
          <w:sz w:val="18"/>
          <w:szCs w:val="18"/>
        </w:rPr>
        <w:t xml:space="preserve">Version de travail : 29 septembre 2026 · Statut : discussion, sans financement ni partenariat acquis</w:t>
      </w:r>
    </w:p>
    <w:p>
      <w:pPr>
        <w:keepNext/>
        <w:shd w:fill="F1F6F4" w:val="clear"/>
        <w:spacing w:after="70" w:before="100"/>
      </w:pPr>
      <w:r>
        <w:rPr>
          <w:rFonts w:ascii="Arial" w:cs="Arial" w:eastAsia="Arial" w:hAnsi="Arial"/>
          <w:b/>
          <w:bCs/>
          <w:i w:val="false"/>
          <w:iCs w:val="false"/>
          <w:color w:val="203239"/>
          <w:sz w:val="24"/>
          <w:szCs w:val="24"/>
        </w:rPr>
        <w:t xml:space="preserve">1. Résumé exécutif</w:t>
      </w:r>
    </w:p>
    <w:p>
      <w:pPr>
        <w:spacing w:after="55" w:line="260"/>
      </w:pPr>
      <w:r>
        <w:rPr>
          <w:rFonts w:ascii="Arial" w:cs="Arial" w:eastAsia="Arial" w:hAnsi="Arial"/>
          <w:b w:val="false"/>
          <w:bCs w:val="false"/>
          <w:i w:val="false"/>
          <w:iCs w:val="false"/>
          <w:color w:val="26353A"/>
          <w:sz w:val="18"/>
          <w:szCs w:val="18"/>
        </w:rPr>
        <w:t xml:space="preserve">ArtisanConnect est une plateforme de mise en relation entre artisans, petits vendeurs, clients et acheteurs professionnels. Elle permet de publier des offres, de les rechercher par catégorie et localité, de demander un devis et de suivre certains échanges réalisés sur la plateforme.</w:t>
      </w:r>
    </w:p>
    <w:p>
      <w:pPr>
        <w:spacing w:after="55" w:line="260"/>
      </w:pPr>
      <w:r>
        <w:rPr>
          <w:rFonts w:ascii="Arial" w:cs="Arial" w:eastAsia="Arial" w:hAnsi="Arial"/>
          <w:b w:val="false"/>
          <w:bCs w:val="false"/>
          <w:i w:val="false"/>
          <w:iCs w:val="false"/>
          <w:color w:val="26353A"/>
          <w:sz w:val="18"/>
          <w:szCs w:val="18"/>
        </w:rPr>
        <w:t xml:space="preserve">La proposition au MINEPAT est d'examiner si ces parcours peuvent compléter un programme existant d'inclusion économique, de développement territorial ou d'accompagnement des bénéficiaires. Le test initial envisagé pourrait concerner 5 à 10 participants, une ville et 2 à 3 métiers pendant environ une semaine. Une phase éventuelle allant jusqu'à 100 participants sur 3 à 6 mois dépendrait des résultats, de l'identification d'un programme d'accueil, d'un accord et d'un budget approuvé.</w:t>
      </w:r>
    </w:p>
    <w:p>
      <w:pPr>
        <w:spacing w:after="55" w:line="260"/>
      </w:pPr>
      <w:r>
        <w:rPr>
          <w:rFonts w:ascii="Arial" w:cs="Arial" w:eastAsia="Arial" w:hAnsi="Arial"/>
          <w:b w:val="false"/>
          <w:bCs w:val="false"/>
          <w:i w:val="false"/>
          <w:iCs w:val="false"/>
          <w:color w:val="26353A"/>
          <w:sz w:val="18"/>
          <w:szCs w:val="18"/>
        </w:rPr>
        <w:t xml:space="preserve">Les données seraient utilisées pour suivre l'adoption et les mises en relation consignées dans le parcours. Elles ne doivent pas être présentées comme mesure d'impact, de revenu ou de création d'emploi sans protocole spécifique et vérification adaptée. Aucun montant, bénéficiaire ni engagement du Ministère n'est présumé.</w:t>
      </w:r>
    </w:p>
    <w:p>
      <w:pPr>
        <w:keepNext/>
        <w:shd w:fill="F1F6F4" w:val="clear"/>
        <w:spacing w:after="70" w:before="100"/>
      </w:pPr>
      <w:r>
        <w:rPr>
          <w:rFonts w:ascii="Arial" w:cs="Arial" w:eastAsia="Arial" w:hAnsi="Arial"/>
          <w:b/>
          <w:bCs/>
          <w:i w:val="false"/>
          <w:iCs w:val="false"/>
          <w:color w:val="203239"/>
          <w:sz w:val="24"/>
          <w:szCs w:val="24"/>
        </w:rPr>
        <w:t xml:space="preserve">2. Enjeu et contribution proposée</w:t>
      </w:r>
    </w:p>
    <w:p>
      <w:pPr>
        <w:spacing w:after="55" w:line="260"/>
      </w:pPr>
      <w:r>
        <w:rPr>
          <w:rFonts w:ascii="Arial" w:cs="Arial" w:eastAsia="Arial" w:hAnsi="Arial"/>
          <w:b w:val="false"/>
          <w:bCs w:val="false"/>
          <w:i w:val="false"/>
          <w:iCs w:val="false"/>
          <w:color w:val="26353A"/>
          <w:sz w:val="18"/>
          <w:szCs w:val="18"/>
        </w:rPr>
        <w:t xml:space="preserve">Après une formation ou un accompagnement, il peut être utile de comprendre si les bénéficiaires mettent effectivement leurs offres à disposition des clients et reçoivent des demandes. Une vitrine numérique pourrait soutenir ce passage vers le marché et faire ressortir les besoins d'assistance, sans se substituer aux dispositifs de développement ni aux systèmes officiels de suivi-évaluation.</w:t>
      </w:r>
    </w:p>
    <w:p>
      <w:pPr>
        <w:spacing w:after="55" w:line="260"/>
      </w:pPr>
      <w:r>
        <w:rPr>
          <w:rFonts w:ascii="Arial" w:cs="Arial" w:eastAsia="Arial" w:hAnsi="Arial"/>
          <w:b w:val="false"/>
          <w:bCs w:val="false"/>
          <w:i w:val="false"/>
          <w:iCs w:val="false"/>
          <w:color w:val="26353A"/>
          <w:sz w:val="18"/>
          <w:szCs w:val="18"/>
        </w:rPr>
        <w:t xml:space="preserve">Le test pourrait :</w:t>
      </w:r>
    </w:p>
    <w:p>
      <w:pPr>
        <w:spacing w:after="35" w:line="250"/>
        <w:ind w:left="280" w:hanging="170"/>
      </w:pPr>
      <w:r>
        <w:rPr>
          <w:rFonts w:ascii="Arial" w:cs="Arial" w:eastAsia="Arial" w:hAnsi="Arial"/>
          <w:b w:val="false"/>
          <w:bCs w:val="false"/>
          <w:i w:val="false"/>
          <w:iCs w:val="false"/>
          <w:color w:val="26353A"/>
          <w:sz w:val="18"/>
          <w:szCs w:val="18"/>
        </w:rPr>
        <w:t xml:space="preserve">•  aider les participants à créer ou compléter une offre réelle;</w:t>
      </w:r>
    </w:p>
    <w:p>
      <w:pPr>
        <w:spacing w:after="35" w:line="250"/>
        <w:ind w:left="280" w:hanging="170"/>
      </w:pPr>
      <w:r>
        <w:rPr>
          <w:rFonts w:ascii="Arial" w:cs="Arial" w:eastAsia="Arial" w:hAnsi="Arial"/>
          <w:b w:val="false"/>
          <w:bCs w:val="false"/>
          <w:i w:val="false"/>
          <w:iCs w:val="false"/>
          <w:color w:val="26353A"/>
          <w:sz w:val="18"/>
          <w:szCs w:val="18"/>
        </w:rPr>
        <w:t xml:space="preserve">•  relier la recherche client aux métiers et territoires du périmètre;</w:t>
      </w:r>
    </w:p>
    <w:p>
      <w:pPr>
        <w:spacing w:after="35" w:line="250"/>
        <w:ind w:left="280" w:hanging="170"/>
      </w:pPr>
      <w:r>
        <w:rPr>
          <w:rFonts w:ascii="Arial" w:cs="Arial" w:eastAsia="Arial" w:hAnsi="Arial"/>
          <w:b w:val="false"/>
          <w:bCs w:val="false"/>
          <w:i w:val="false"/>
          <w:iCs w:val="false"/>
          <w:color w:val="26353A"/>
          <w:sz w:val="18"/>
          <w:szCs w:val="18"/>
        </w:rPr>
        <w:t xml:space="preserve">•  documenter les demandes, réponses et contacts réalisés dans la plateforme;</w:t>
      </w:r>
    </w:p>
    <w:p>
      <w:pPr>
        <w:spacing w:after="35" w:line="250"/>
        <w:ind w:left="280" w:hanging="170"/>
      </w:pPr>
      <w:r>
        <w:rPr>
          <w:rFonts w:ascii="Arial" w:cs="Arial" w:eastAsia="Arial" w:hAnsi="Arial"/>
          <w:b w:val="false"/>
          <w:bCs w:val="false"/>
          <w:i w:val="false"/>
          <w:iCs w:val="false"/>
          <w:color w:val="26353A"/>
          <w:sz w:val="18"/>
          <w:szCs w:val="18"/>
        </w:rPr>
        <w:t xml:space="preserve">•  recueillir les difficultés d'accès numérique, de disponibilité, de logistique ou de présentation;</w:t>
      </w:r>
    </w:p>
    <w:p>
      <w:pPr>
        <w:spacing w:after="35" w:line="250"/>
        <w:ind w:left="280" w:hanging="170"/>
      </w:pPr>
      <w:r>
        <w:rPr>
          <w:rFonts w:ascii="Arial" w:cs="Arial" w:eastAsia="Arial" w:hAnsi="Arial"/>
          <w:b w:val="false"/>
          <w:bCs w:val="false"/>
          <w:i w:val="false"/>
          <w:iCs w:val="false"/>
          <w:color w:val="26353A"/>
          <w:sz w:val="18"/>
          <w:szCs w:val="18"/>
        </w:rPr>
        <w:t xml:space="preserve">•  produire un rapport agrégé et une liste d'améliorations opérationnelles.</w:t>
      </w:r>
    </w:p>
    <w:p>
      <w:pPr>
        <w:spacing w:after="55" w:line="260"/>
      </w:pPr>
      <w:r>
        <w:rPr>
          <w:rFonts w:ascii="Arial" w:cs="Arial" w:eastAsia="Arial" w:hAnsi="Arial"/>
          <w:b w:val="false"/>
          <w:bCs w:val="false"/>
          <w:i w:val="false"/>
          <w:iCs w:val="false"/>
          <w:color w:val="26353A"/>
          <w:sz w:val="18"/>
          <w:szCs w:val="18"/>
        </w:rPr>
        <w:t xml:space="preserve">Les briefs B2B sont examinés par ArtisanConnect et transmis manuellement à un maximum de cinq artisans sélectionnés. Les clics WhatsApp sont des tentatives de mise en relation et non des ventes. Les ventes hors plateforme sont déclaratives et ne sont pas automatiquement vérifiées.</w:t>
      </w:r>
    </w:p>
    <w:p>
      <w:pPr>
        <w:keepNext/>
        <w:shd w:fill="F1F6F4" w:val="clear"/>
        <w:spacing w:after="70" w:before="100"/>
      </w:pPr>
      <w:r>
        <w:rPr>
          <w:rFonts w:ascii="Arial" w:cs="Arial" w:eastAsia="Arial" w:hAnsi="Arial"/>
          <w:b/>
          <w:bCs/>
          <w:i w:val="false"/>
          <w:iCs w:val="false"/>
          <w:color w:val="203239"/>
          <w:sz w:val="24"/>
          <w:szCs w:val="24"/>
        </w:rPr>
        <w:t xml:space="preserve">3. Périmètre progressif proposé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500"/>
      </w:tblGrid>
      <w:tr>
        <w:trPr>
          <w:cantSplit/>
        </w:trPr>
        <w:tc>
          <w:tcPr>
            <w:tcW w:type="dxa" w:w="26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Étape</w:t>
            </w:r>
          </w:p>
        </w:tc>
        <w:tc>
          <w:tcPr>
            <w:tcW w:type="dxa" w:w="39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Hypothèse</w:t>
            </w:r>
          </w:p>
        </w:tc>
        <w:tc>
          <w:tcPr>
            <w:tcW w:type="dxa" w:w="35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Critère de décision</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Test terrain</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5–10 participants; 1 ville; 2–3 métiers; environ 1 semaine</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Parcours essentiels réalisés, limites et besoins de support documentés</w:t>
            </w:r>
          </w:p>
        </w:tc>
      </w:tr>
      <w:tr>
        <w:trPr>
          <w:cantSplit/>
        </w:trPr>
        <w:tc>
          <w:tcPr>
            <w:tcW w:type="dxa" w:w="26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Pilote éventuel</w:t>
            </w:r>
          </w:p>
        </w:tc>
        <w:tc>
          <w:tcPr>
            <w:tcW w:type="dxa" w:w="3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Jusqu'à 100 participants; 1 territoire à définir; 3–6 mois</w:t>
            </w:r>
          </w:p>
        </w:tc>
        <w:tc>
          <w:tcPr>
            <w:tcW w:type="dxa" w:w="35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Programme d'accueil, protocole, responsabilités et budget approuvés</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Extension possible</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Territoires et cohorte à redéfinir</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Résultats évalués et nouvelle décision écrite</w:t>
            </w:r>
          </w:p>
        </w:tc>
      </w:tr>
    </w:tbl>
    <w:p>
      <w:pPr>
        <w:spacing w:after="55" w:line="260"/>
      </w:pPr>
      <w:r>
        <w:rPr>
          <w:rFonts w:ascii="Arial" w:cs="Arial" w:eastAsia="Arial" w:hAnsi="Arial"/>
          <w:b w:val="false"/>
          <w:bCs w:val="false"/>
          <w:i w:val="false"/>
          <w:iCs w:val="false"/>
          <w:color w:val="26353A"/>
          <w:sz w:val="18"/>
          <w:szCs w:val="18"/>
        </w:rPr>
        <w:t xml:space="preserve">Le choix du territoire dépendrait de l'offre réellement disponible, de la capacité d'accompagnement et des critères du programme partenaire. Ces paramètres ne constituent pas un calendrier établi.</w:t>
      </w:r>
    </w:p>
    <w:p>
      <w:r>
        <w:br w:type="page"/>
      </w:r>
    </w:p>
    <w:p>
      <w:pPr>
        <w:keepNext/>
        <w:shd w:fill="F1F6F4" w:val="clear"/>
        <w:spacing w:after="70" w:before="100"/>
      </w:pPr>
      <w:r>
        <w:rPr>
          <w:rFonts w:ascii="Arial" w:cs="Arial" w:eastAsia="Arial" w:hAnsi="Arial"/>
          <w:b/>
          <w:bCs/>
          <w:i w:val="false"/>
          <w:iCs w:val="false"/>
          <w:color w:val="203239"/>
          <w:sz w:val="24"/>
          <w:szCs w:val="24"/>
        </w:rPr>
        <w:t xml:space="preserve">4. Cadre de mesure et limites</w:t>
      </w:r>
    </w:p>
    <w:p>
      <w:pPr>
        <w:spacing w:after="55" w:line="260"/>
      </w:pPr>
      <w:r>
        <w:rPr>
          <w:rFonts w:ascii="Arial" w:cs="Arial" w:eastAsia="Arial" w:hAnsi="Arial"/>
          <w:b w:val="false"/>
          <w:bCs w:val="false"/>
          <w:i w:val="false"/>
          <w:iCs w:val="false"/>
          <w:color w:val="26353A"/>
          <w:sz w:val="18"/>
          <w:szCs w:val="18"/>
        </w:rPr>
        <w:t xml:space="preserve">Les indicateurs, leurs sources, leur fréquence et leurs définitions seraient validés avant le démarrage. Le suivi distinguerait les activités réalisées dans ArtisanConnect des informations rapportées par les participants.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500"/>
      </w:tblGrid>
      <w:tr>
        <w:trPr>
          <w:cantSplit/>
        </w:trPr>
        <w:tc>
          <w:tcPr>
            <w:tcW w:type="dxa" w:w="26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Domaine</w:t>
            </w:r>
          </w:p>
        </w:tc>
        <w:tc>
          <w:tcPr>
            <w:tcW w:type="dxa" w:w="39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Mesures possibles</w:t>
            </w:r>
          </w:p>
        </w:tc>
        <w:tc>
          <w:tcPr>
            <w:tcW w:type="dxa" w:w="35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Limite à expliciter</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Adoption</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Comptes créés, profils complétés, offres actives</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Inscription ne signifie pas activité économique</w:t>
            </w:r>
          </w:p>
        </w:tc>
      </w:tr>
      <w:tr>
        <w:trPr>
          <w:cantSplit/>
        </w:trPr>
        <w:tc>
          <w:tcPr>
            <w:tcW w:type="dxa" w:w="26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Accès à la visibilité</w:t>
            </w:r>
          </w:p>
        </w:tc>
        <w:tc>
          <w:tcPr>
            <w:tcW w:type="dxa" w:w="3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Consultations et demandes reçues</w:t>
            </w:r>
          </w:p>
        </w:tc>
        <w:tc>
          <w:tcPr>
            <w:tcW w:type="dxa" w:w="35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Une consultation ne signifie pas achat</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Réactivité</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Réponses consignées et délai observé</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Les échanges hors plateforme peuvent manquer</w:t>
            </w:r>
          </w:p>
        </w:tc>
      </w:tr>
      <w:tr>
        <w:trPr>
          <w:cantSplit/>
        </w:trPr>
        <w:tc>
          <w:tcPr>
            <w:tcW w:type="dxa" w:w="26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Mise en relation</w:t>
            </w:r>
          </w:p>
        </w:tc>
        <w:tc>
          <w:tcPr>
            <w:tcW w:type="dxa" w:w="3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Brief transmis, contact WhatsApp initié</w:t>
            </w:r>
          </w:p>
        </w:tc>
        <w:tc>
          <w:tcPr>
            <w:tcW w:type="dxa" w:w="35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Ne prouve ni commande ni vente</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Opportunité économique</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Retour volontaire du bénéficiaire</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Déclaratif, distinct d'un encaissement vérifié</w:t>
            </w:r>
          </w:p>
        </w:tc>
      </w:tr>
      <w:tr>
        <w:trPr>
          <w:cantSplit/>
        </w:trPr>
        <w:tc>
          <w:tcPr>
            <w:tcW w:type="dxa" w:w="26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Dimension territoriale</w:t>
            </w:r>
          </w:p>
        </w:tc>
        <w:tc>
          <w:tcPr>
            <w:tcW w:type="dxa" w:w="3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Répartition agrégée par localité et métier</w:t>
            </w:r>
          </w:p>
        </w:tc>
        <w:tc>
          <w:tcPr>
            <w:tcW w:type="dxa" w:w="35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Petits effectifs; éviter toute ré-identification</w:t>
            </w:r>
          </w:p>
        </w:tc>
      </w:tr>
    </w:tbl>
    <w:p>
      <w:pPr>
        <w:spacing w:after="55" w:line="260"/>
      </w:pPr>
      <w:r>
        <w:rPr>
          <w:rFonts w:ascii="Arial" w:cs="Arial" w:eastAsia="Arial" w:hAnsi="Arial"/>
          <w:b w:val="false"/>
          <w:bCs w:val="false"/>
          <w:i w:val="false"/>
          <w:iCs w:val="false"/>
          <w:color w:val="26353A"/>
          <w:sz w:val="18"/>
          <w:szCs w:val="18"/>
        </w:rPr>
        <w:t xml:space="preserve">Le projet ne revendiquera pas d'effet causal sans groupe de comparaison ou méthode d'évaluation approuvée. Les rapports ne remplaceront pas les indicateurs officiels du programme. Les catégories de sexe ou de vulnérabilité ne seraient utilisées que si elles sont nécessaires, collectées de manière appropriée et couvertes par le protocole de données.</w:t>
      </w:r>
    </w:p>
    <w:p>
      <w:pPr>
        <w:keepNext/>
        <w:shd w:fill="F1F6F4" w:val="clear"/>
        <w:spacing w:after="70" w:before="100"/>
      </w:pPr>
      <w:r>
        <w:rPr>
          <w:rFonts w:ascii="Arial" w:cs="Arial" w:eastAsia="Arial" w:hAnsi="Arial"/>
          <w:b/>
          <w:bCs/>
          <w:i w:val="false"/>
          <w:iCs w:val="false"/>
          <w:color w:val="203239"/>
          <w:sz w:val="24"/>
          <w:szCs w:val="24"/>
        </w:rPr>
        <w:t xml:space="preserve">5. Gouvernance et mise en œuvre</w:t>
      </w:r>
    </w:p>
    <w:p>
      <w:pPr>
        <w:spacing w:after="55" w:line="260"/>
      </w:pPr>
      <w:r>
        <w:rPr>
          <w:rFonts w:ascii="Arial" w:cs="Arial" w:eastAsia="Arial" w:hAnsi="Arial"/>
          <w:b w:val="false"/>
          <w:bCs w:val="false"/>
          <w:i w:val="false"/>
          <w:iCs w:val="false"/>
          <w:color w:val="26353A"/>
          <w:sz w:val="18"/>
          <w:szCs w:val="18"/>
        </w:rPr>
        <w:t xml:space="preserve">ArtisanConnect pourrait, sous réserve de capacités et d'accord : préparer les espaces numériques, former les participants, fournir un support dans le périmètre convenu, traiter les incidents de plateforme et remettre un rapport agrégé.</w:t>
      </w:r>
    </w:p>
    <w:p>
      <w:pPr>
        <w:spacing w:after="55" w:line="260"/>
      </w:pPr>
      <w:r>
        <w:rPr>
          <w:rFonts w:ascii="Arial" w:cs="Arial" w:eastAsia="Arial" w:hAnsi="Arial"/>
          <w:b w:val="false"/>
          <w:bCs w:val="false"/>
          <w:i w:val="false"/>
          <w:iCs w:val="false"/>
          <w:color w:val="26353A"/>
          <w:sz w:val="18"/>
          <w:szCs w:val="18"/>
        </w:rPr>
        <w:t xml:space="preserve">Le MINEPAT et le programme d'accueil pourraient, selon les procédures applicables : désigner un point focal, identifier le territoire et la cohorte, valider les définitions de suivi, et coordonner les acteurs concernés. Ces contributions sont à discuter et ne sont pas présumées.</w:t>
      </w:r>
    </w:p>
    <w:p>
      <w:pPr>
        <w:spacing w:after="55" w:line="260"/>
      </w:pPr>
      <w:r>
        <w:rPr>
          <w:rFonts w:ascii="Arial" w:cs="Arial" w:eastAsia="Arial" w:hAnsi="Arial"/>
          <w:b w:val="false"/>
          <w:bCs w:val="false"/>
          <w:i w:val="false"/>
          <w:iCs w:val="false"/>
          <w:color w:val="26353A"/>
          <w:sz w:val="18"/>
          <w:szCs w:val="18"/>
        </w:rPr>
        <w:t xml:space="preserve">Avant le test, les parties définiraient : critères de sélection et de retrait, responsabilités de support, protocole de données, traitement des réclamations, modalités de revue des indicateurs, calendrier et règles d'autorisation de communication.</w:t>
      </w:r>
    </w:p>
    <w:p>
      <w:pPr>
        <w:keepNext/>
        <w:shd w:fill="F1F6F4" w:val="clear"/>
        <w:spacing w:after="70" w:before="100"/>
      </w:pPr>
      <w:r>
        <w:rPr>
          <w:rFonts w:ascii="Arial" w:cs="Arial" w:eastAsia="Arial" w:hAnsi="Arial"/>
          <w:b/>
          <w:bCs/>
          <w:i w:val="false"/>
          <w:iCs w:val="false"/>
          <w:color w:val="203239"/>
          <w:sz w:val="24"/>
          <w:szCs w:val="24"/>
        </w:rPr>
        <w:t xml:space="preserve">6. Risques et atténuation</w:t>
      </w:r>
    </w:p>
    <w:p>
      <w:pPr>
        <w:spacing w:after="35" w:line="250"/>
        <w:ind w:left="280" w:hanging="170"/>
      </w:pPr>
      <w:r>
        <w:rPr>
          <w:rFonts w:ascii="Arial" w:cs="Arial" w:eastAsia="Arial" w:hAnsi="Arial"/>
          <w:b w:val="false"/>
          <w:bCs w:val="false"/>
          <w:i w:val="false"/>
          <w:iCs w:val="false"/>
          <w:color w:val="26353A"/>
          <w:sz w:val="18"/>
          <w:szCs w:val="18"/>
        </w:rPr>
        <w:t xml:space="preserve">•  Confusion entre activité et impact : documenter précisément les niveaux de preuve et publier les limites.</w:t>
      </w:r>
    </w:p>
    <w:p>
      <w:pPr>
        <w:spacing w:after="35" w:line="250"/>
        <w:ind w:left="280" w:hanging="170"/>
      </w:pPr>
      <w:r>
        <w:rPr>
          <w:rFonts w:ascii="Arial" w:cs="Arial" w:eastAsia="Arial" w:hAnsi="Arial"/>
          <w:b w:val="false"/>
          <w:bCs w:val="false"/>
          <w:i w:val="false"/>
          <w:iCs w:val="false"/>
          <w:color w:val="26353A"/>
          <w:sz w:val="18"/>
          <w:szCs w:val="18"/>
        </w:rPr>
        <w:t xml:space="preserve">•  Données territoriales identifiantes : agréger, limiter les petits effectifs et contrôler les accès.</w:t>
      </w:r>
    </w:p>
    <w:p>
      <w:pPr>
        <w:spacing w:after="35" w:line="250"/>
        <w:ind w:left="280" w:hanging="170"/>
      </w:pPr>
      <w:r>
        <w:rPr>
          <w:rFonts w:ascii="Arial" w:cs="Arial" w:eastAsia="Arial" w:hAnsi="Arial"/>
          <w:b w:val="false"/>
          <w:bCs w:val="false"/>
          <w:i w:val="false"/>
          <w:iCs w:val="false"/>
          <w:color w:val="26353A"/>
          <w:sz w:val="18"/>
          <w:szCs w:val="18"/>
        </w:rPr>
        <w:t xml:space="preserve">•  Faible adoption ou connectivité : formation mobile, appui local et test de parcours.</w:t>
      </w:r>
    </w:p>
    <w:p>
      <w:pPr>
        <w:spacing w:after="35" w:line="250"/>
        <w:ind w:left="280" w:hanging="170"/>
      </w:pPr>
      <w:r>
        <w:rPr>
          <w:rFonts w:ascii="Arial" w:cs="Arial" w:eastAsia="Arial" w:hAnsi="Arial"/>
          <w:b w:val="false"/>
          <w:bCs w:val="false"/>
          <w:i w:val="false"/>
          <w:iCs w:val="false"/>
          <w:color w:val="26353A"/>
          <w:sz w:val="18"/>
          <w:szCs w:val="18"/>
        </w:rPr>
        <w:t xml:space="preserve">•  Demandes sans suivi : attribuer un responsable de coordination et définir la réponse attendue.</w:t>
      </w:r>
    </w:p>
    <w:p>
      <w:pPr>
        <w:spacing w:after="35" w:line="250"/>
        <w:ind w:left="280" w:hanging="170"/>
      </w:pPr>
      <w:r>
        <w:rPr>
          <w:rFonts w:ascii="Arial" w:cs="Arial" w:eastAsia="Arial" w:hAnsi="Arial"/>
          <w:b w:val="false"/>
          <w:bCs w:val="false"/>
          <w:i w:val="false"/>
          <w:iCs w:val="false"/>
          <w:color w:val="26353A"/>
          <w:sz w:val="18"/>
          <w:szCs w:val="18"/>
        </w:rPr>
        <w:t xml:space="preserve">•  Activités économiques non vérifiables : séparer vente déclarée, commande plateforme et paiement réellement encaissé.</w:t>
      </w:r>
    </w:p>
    <w:p>
      <w:pPr>
        <w:spacing w:after="35" w:line="250"/>
        <w:ind w:left="280" w:hanging="170"/>
      </w:pPr>
      <w:r>
        <w:rPr>
          <w:rFonts w:ascii="Arial" w:cs="Arial" w:eastAsia="Arial" w:hAnsi="Arial"/>
          <w:b w:val="false"/>
          <w:bCs w:val="false"/>
          <w:i w:val="false"/>
          <w:iCs w:val="false"/>
          <w:color w:val="26353A"/>
          <w:sz w:val="18"/>
          <w:szCs w:val="18"/>
        </w:rPr>
        <w:t xml:space="preserve">•  Dépendance à un financement : chiffrer les options après cadrage; ne pas engager de dépense ni garantir une extension avant accord.</w:t>
      </w:r>
    </w:p>
    <w:p>
      <w:pPr>
        <w:keepNext/>
        <w:shd w:fill="F1F6F4" w:val="clear"/>
        <w:spacing w:after="70" w:before="100"/>
      </w:pPr>
      <w:r>
        <w:rPr>
          <w:rFonts w:ascii="Arial" w:cs="Arial" w:eastAsia="Arial" w:hAnsi="Arial"/>
          <w:b/>
          <w:bCs/>
          <w:i w:val="false"/>
          <w:iCs w:val="false"/>
          <w:color w:val="203239"/>
          <w:sz w:val="24"/>
          <w:szCs w:val="24"/>
        </w:rPr>
        <w:t xml:space="preserve">7. Budget et décision sollicitée</w:t>
      </w:r>
    </w:p>
    <w:p>
      <w:pPr>
        <w:spacing w:after="55" w:line="260"/>
      </w:pPr>
      <w:r>
        <w:rPr>
          <w:rFonts w:ascii="Arial" w:cs="Arial" w:eastAsia="Arial" w:hAnsi="Arial"/>
          <w:b w:val="false"/>
          <w:bCs w:val="false"/>
          <w:i w:val="false"/>
          <w:iCs w:val="false"/>
          <w:color w:val="26353A"/>
          <w:sz w:val="18"/>
          <w:szCs w:val="18"/>
        </w:rPr>
        <w:t xml:space="preserve">Aucun budget n'est arrêté. Les postes à chiffrer dépendraient de la taille et de la localisation de la cohorte : mobilisation, formation, assistance, production de contenus, connectivité, plateforme, sécurité, suivi-évaluation, coordination, fiscalité et contributions en nature.</w:t>
      </w:r>
    </w:p>
    <w:p>
      <w:pPr>
        <w:spacing w:after="55" w:line="260"/>
      </w:pPr>
      <w:r>
        <w:rPr>
          <w:rFonts w:ascii="Arial" w:cs="Arial" w:eastAsia="Arial" w:hAnsi="Arial"/>
          <w:b w:val="false"/>
          <w:bCs w:val="false"/>
          <w:i w:val="false"/>
          <w:iCs w:val="false"/>
          <w:color w:val="26353A"/>
          <w:sz w:val="18"/>
          <w:szCs w:val="18"/>
        </w:rPr>
        <w:t xml:space="preserve">La demande actuelle est une audience de présentation et l'orientation vers un programme ou service pertinent. La suite pourrait être un atelier de cadrage, si le Ministère le souhaite. Cette note n'est ni une proposition de décaissement, ni une évaluation d'impact, ni une convention.</w:t>
      </w:r>
    </w:p>
    <w:p>
      <w:r>
        <w:br w:type="page"/>
      </w:r>
    </w:p>
    <w:p>
      <w:pPr>
        <w:keepNext/>
        <w:shd w:fill="F1F6F4" w:val="clear"/>
        <w:spacing w:after="70" w:before="100"/>
      </w:pPr>
      <w:r>
        <w:rPr>
          <w:rFonts w:ascii="Arial" w:cs="Arial" w:eastAsia="Arial" w:hAnsi="Arial"/>
          <w:b/>
          <w:bCs/>
          <w:i w:val="false"/>
          <w:iCs w:val="false"/>
          <w:color w:val="203239"/>
          <w:sz w:val="24"/>
          <w:szCs w:val="24"/>
        </w:rPr>
        <w:t xml:space="preserve">8. Séquence de préparation possible</w:t>
      </w:r>
    </w:p>
    <w:p>
      <w:pPr>
        <w:spacing w:after="35" w:line="250"/>
        <w:ind w:left="280" w:hanging="170"/>
      </w:pPr>
      <w:r>
        <w:rPr>
          <w:rFonts w:ascii="Arial" w:cs="Arial" w:eastAsia="Arial" w:hAnsi="Arial"/>
          <w:b w:val="false"/>
          <w:bCs w:val="false"/>
          <w:i w:val="false"/>
          <w:iCs w:val="false"/>
          <w:color w:val="26353A"/>
          <w:sz w:val="18"/>
          <w:szCs w:val="18"/>
        </w:rPr>
        <w:t xml:space="preserve">Choisir un programme et une problématique d'accès au marché clairement délimités.</w:t>
      </w:r>
    </w:p>
    <w:p>
      <w:pPr>
        <w:spacing w:after="35" w:line="250"/>
        <w:ind w:left="280" w:hanging="170"/>
      </w:pPr>
      <w:r>
        <w:rPr>
          <w:rFonts w:ascii="Arial" w:cs="Arial" w:eastAsia="Arial" w:hAnsi="Arial"/>
          <w:b w:val="false"/>
          <w:bCs w:val="false"/>
          <w:i w:val="false"/>
          <w:iCs w:val="false"/>
          <w:color w:val="26353A"/>
          <w:sz w:val="18"/>
          <w:szCs w:val="18"/>
        </w:rPr>
        <w:t xml:space="preserve">Identifier les bénéficiaires volontaires et vérifier les offres disponibles.</w:t>
      </w:r>
    </w:p>
    <w:p>
      <w:pPr>
        <w:spacing w:after="35" w:line="250"/>
        <w:ind w:left="280" w:hanging="170"/>
      </w:pPr>
      <w:r>
        <w:rPr>
          <w:rFonts w:ascii="Arial" w:cs="Arial" w:eastAsia="Arial" w:hAnsi="Arial"/>
          <w:b w:val="false"/>
          <w:bCs w:val="false"/>
          <w:i w:val="false"/>
          <w:iCs w:val="false"/>
          <w:color w:val="26353A"/>
          <w:sz w:val="18"/>
          <w:szCs w:val="18"/>
        </w:rPr>
        <w:t xml:space="preserve">Définir les indicateurs, leurs limites, le traitement des données et les responsabilités.</w:t>
      </w:r>
    </w:p>
    <w:p>
      <w:pPr>
        <w:spacing w:after="35" w:line="250"/>
        <w:ind w:left="280" w:hanging="170"/>
      </w:pPr>
      <w:r>
        <w:rPr>
          <w:rFonts w:ascii="Arial" w:cs="Arial" w:eastAsia="Arial" w:hAnsi="Arial"/>
          <w:b w:val="false"/>
          <w:bCs w:val="false"/>
          <w:i w:val="false"/>
          <w:iCs w:val="false"/>
          <w:color w:val="26353A"/>
          <w:sz w:val="18"/>
          <w:szCs w:val="18"/>
        </w:rPr>
        <w:t xml:space="preserve">Construire le calendrier et le budget sur la base des coûts réels.</w:t>
      </w:r>
    </w:p>
    <w:p>
      <w:pPr>
        <w:spacing w:after="35" w:line="250"/>
        <w:ind w:left="280" w:hanging="170"/>
      </w:pPr>
      <w:r>
        <w:rPr>
          <w:rFonts w:ascii="Arial" w:cs="Arial" w:eastAsia="Arial" w:hAnsi="Arial"/>
          <w:b w:val="false"/>
          <w:bCs w:val="false"/>
          <w:i w:val="false"/>
          <w:iCs w:val="false"/>
          <w:color w:val="26353A"/>
          <w:sz w:val="18"/>
          <w:szCs w:val="18"/>
        </w:rPr>
        <w:t xml:space="preserve">Approuver par écrit les critères de lancement et de suspension.</w:t>
      </w:r>
    </w:p>
    <w:p>
      <w:pPr>
        <w:spacing w:after="35" w:line="250"/>
        <w:ind w:left="280" w:hanging="170"/>
      </w:pPr>
      <w:r>
        <w:rPr>
          <w:rFonts w:ascii="Arial" w:cs="Arial" w:eastAsia="Arial" w:hAnsi="Arial"/>
          <w:b w:val="false"/>
          <w:bCs w:val="false"/>
          <w:i w:val="false"/>
          <w:iCs w:val="false"/>
          <w:color w:val="26353A"/>
          <w:sz w:val="18"/>
          <w:szCs w:val="18"/>
        </w:rPr>
        <w:t xml:space="preserve">Évaluer le test avant toute proposition de cohorte élargie.</w:t>
      </w:r>
    </w:p>
    <w:p>
      <w:pPr>
        <w:spacing w:after="55" w:line="260"/>
      </w:pPr>
      <w:r>
        <w:rPr>
          <w:rFonts w:ascii="Arial" w:cs="Arial" w:eastAsia="Arial" w:hAnsi="Arial"/>
          <w:b w:val="false"/>
          <w:bCs w:val="false"/>
          <w:i w:val="false"/>
          <w:iCs w:val="false"/>
          <w:color w:val="26353A"/>
          <w:sz w:val="18"/>
          <w:szCs w:val="18"/>
        </w:rPr>
        <w:t xml:space="preserve">Contact : juvettaj@gmail.com · +33 7 82 51 05 46 Relais local proposé : Ngounou Junior · +237 691 759 881 Présence au Cameroun : 9 octobre – 7 décembre 2026, audience à confirmer.</w:t>
      </w:r>
    </w:p>
    <w:sectPr>
      <w:pgSz w:w="11906" w:h="16838" w:orient="portrait"/>
      <w:pgMar w:top="680" w:right="680" w:bottom="680" w:left="6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etgtduxfpslcasd30nsfz" Type="http://schemas.openxmlformats.org/officeDocument/2006/relationships/hyperlink" Target="https://artisanconnectcm.info" TargetMode="External"/><Relationship Id="rId7" Type="http://schemas.openxmlformats.org/officeDocument/2006/relationships/image" Target="media/c36016a2132975be8e6b11311315629d64f7d89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conceptuelle — MINEPAT</dc:title>
  <dc:subject>Note conceptuelle — MINEPAT</dc:subject>
  <dc:creator>ArtisanConnect</dc:creator>
  <cp:lastModifiedBy>Un-named</cp:lastModifiedBy>
  <cp:revision>1</cp:revision>
  <dcterms:created xsi:type="dcterms:W3CDTF">2026-09-29T00:01:56.078Z</dcterms:created>
  <dcterms:modified xsi:type="dcterms:W3CDTF">2026-09-29T00:01:56.078Z</dcterms:modified>
</cp:coreProperties>
</file>

<file path=docProps/custom.xml><?xml version="1.0" encoding="utf-8"?>
<Properties xmlns="http://schemas.openxmlformats.org/officeDocument/2006/custom-properties" xmlns:vt="http://schemas.openxmlformats.org/officeDocument/2006/docPropsVTypes"/>
</file>