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sej_2yzvyqnyxudlwrfh">
        <w:r>
          <w:drawing>
            <wp:inline distT="0" distB="0" distL="0" distR="0">
              <wp:extent cx="628650" cy="628650"/>
              <wp:effectExtent t="0" r="0" b="0" l="0"/>
              <wp:docPr id="8" descr="Scanner ou cliquer pour ouvrir le site" title="QR ArtisanConnect">
                <a:hlinkClick xmlns:a="http://schemas.openxmlformats.org/drawingml/2006/main" r:id="rId-sej_2yzvyqnyxudlwrfh"/>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sej_2yzvyqnyxudlwrfh"/>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Démonstration — MINEPAT</w:t>
      </w:r>
    </w:p>
    <w:p>
      <w:pPr>
        <w:spacing w:after="120"/>
      </w:pPr>
      <w:r>
        <w:rPr>
          <w:rFonts w:ascii="Arial" w:cs="Arial" w:eastAsia="Arial" w:hAnsi="Arial"/>
          <w:b w:val="false"/>
          <w:bCs w:val="false"/>
          <w:i w:val="false"/>
          <w:iCs w:val="false"/>
          <w:color w:val="176B5B"/>
          <w:sz w:val="20"/>
          <w:szCs w:val="20"/>
        </w:rPr>
        <w:t xml:space="preserve">Démonstration — MINEPAT</w:t>
      </w:r>
    </w:p>
    <w:p>
      <w:pPr>
        <w:keepNext/>
        <w:spacing w:after="100"/>
      </w:pPr>
      <w:r>
        <w:rPr>
          <w:rFonts w:ascii="Arial" w:cs="Arial" w:eastAsia="Arial" w:hAnsi="Arial"/>
          <w:b/>
          <w:bCs/>
          <w:i w:val="false"/>
          <w:iCs w:val="false"/>
          <w:color w:val="203239"/>
          <w:sz w:val="42"/>
          <w:szCs w:val="42"/>
        </w:rPr>
        <w:t xml:space="preserve">Démonstration MINEPAT — 10 minutes</w:t>
      </w:r>
    </w:p>
    <w:p>
      <w:pPr>
        <w:spacing w:after="55" w:line="260"/>
      </w:pPr>
      <w:r>
        <w:rPr>
          <w:rFonts w:ascii="Arial" w:cs="Arial" w:eastAsia="Arial" w:hAnsi="Arial"/>
          <w:b w:val="false"/>
          <w:bCs w:val="false"/>
          <w:i w:val="false"/>
          <w:iCs w:val="false"/>
          <w:color w:val="26353A"/>
          <w:sz w:val="18"/>
          <w:szCs w:val="18"/>
        </w:rPr>
        <w:t xml:space="preserve">Fil conducteur : illustrer un parcours bénéficiaire et montrer des indicateurs d'adoption, sans présenter les données comme une évaluation d'impact.</w:t>
      </w:r>
    </w:p>
    <w:p>
      <w:pPr>
        <w:spacing w:after="55" w:line="260"/>
      </w:pPr>
      <w:r>
        <w:rPr>
          <w:rFonts w:ascii="Arial" w:cs="Arial" w:eastAsia="Arial" w:hAnsi="Arial"/>
          <w:b w:val="false"/>
          <w:bCs w:val="false"/>
          <w:i w:val="false"/>
          <w:iCs w:val="false"/>
          <w:color w:val="26353A"/>
          <w:sz w:val="18"/>
          <w:szCs w:val="18"/>
        </w:rPr>
        <w:t xml:space="preserve">Présentateur : Juvet TAJO, président fondateur d'ArtisanConnect, résidant en France. Contact : juvettaj@gmail.com · +33 7 82 51 05 46. Relais local proposé : Ngounou Junior · +237 691 759 881. Présence au Cameroun : 9 octobre – 7 décembre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Temps</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Action</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Message clé</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0:00–1:00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Présenter ArtisanConnect et l'objectif d'accès au marché</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Outil complémentaire, pas système officiel de suivi-évaluation</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1:00–2:30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Ouvrir une fiche artisan de démonstration</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Les informations sont confirmées par le participant</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2:30–4:00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Rechercher par métier et territoire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la découverte locale, pas une mesure exhaustive du marché</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4:00–5:30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Démarrer une demande de devis fictive</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Distinguer une demande d'une commande et d'une vente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5:30–7:00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le brief B2B et l'affectation admin</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Revue humaine et transmission aux seuls artisans sélectionnés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7:00–8:30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les mesures agrégées préparées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Définir les dénominateurs et expliciter les données manquantes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8:30–9:15</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Présenter risques et protocole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Confidentialité, petits effectifs, données déclaratives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9:15–10:00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Demander l'orientation vers un programme</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Cadrer territoire, indicateurs, budget et décision avant test</w:t>
            </w:r>
          </w:p>
        </w:tc>
      </w:tr>
    </w:tbl>
    <w:p>
      <w:pPr>
        <w:spacing w:after="55" w:line="260"/>
      </w:pPr>
      <w:r>
        <w:rPr>
          <w:rFonts w:ascii="Arial" w:cs="Arial" w:eastAsia="Arial" w:hAnsi="Arial"/>
          <w:b w:val="false"/>
          <w:bCs w:val="false"/>
          <w:i w:val="false"/>
          <w:iCs w:val="false"/>
          <w:color w:val="26353A"/>
          <w:sz w:val="18"/>
          <w:szCs w:val="18"/>
        </w:rPr>
        <w:t xml:space="preserve">Clôture proposée : « Nous sollicitons une audience de cadrage autour d'un programme et d'un territoire pertinents. Tout test serait défini avec vos services, ses indicateurs seraient distingués d'une mesure d'impact, et son budget serait établi avant tout engagement. »</w:t>
      </w:r>
    </w:p>
    <w:sectPr>
      <w:pgSz w:w="16838" w:h="11906" w:orient="landscape"/>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ej_2yzvyqnyxudlwrfh"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Démonstration — MINEPAT</dc:title>
  <dc:subject>Démonstration — MINEPAT</dc:subject>
  <dc:creator>ArtisanConnect</dc:creator>
  <cp:lastModifiedBy>Un-named</cp:lastModifiedBy>
  <cp:revision>1</cp:revision>
  <dcterms:created xsi:type="dcterms:W3CDTF">2026-09-29T00:01:56.292Z</dcterms:created>
  <dcterms:modified xsi:type="dcterms:W3CDTF">2026-09-29T00:01:56.292Z</dcterms:modified>
</cp:coreProperties>
</file>

<file path=docProps/custom.xml><?xml version="1.0" encoding="utf-8"?>
<Properties xmlns="http://schemas.openxmlformats.org/officeDocument/2006/custom-properties" xmlns:vt="http://schemas.openxmlformats.org/officeDocument/2006/docPropsVTypes"/>
</file>