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77A28" w:sz="14" w:space="4"/>
        </w:pBdr>
        <w:spacing w:after="70"/>
      </w:pPr>
      <w:r>
        <w:rPr>
          <w:rFonts w:ascii="Arial" w:cs="Arial" w:eastAsia="Arial" w:hAnsi="Arial"/>
          <w:b/>
          <w:bCs/>
          <w:i w:val="false"/>
          <w:iCs w:val="false"/>
          <w:color w:val="203239"/>
          <w:sz w:val="30"/>
          <w:szCs w:val="30"/>
        </w:rPr>
        <w:t xml:space="preserve">Artisan</w:t>
      </w:r>
      <w:r>
        <w:rPr>
          <w:rFonts w:ascii="Arial" w:cs="Arial" w:eastAsia="Arial" w:hAnsi="Arial"/>
          <w:b/>
          <w:bCs/>
          <w:i w:val="false"/>
          <w:iCs w:val="false"/>
          <w:color w:val="C77A28"/>
          <w:sz w:val="30"/>
          <w:szCs w:val="30"/>
        </w:rPr>
        <w:t xml:space="preserve">Connect</w:t>
      </w:r>
      <w:r>
        <w:rPr>
          <w:rFonts w:ascii="Arial" w:cs="Arial" w:eastAsia="Arial" w:hAnsi="Arial"/>
          <w:b w:val="false"/>
          <w:bCs w:val="false"/>
          <w:i w:val="false"/>
          <w:iCs w:val="false"/>
          <w:color w:val="647378"/>
          <w:sz w:val="14"/>
          <w:szCs w:val="14"/>
        </w:rPr>
        <w:t xml:space="preserve">     DOSSIER DE DISCUSSION · 29 SEPTEMBRE 2026</w:t>
      </w:r>
    </w:p>
    <w:p>
      <w:pPr>
        <w:spacing w:after="30"/>
        <w:jc w:val="right"/>
      </w:pPr>
      <w:hyperlink w:history="1" r:id="rIdgkauj29i1r6irsz9zp_kr">
        <w:r>
          <w:drawing>
            <wp:inline distT="0" distB="0" distL="0" distR="0">
              <wp:extent cx="628650" cy="628650"/>
              <wp:effectExtent t="0" r="0" b="0" l="0"/>
              <wp:docPr id="14" descr="Scanner ou cliquer pour ouvrir le site" title="QR ArtisanConnect">
                <a:hlinkClick xmlns:a="http://schemas.openxmlformats.org/drawingml/2006/main" r:id="rIdgkauj29i1r6irsz9zp_kr"/>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a:hlinkClick r:id="rIdgkauj29i1r6irsz9zp_kr"/>
                      </pic:cNvPr>
                      <pic:cNvPicPr>
                        <a:picLocks noChangeAspect="1" noChangeArrowheads="1"/>
                      </pic:cNvPicPr>
                    </pic:nvPicPr>
                    <pic:blipFill>
                      <a:blip r:embed="rId7" cstate="none"/>
                      <a:srcRect/>
                      <a:stretch>
                        <a:fillRect/>
                      </a:stretch>
                    </pic:blipFill>
                    <pic:spPr bwMode="auto">
                      <a:xfrm>
                        <a:off x="0" y="0"/>
                        <a:ext cx="628650" cy="628650"/>
                      </a:xfrm>
                      <a:prstGeom prst="rect">
                        <a:avLst/>
                      </a:prstGeom>
                    </pic:spPr>
                  </pic:pic>
                </a:graphicData>
              </a:graphic>
            </wp:inline>
          </w:drawing>
        </w:r>
      </w:hyperlink>
    </w:p>
    <w:p>
      <w:pPr>
        <w:keepNext/>
        <w:spacing w:after="55"/>
      </w:pPr>
      <w:r>
        <w:rPr>
          <w:rFonts w:ascii="Arial" w:cs="Arial" w:eastAsia="Arial" w:hAnsi="Arial"/>
          <w:b/>
          <w:bCs/>
          <w:i w:val="false"/>
          <w:iCs w:val="false"/>
          <w:color w:val="203239"/>
          <w:sz w:val="40"/>
          <w:szCs w:val="40"/>
        </w:rPr>
        <w:t xml:space="preserve">Note conceptuelle — MINPROFF</w:t>
      </w:r>
    </w:p>
    <w:p>
      <w:pPr>
        <w:spacing w:after="120"/>
      </w:pPr>
      <w:r>
        <w:rPr>
          <w:rFonts w:ascii="Arial" w:cs="Arial" w:eastAsia="Arial" w:hAnsi="Arial"/>
          <w:b w:val="false"/>
          <w:bCs w:val="false"/>
          <w:i w:val="false"/>
          <w:iCs w:val="false"/>
          <w:color w:val="176B5B"/>
          <w:sz w:val="20"/>
          <w:szCs w:val="20"/>
        </w:rPr>
        <w:t xml:space="preserve">Note conceptuelle — MINPROFF</w:t>
      </w:r>
    </w:p>
    <w:p>
      <w:pPr>
        <w:keepNext/>
        <w:spacing w:after="100"/>
      </w:pPr>
      <w:r>
        <w:rPr>
          <w:rFonts w:ascii="Arial" w:cs="Arial" w:eastAsia="Arial" w:hAnsi="Arial"/>
          <w:b/>
          <w:bCs/>
          <w:i w:val="false"/>
          <w:iCs w:val="false"/>
          <w:color w:val="203239"/>
          <w:sz w:val="42"/>
          <w:szCs w:val="42"/>
        </w:rPr>
        <w:t xml:space="preserve">Note conceptuelle — accès au marché pour les femmes entrepreneures</w:t>
      </w:r>
    </w:p>
    <w:p>
      <w:pPr>
        <w:spacing w:after="55" w:line="260"/>
      </w:pPr>
      <w:r>
        <w:rPr>
          <w:rFonts w:ascii="Arial" w:cs="Arial" w:eastAsia="Arial" w:hAnsi="Arial"/>
          <w:b w:val="false"/>
          <w:bCs w:val="false"/>
          <w:i w:val="false"/>
          <w:iCs w:val="false"/>
          <w:color w:val="26353A"/>
          <w:sz w:val="18"/>
          <w:szCs w:val="18"/>
        </w:rPr>
        <w:t xml:space="preserve">Destinataire proposé : MINPROFF</w:t>
      </w:r>
    </w:p>
    <w:p>
      <w:pPr>
        <w:spacing w:after="55" w:line="260"/>
      </w:pPr>
      <w:r>
        <w:rPr>
          <w:rFonts w:ascii="Arial" w:cs="Arial" w:eastAsia="Arial" w:hAnsi="Arial"/>
          <w:b w:val="false"/>
          <w:bCs w:val="false"/>
          <w:i w:val="false"/>
          <w:iCs w:val="false"/>
          <w:color w:val="26353A"/>
          <w:sz w:val="18"/>
          <w:szCs w:val="18"/>
        </w:rPr>
        <w:t xml:space="preserve">Porteur : Juvet TAJO, président fondateur d'ArtisanConnect, résidant en France</w:t>
      </w:r>
    </w:p>
    <w:p>
      <w:pPr>
        <w:spacing w:after="55" w:line="260"/>
      </w:pPr>
      <w:r>
        <w:rPr>
          <w:rFonts w:ascii="Arial" w:cs="Arial" w:eastAsia="Arial" w:hAnsi="Arial"/>
          <w:b w:val="false"/>
          <w:bCs w:val="false"/>
          <w:i w:val="false"/>
          <w:iCs w:val="false"/>
          <w:color w:val="26353A"/>
          <w:sz w:val="18"/>
          <w:szCs w:val="18"/>
        </w:rPr>
        <w:t xml:space="preserve">Relais local proposé : Ngounou Junior · +237 691 759 881</w:t>
      </w:r>
    </w:p>
    <w:p>
      <w:pPr>
        <w:spacing w:after="55" w:line="260"/>
      </w:pPr>
      <w:r>
        <w:rPr>
          <w:rFonts w:ascii="Arial" w:cs="Arial" w:eastAsia="Arial" w:hAnsi="Arial"/>
          <w:b w:val="false"/>
          <w:bCs w:val="false"/>
          <w:i w:val="false"/>
          <w:iCs w:val="false"/>
          <w:color w:val="26353A"/>
          <w:sz w:val="18"/>
          <w:szCs w:val="18"/>
        </w:rPr>
        <w:t xml:space="preserve">Version de travail : 29 septembre 2026 · Statut : document de discussion, sans engagement ni budget approuvé</w:t>
      </w:r>
    </w:p>
    <w:p>
      <w:pPr>
        <w:keepNext/>
        <w:shd w:fill="F1F6F4" w:val="clear"/>
        <w:spacing w:after="70" w:before="100"/>
      </w:pPr>
      <w:r>
        <w:rPr>
          <w:rFonts w:ascii="Arial" w:cs="Arial" w:eastAsia="Arial" w:hAnsi="Arial"/>
          <w:b/>
          <w:bCs/>
          <w:i w:val="false"/>
          <w:iCs w:val="false"/>
          <w:color w:val="203239"/>
          <w:sz w:val="24"/>
          <w:szCs w:val="24"/>
        </w:rPr>
        <w:t xml:space="preserve">1. Résumé</w:t>
      </w:r>
    </w:p>
    <w:p>
      <w:pPr>
        <w:spacing w:after="55" w:line="260"/>
      </w:pPr>
      <w:r>
        <w:rPr>
          <w:rFonts w:ascii="Arial" w:cs="Arial" w:eastAsia="Arial" w:hAnsi="Arial"/>
          <w:b w:val="false"/>
          <w:bCs w:val="false"/>
          <w:i w:val="false"/>
          <w:iCs w:val="false"/>
          <w:color w:val="26353A"/>
          <w:sz w:val="18"/>
          <w:szCs w:val="18"/>
        </w:rPr>
        <w:t xml:space="preserve">ArtisanConnect propose une vitrine numérique pour artisans et petits vendeurs, avec recherche par métier et localité, fiches de produits et services, demandes de devis et contacts via la plateforme ou WhatsApp. Les besoins d'entreprise peuvent être examinés puis transmis manuellement aux prestataires retenus.</w:t>
      </w:r>
    </w:p>
    <w:p>
      <w:pPr>
        <w:spacing w:after="55" w:line="260"/>
      </w:pPr>
      <w:r>
        <w:rPr>
          <w:rFonts w:ascii="Arial" w:cs="Arial" w:eastAsia="Arial" w:hAnsi="Arial"/>
          <w:b w:val="false"/>
          <w:bCs w:val="false"/>
          <w:i w:val="false"/>
          <w:iCs w:val="false"/>
          <w:color w:val="26353A"/>
          <w:sz w:val="18"/>
          <w:szCs w:val="18"/>
        </w:rPr>
        <w:t xml:space="preserve">Le MINPROFF pourrait, s'il le juge pertinent et selon ses priorités et procédures, orienter vers un programme ou service susceptible d'examiner un test limité destiné à des femmes entrepreneures, artisanes ou coopératives. Cette note ne suppose aucune sélection ministérielle, contribution financière ou affiliation à un programme.</w:t>
      </w:r>
    </w:p>
    <w:p>
      <w:pPr>
        <w:spacing w:after="55" w:line="260"/>
      </w:pPr>
      <w:r>
        <w:rPr>
          <w:rFonts w:ascii="Arial" w:cs="Arial" w:eastAsia="Arial" w:hAnsi="Arial"/>
          <w:b w:val="false"/>
          <w:bCs w:val="false"/>
          <w:i w:val="false"/>
          <w:iCs w:val="false"/>
          <w:color w:val="26353A"/>
          <w:sz w:val="18"/>
          <w:szCs w:val="18"/>
        </w:rPr>
        <w:t xml:space="preserve">Le test de discussion porterait sur 5 à 10 participantes dans une ville et 2 à 3 métiers pendant environ une semaine. Une phase ultérieure jusqu'à 100 participantes sur 3 à 6 mois ne serait envisagée qu'après évaluation, accord, garanties de données et budget approuvé.</w:t>
      </w:r>
    </w:p>
    <w:p>
      <w:pPr>
        <w:keepNext/>
        <w:shd w:fill="F1F6F4" w:val="clear"/>
        <w:spacing w:after="70" w:before="100"/>
      </w:pPr>
      <w:r>
        <w:rPr>
          <w:rFonts w:ascii="Arial" w:cs="Arial" w:eastAsia="Arial" w:hAnsi="Arial"/>
          <w:b/>
          <w:bCs/>
          <w:i w:val="false"/>
          <w:iCs w:val="false"/>
          <w:color w:val="203239"/>
          <w:sz w:val="24"/>
          <w:szCs w:val="24"/>
        </w:rPr>
        <w:t xml:space="preserve">2. Problématique et objectif</w:t>
      </w:r>
    </w:p>
    <w:p>
      <w:pPr>
        <w:spacing w:after="55" w:line="260"/>
      </w:pPr>
      <w:r>
        <w:rPr>
          <w:rFonts w:ascii="Arial" w:cs="Arial" w:eastAsia="Arial" w:hAnsi="Arial"/>
          <w:b w:val="false"/>
          <w:bCs w:val="false"/>
          <w:i w:val="false"/>
          <w:iCs w:val="false"/>
          <w:color w:val="26353A"/>
          <w:sz w:val="18"/>
          <w:szCs w:val="18"/>
        </w:rPr>
        <w:t xml:space="preserve">Certaines femmes qui disposent d'un savoir-faire ou d'une activité ont besoin d'outils accessibles pour présenter leurs produits, recevoir des demandes et entretenir un contact commercial. La présence en ligne peut compléter des actions de formation, d'accompagnement ou de mise en réseau, mais n'est pas en soi un programme d'autonomisation et ne permet pas d'attribuer un changement de revenus.</w:t>
      </w:r>
    </w:p>
    <w:p>
      <w:pPr>
        <w:spacing w:after="55" w:line="260"/>
      </w:pPr>
      <w:r>
        <w:rPr>
          <w:rFonts w:ascii="Arial" w:cs="Arial" w:eastAsia="Arial" w:hAnsi="Arial"/>
          <w:b w:val="false"/>
          <w:bCs w:val="false"/>
          <w:i w:val="false"/>
          <w:iCs w:val="false"/>
          <w:color w:val="26353A"/>
          <w:sz w:val="18"/>
          <w:szCs w:val="18"/>
        </w:rPr>
        <w:t xml:space="preserve">Le test pourrait vérifier :</w:t>
      </w:r>
    </w:p>
    <w:p>
      <w:pPr>
        <w:spacing w:after="35" w:line="250"/>
        <w:ind w:left="280" w:hanging="170"/>
      </w:pPr>
      <w:r>
        <w:rPr>
          <w:rFonts w:ascii="Arial" w:cs="Arial" w:eastAsia="Arial" w:hAnsi="Arial"/>
          <w:b w:val="false"/>
          <w:bCs w:val="false"/>
          <w:i w:val="false"/>
          <w:iCs w:val="false"/>
          <w:color w:val="26353A"/>
          <w:sz w:val="18"/>
          <w:szCs w:val="18"/>
        </w:rPr>
        <w:t xml:space="preserve">•  si les participantes peuvent compléter un profil et une offre depuis un téléphone;</w:t>
      </w:r>
    </w:p>
    <w:p>
      <w:pPr>
        <w:spacing w:after="35" w:line="250"/>
        <w:ind w:left="280" w:hanging="170"/>
      </w:pPr>
      <w:r>
        <w:rPr>
          <w:rFonts w:ascii="Arial" w:cs="Arial" w:eastAsia="Arial" w:hAnsi="Arial"/>
          <w:b w:val="false"/>
          <w:bCs w:val="false"/>
          <w:i w:val="false"/>
          <w:iCs w:val="false"/>
          <w:color w:val="26353A"/>
          <w:sz w:val="18"/>
          <w:szCs w:val="18"/>
        </w:rPr>
        <w:t xml:space="preserve">•  si les informations de l'offre sont compréhensibles et contrôlées par la participante;</w:t>
      </w:r>
    </w:p>
    <w:p>
      <w:pPr>
        <w:spacing w:after="35" w:line="250"/>
        <w:ind w:left="280" w:hanging="170"/>
      </w:pPr>
      <w:r>
        <w:rPr>
          <w:rFonts w:ascii="Arial" w:cs="Arial" w:eastAsia="Arial" w:hAnsi="Arial"/>
          <w:b w:val="false"/>
          <w:bCs w:val="false"/>
          <w:i w:val="false"/>
          <w:iCs w:val="false"/>
          <w:color w:val="26353A"/>
          <w:sz w:val="18"/>
          <w:szCs w:val="18"/>
        </w:rPr>
        <w:t xml:space="preserve">•  quelles demandes et réponses passent par la plateforme;</w:t>
      </w:r>
    </w:p>
    <w:p>
      <w:pPr>
        <w:spacing w:after="35" w:line="250"/>
        <w:ind w:left="280" w:hanging="170"/>
      </w:pPr>
      <w:r>
        <w:rPr>
          <w:rFonts w:ascii="Arial" w:cs="Arial" w:eastAsia="Arial" w:hAnsi="Arial"/>
          <w:b w:val="false"/>
          <w:bCs w:val="false"/>
          <w:i w:val="false"/>
          <w:iCs w:val="false"/>
          <w:color w:val="26353A"/>
          <w:sz w:val="18"/>
          <w:szCs w:val="18"/>
        </w:rPr>
        <w:t xml:space="preserve">•  quels appuis pratiques sont nécessaires pour une participation sûre et durable;</w:t>
      </w:r>
    </w:p>
    <w:p>
      <w:pPr>
        <w:spacing w:after="35" w:line="250"/>
        <w:ind w:left="280" w:hanging="170"/>
      </w:pPr>
      <w:r>
        <w:rPr>
          <w:rFonts w:ascii="Arial" w:cs="Arial" w:eastAsia="Arial" w:hAnsi="Arial"/>
          <w:b w:val="false"/>
          <w:bCs w:val="false"/>
          <w:i w:val="false"/>
          <w:iCs w:val="false"/>
          <w:color w:val="26353A"/>
          <w:sz w:val="18"/>
          <w:szCs w:val="18"/>
        </w:rPr>
        <w:t xml:space="preserve">•  quels obstacles empêchent de convertir une mise en relation en opportunité réelle.</w:t>
      </w:r>
    </w:p>
    <w:p>
      <w:pPr>
        <w:spacing w:after="55" w:line="260"/>
      </w:pPr>
      <w:r>
        <w:rPr>
          <w:rFonts w:ascii="Arial" w:cs="Arial" w:eastAsia="Arial" w:hAnsi="Arial"/>
          <w:b w:val="false"/>
          <w:bCs w:val="false"/>
          <w:i w:val="false"/>
          <w:iCs w:val="false"/>
          <w:color w:val="26353A"/>
          <w:sz w:val="18"/>
          <w:szCs w:val="18"/>
        </w:rPr>
        <w:t xml:space="preserve">La participation serait volontaire. La sélection, les critères, les consentements, les langues et l'accès à l'assistance seraient définis avant l'activité avec le service compétent.</w:t>
      </w:r>
    </w:p>
    <w:p>
      <w:pPr>
        <w:keepNext/>
        <w:shd w:fill="F1F6F4" w:val="clear"/>
        <w:spacing w:after="70" w:before="100"/>
      </w:pPr>
      <w:r>
        <w:rPr>
          <w:rFonts w:ascii="Arial" w:cs="Arial" w:eastAsia="Arial" w:hAnsi="Arial"/>
          <w:b/>
          <w:bCs/>
          <w:i w:val="false"/>
          <w:iCs w:val="false"/>
          <w:color w:val="203239"/>
          <w:sz w:val="24"/>
          <w:szCs w:val="24"/>
        </w:rPr>
        <w:t xml:space="preserve">3. Fonctionnement concerné</w:t>
      </w:r>
    </w:p>
    <w:p>
      <w:pPr>
        <w:spacing w:after="35" w:line="250"/>
        <w:ind w:left="280" w:hanging="170"/>
      </w:pPr>
      <w:r>
        <w:rPr>
          <w:rFonts w:ascii="Arial" w:cs="Arial" w:eastAsia="Arial" w:hAnsi="Arial"/>
          <w:b w:val="false"/>
          <w:bCs w:val="false"/>
          <w:i w:val="false"/>
          <w:iCs w:val="false"/>
          <w:color w:val="26353A"/>
          <w:sz w:val="18"/>
          <w:szCs w:val="18"/>
        </w:rPr>
        <w:t xml:space="preserve">•  Profil de vendeuse ou d'artisane, localisation et présentation de l'activité.</w:t>
      </w:r>
    </w:p>
    <w:p>
      <w:pPr>
        <w:spacing w:after="35" w:line="250"/>
        <w:ind w:left="280" w:hanging="170"/>
      </w:pPr>
      <w:r>
        <w:rPr>
          <w:rFonts w:ascii="Arial" w:cs="Arial" w:eastAsia="Arial" w:hAnsi="Arial"/>
          <w:b w:val="false"/>
          <w:bCs w:val="false"/>
          <w:i w:val="false"/>
          <w:iCs w:val="false"/>
          <w:color w:val="26353A"/>
          <w:sz w:val="18"/>
          <w:szCs w:val="18"/>
        </w:rPr>
        <w:t xml:space="preserve">•  Publication de produits et services avec photos et informations validées par la participante.</w:t>
      </w:r>
    </w:p>
    <w:p>
      <w:pPr>
        <w:spacing w:after="35" w:line="250"/>
        <w:ind w:left="280" w:hanging="170"/>
      </w:pPr>
      <w:r>
        <w:rPr>
          <w:rFonts w:ascii="Arial" w:cs="Arial" w:eastAsia="Arial" w:hAnsi="Arial"/>
          <w:b w:val="false"/>
          <w:bCs w:val="false"/>
          <w:i w:val="false"/>
          <w:iCs w:val="false"/>
          <w:color w:val="26353A"/>
          <w:sz w:val="18"/>
          <w:szCs w:val="18"/>
        </w:rPr>
        <w:t xml:space="preserve">•  Recherche par métier et localité, demande de devis et contact.</w:t>
      </w:r>
    </w:p>
    <w:p>
      <w:pPr>
        <w:spacing w:after="35" w:line="250"/>
        <w:ind w:left="280" w:hanging="170"/>
      </w:pPr>
      <w:r>
        <w:rPr>
          <w:rFonts w:ascii="Arial" w:cs="Arial" w:eastAsia="Arial" w:hAnsi="Arial"/>
          <w:b w:val="false"/>
          <w:bCs w:val="false"/>
          <w:i w:val="false"/>
          <w:iCs w:val="false"/>
          <w:color w:val="26353A"/>
          <w:sz w:val="18"/>
          <w:szCs w:val="18"/>
        </w:rPr>
        <w:t xml:space="preserve">•  Brief B2B revu par l'équipe et transmis manuellement à un maximum de cinq artisans sélectionnés.</w:t>
      </w:r>
    </w:p>
    <w:p>
      <w:pPr>
        <w:spacing w:after="35" w:line="250"/>
        <w:ind w:left="280" w:hanging="170"/>
      </w:pPr>
      <w:r>
        <w:rPr>
          <w:rFonts w:ascii="Arial" w:cs="Arial" w:eastAsia="Arial" w:hAnsi="Arial"/>
          <w:b w:val="false"/>
          <w:bCs w:val="false"/>
          <w:i w:val="false"/>
          <w:iCs w:val="false"/>
          <w:color w:val="26353A"/>
          <w:sz w:val="18"/>
          <w:szCs w:val="18"/>
        </w:rPr>
        <w:t xml:space="preserve">•  Retour agrégé sur l'adoption et les difficultés, selon un protocole convenu.</w:t>
      </w:r>
    </w:p>
    <w:p>
      <w:pPr>
        <w:spacing w:after="55" w:line="260"/>
      </w:pPr>
      <w:r>
        <w:rPr>
          <w:rFonts w:ascii="Arial" w:cs="Arial" w:eastAsia="Arial" w:hAnsi="Arial"/>
          <w:b w:val="false"/>
          <w:bCs w:val="false"/>
          <w:i w:val="false"/>
          <w:iCs w:val="false"/>
          <w:color w:val="26353A"/>
          <w:sz w:val="18"/>
          <w:szCs w:val="18"/>
        </w:rPr>
        <w:t xml:space="preserve">Un clic WhatsApp n'est pas une vente; une vente hors plateforme est déclarative. Aucun revenu, financement ou résultat de programme ne serait promis à partir d'un compte créé ou d'une fiche consultée.</w:t>
      </w:r>
    </w:p>
    <w:p>
      <w:r>
        <w:br w:type="page"/>
      </w:r>
    </w:p>
    <w:p>
      <w:pPr>
        <w:keepNext/>
        <w:shd w:fill="F1F6F4" w:val="clear"/>
        <w:spacing w:after="70" w:before="100"/>
      </w:pPr>
      <w:r>
        <w:rPr>
          <w:rFonts w:ascii="Arial" w:cs="Arial" w:eastAsia="Arial" w:hAnsi="Arial"/>
          <w:b/>
          <w:bCs/>
          <w:i w:val="false"/>
          <w:iCs w:val="false"/>
          <w:color w:val="203239"/>
          <w:sz w:val="24"/>
          <w:szCs w:val="24"/>
        </w:rPr>
        <w:t xml:space="preserve">4. Phasage proposé</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600"/>
        <w:gridCol w:w="3900"/>
        <w:gridCol w:w="3500"/>
      </w:tblGrid>
      <w:tr>
        <w:trPr>
          <w:cantSplit/>
        </w:trPr>
        <w:tc>
          <w:tcPr>
            <w:tcW w:type="dxa" w:w="2600"/>
            <w:tcBorders>
              <w:top w:val="single" w:color="D7E0DD" w:sz="3"/>
              <w:left w:val="single" w:color="D7E0DD" w:sz="3"/>
              <w:bottom w:val="single" w:color="D7E0DD" w:sz="3"/>
              <w:right w:val="single" w:color="D7E0DD" w:sz="3"/>
            </w:tcBorders>
            <w:shd w:fill="203239" w:val="clear"/>
            <w:tcMar>
              <w:top w:type="dxa" w:w="70"/>
              <w:left w:type="dxa" w:w="85"/>
              <w:bottom w:type="dxa" w:w="70"/>
              <w:right w:type="dxa" w:w="85"/>
            </w:tcMar>
          </w:tcPr>
          <w:p>
            <w:pPr>
              <w:spacing w:after="0" w:line="225"/>
            </w:pPr>
            <w:r>
              <w:rPr>
                <w:rFonts w:ascii="Arial" w:cs="Arial" w:eastAsia="Arial" w:hAnsi="Arial"/>
                <w:b/>
                <w:bCs/>
                <w:i w:val="false"/>
                <w:iCs w:val="false"/>
                <w:color w:val="FFFFFF"/>
                <w:sz w:val="16"/>
                <w:szCs w:val="16"/>
              </w:rPr>
              <w:t xml:space="preserve">Phase indicative</w:t>
            </w:r>
          </w:p>
        </w:tc>
        <w:tc>
          <w:tcPr>
            <w:tcW w:type="dxa" w:w="3900"/>
            <w:tcBorders>
              <w:top w:val="single" w:color="D7E0DD" w:sz="3"/>
              <w:left w:val="single" w:color="D7E0DD" w:sz="3"/>
              <w:bottom w:val="single" w:color="D7E0DD" w:sz="3"/>
              <w:right w:val="single" w:color="D7E0DD" w:sz="3"/>
            </w:tcBorders>
            <w:shd w:fill="203239" w:val="clear"/>
            <w:tcMar>
              <w:top w:type="dxa" w:w="70"/>
              <w:left w:type="dxa" w:w="85"/>
              <w:bottom w:type="dxa" w:w="70"/>
              <w:right w:type="dxa" w:w="85"/>
            </w:tcMar>
          </w:tcPr>
          <w:p>
            <w:pPr>
              <w:spacing w:after="0" w:line="225"/>
            </w:pPr>
            <w:r>
              <w:rPr>
                <w:rFonts w:ascii="Arial" w:cs="Arial" w:eastAsia="Arial" w:hAnsi="Arial"/>
                <w:b/>
                <w:bCs/>
                <w:i w:val="false"/>
                <w:iCs w:val="false"/>
                <w:color w:val="FFFFFF"/>
                <w:sz w:val="16"/>
                <w:szCs w:val="16"/>
              </w:rPr>
              <w:t xml:space="preserve">Cohorte envisagée</w:t>
            </w:r>
          </w:p>
        </w:tc>
        <w:tc>
          <w:tcPr>
            <w:tcW w:type="dxa" w:w="3500"/>
            <w:tcBorders>
              <w:top w:val="single" w:color="D7E0DD" w:sz="3"/>
              <w:left w:val="single" w:color="D7E0DD" w:sz="3"/>
              <w:bottom w:val="single" w:color="D7E0DD" w:sz="3"/>
              <w:right w:val="single" w:color="D7E0DD" w:sz="3"/>
            </w:tcBorders>
            <w:shd w:fill="203239" w:val="clear"/>
            <w:tcMar>
              <w:top w:type="dxa" w:w="70"/>
              <w:left w:type="dxa" w:w="85"/>
              <w:bottom w:type="dxa" w:w="70"/>
              <w:right w:type="dxa" w:w="85"/>
            </w:tcMar>
          </w:tcPr>
          <w:p>
            <w:pPr>
              <w:spacing w:after="0" w:line="225"/>
            </w:pPr>
            <w:r>
              <w:rPr>
                <w:rFonts w:ascii="Arial" w:cs="Arial" w:eastAsia="Arial" w:hAnsi="Arial"/>
                <w:b/>
                <w:bCs/>
                <w:i w:val="false"/>
                <w:iCs w:val="false"/>
                <w:color w:val="FFFFFF"/>
                <w:sz w:val="16"/>
                <w:szCs w:val="16"/>
              </w:rPr>
              <w:t xml:space="preserve">Décision de passage</w:t>
            </w:r>
          </w:p>
        </w:tc>
      </w:tr>
      <w:tr>
        <w:trPr>
          <w:cantSplit/>
        </w:trPr>
        <w:tc>
          <w:tcPr>
            <w:tcW w:type="dxa" w:w="2600"/>
            <w:tcBorders>
              <w:top w:val="single" w:color="D7E0DD" w:sz="3"/>
              <w:left w:val="single" w:color="D7E0DD" w:sz="3"/>
              <w:bottom w:val="single" w:color="D7E0DD" w:sz="3"/>
              <w:right w:val="single" w:color="D7E0DD" w:sz="3"/>
            </w:tcBorders>
            <w:shd w:fill="FFFFFF"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Test terrain</w:t>
            </w:r>
          </w:p>
        </w:tc>
        <w:tc>
          <w:tcPr>
            <w:tcW w:type="dxa" w:w="3900"/>
            <w:tcBorders>
              <w:top w:val="single" w:color="D7E0DD" w:sz="3"/>
              <w:left w:val="single" w:color="D7E0DD" w:sz="3"/>
              <w:bottom w:val="single" w:color="D7E0DD" w:sz="3"/>
              <w:right w:val="single" w:color="D7E0DD" w:sz="3"/>
            </w:tcBorders>
            <w:shd w:fill="FFFFFF"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5–10 participantes; 1 ville; 2–3 métiers; environ 1 semaine</w:t>
            </w:r>
          </w:p>
        </w:tc>
        <w:tc>
          <w:tcPr>
            <w:tcW w:type="dxa" w:w="3500"/>
            <w:tcBorders>
              <w:top w:val="single" w:color="D7E0DD" w:sz="3"/>
              <w:left w:val="single" w:color="D7E0DD" w:sz="3"/>
              <w:bottom w:val="single" w:color="D7E0DD" w:sz="3"/>
              <w:right w:val="single" w:color="D7E0DD" w:sz="3"/>
            </w:tcBorders>
            <w:shd w:fill="FFFFFF"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Parcours testés, participation sûre, support et besoins documentés</w:t>
            </w:r>
          </w:p>
        </w:tc>
      </w:tr>
      <w:tr>
        <w:trPr>
          <w:cantSplit/>
        </w:trPr>
        <w:tc>
          <w:tcPr>
            <w:tcW w:type="dxa" w:w="2600"/>
            <w:tcBorders>
              <w:top w:val="single" w:color="D7E0DD" w:sz="3"/>
              <w:left w:val="single" w:color="D7E0DD" w:sz="3"/>
              <w:bottom w:val="single" w:color="D7E0DD" w:sz="3"/>
              <w:right w:val="single" w:color="D7E0DD" w:sz="3"/>
            </w:tcBorders>
            <w:shd w:fill="F1F6F4"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Pilote éventuel</w:t>
            </w:r>
          </w:p>
        </w:tc>
        <w:tc>
          <w:tcPr>
            <w:tcW w:type="dxa" w:w="3900"/>
            <w:tcBorders>
              <w:top w:val="single" w:color="D7E0DD" w:sz="3"/>
              <w:left w:val="single" w:color="D7E0DD" w:sz="3"/>
              <w:bottom w:val="single" w:color="D7E0DD" w:sz="3"/>
              <w:right w:val="single" w:color="D7E0DD" w:sz="3"/>
            </w:tcBorders>
            <w:shd w:fill="F1F6F4"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Jusqu'à 100 participantes; 3–6 mois; territoire à confirmer</w:t>
            </w:r>
          </w:p>
        </w:tc>
        <w:tc>
          <w:tcPr>
            <w:tcW w:type="dxa" w:w="3500"/>
            <w:tcBorders>
              <w:top w:val="single" w:color="D7E0DD" w:sz="3"/>
              <w:left w:val="single" w:color="D7E0DD" w:sz="3"/>
              <w:bottom w:val="single" w:color="D7E0DD" w:sz="3"/>
              <w:right w:val="single" w:color="D7E0DD" w:sz="3"/>
            </w:tcBorders>
            <w:shd w:fill="F1F6F4"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Résultats, accord écrit, responsabilités et budget approuvés</w:t>
            </w:r>
          </w:p>
        </w:tc>
      </w:tr>
      <w:tr>
        <w:trPr>
          <w:cantSplit/>
        </w:trPr>
        <w:tc>
          <w:tcPr>
            <w:tcW w:type="dxa" w:w="2600"/>
            <w:tcBorders>
              <w:top w:val="single" w:color="D7E0DD" w:sz="3"/>
              <w:left w:val="single" w:color="D7E0DD" w:sz="3"/>
              <w:bottom w:val="single" w:color="D7E0DD" w:sz="3"/>
              <w:right w:val="single" w:color="D7E0DD" w:sz="3"/>
            </w:tcBorders>
            <w:shd w:fill="FFFFFF"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Suite possible</w:t>
            </w:r>
          </w:p>
        </w:tc>
        <w:tc>
          <w:tcPr>
            <w:tcW w:type="dxa" w:w="3900"/>
            <w:tcBorders>
              <w:top w:val="single" w:color="D7E0DD" w:sz="3"/>
              <w:left w:val="single" w:color="D7E0DD" w:sz="3"/>
              <w:bottom w:val="single" w:color="D7E0DD" w:sz="3"/>
              <w:right w:val="single" w:color="D7E0DD" w:sz="3"/>
            </w:tcBorders>
            <w:shd w:fill="FFFFFF"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À déterminer après examen</w:t>
            </w:r>
          </w:p>
        </w:tc>
        <w:tc>
          <w:tcPr>
            <w:tcW w:type="dxa" w:w="3500"/>
            <w:tcBorders>
              <w:top w:val="single" w:color="D7E0DD" w:sz="3"/>
              <w:left w:val="single" w:color="D7E0DD" w:sz="3"/>
              <w:bottom w:val="single" w:color="D7E0DD" w:sz="3"/>
              <w:right w:val="single" w:color="D7E0DD" w:sz="3"/>
            </w:tcBorders>
            <w:shd w:fill="FFFFFF"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Nouvelle décision selon objectifs, ressources et garanties</w:t>
            </w:r>
          </w:p>
        </w:tc>
      </w:tr>
    </w:tbl>
    <w:p>
      <w:pPr>
        <w:spacing w:after="55" w:line="260"/>
      </w:pPr>
      <w:r>
        <w:rPr>
          <w:rFonts w:ascii="Arial" w:cs="Arial" w:eastAsia="Arial" w:hAnsi="Arial"/>
          <w:b w:val="false"/>
          <w:bCs w:val="false"/>
          <w:i w:val="false"/>
          <w:iCs w:val="false"/>
          <w:color w:val="26353A"/>
          <w:sz w:val="18"/>
          <w:szCs w:val="18"/>
        </w:rPr>
        <w:t xml:space="preserve">Les participantes ne seraient pas présentées comme bénéficiaires d'une initiative MINPROFF sans validation appropriée. Le test n'inclurait pas de sélection automatisée sur des critères sensibles.</w:t>
      </w:r>
    </w:p>
    <w:p>
      <w:pPr>
        <w:keepNext/>
        <w:shd w:fill="F1F6F4" w:val="clear"/>
        <w:spacing w:after="70" w:before="100"/>
      </w:pPr>
      <w:r>
        <w:rPr>
          <w:rFonts w:ascii="Arial" w:cs="Arial" w:eastAsia="Arial" w:hAnsi="Arial"/>
          <w:b/>
          <w:bCs/>
          <w:i w:val="false"/>
          <w:iCs w:val="false"/>
          <w:color w:val="203239"/>
          <w:sz w:val="24"/>
          <w:szCs w:val="24"/>
        </w:rPr>
        <w:t xml:space="preserve">5. Indicateurs possibles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00"/>
        <w:gridCol w:w="7100"/>
      </w:tblGrid>
      <w:tr>
        <w:trPr>
          <w:cantSplit/>
        </w:trPr>
        <w:tc>
          <w:tcPr>
            <w:tcW w:type="dxa" w:w="2900"/>
            <w:tcBorders>
              <w:top w:val="single" w:color="D7E0DD" w:sz="3"/>
              <w:left w:val="single" w:color="D7E0DD" w:sz="3"/>
              <w:bottom w:val="single" w:color="D7E0DD" w:sz="3"/>
              <w:right w:val="single" w:color="D7E0DD" w:sz="3"/>
            </w:tcBorders>
            <w:shd w:fill="203239" w:val="clear"/>
            <w:tcMar>
              <w:top w:type="dxa" w:w="70"/>
              <w:left w:type="dxa" w:w="85"/>
              <w:bottom w:type="dxa" w:w="70"/>
              <w:right w:type="dxa" w:w="85"/>
            </w:tcMar>
          </w:tcPr>
          <w:p>
            <w:pPr>
              <w:spacing w:after="0" w:line="225"/>
            </w:pPr>
            <w:r>
              <w:rPr>
                <w:rFonts w:ascii="Arial" w:cs="Arial" w:eastAsia="Arial" w:hAnsi="Arial"/>
                <w:b/>
                <w:bCs/>
                <w:i w:val="false"/>
                <w:iCs w:val="false"/>
                <w:color w:val="FFFFFF"/>
                <w:sz w:val="16"/>
                <w:szCs w:val="16"/>
              </w:rPr>
              <w:t xml:space="preserve">Mesure</w:t>
            </w:r>
          </w:p>
        </w:tc>
        <w:tc>
          <w:tcPr>
            <w:tcW w:type="dxa" w:w="7100"/>
            <w:tcBorders>
              <w:top w:val="single" w:color="D7E0DD" w:sz="3"/>
              <w:left w:val="single" w:color="D7E0DD" w:sz="3"/>
              <w:bottom w:val="single" w:color="D7E0DD" w:sz="3"/>
              <w:right w:val="single" w:color="D7E0DD" w:sz="3"/>
            </w:tcBorders>
            <w:shd w:fill="203239" w:val="clear"/>
            <w:tcMar>
              <w:top w:type="dxa" w:w="70"/>
              <w:left w:type="dxa" w:w="85"/>
              <w:bottom w:type="dxa" w:w="70"/>
              <w:right w:type="dxa" w:w="85"/>
            </w:tcMar>
          </w:tcPr>
          <w:p>
            <w:pPr>
              <w:spacing w:after="0" w:line="225"/>
            </w:pPr>
            <w:r>
              <w:rPr>
                <w:rFonts w:ascii="Arial" w:cs="Arial" w:eastAsia="Arial" w:hAnsi="Arial"/>
                <w:b/>
                <w:bCs/>
                <w:i w:val="false"/>
                <w:iCs w:val="false"/>
                <w:color w:val="FFFFFF"/>
                <w:sz w:val="16"/>
                <w:szCs w:val="16"/>
              </w:rPr>
              <w:t xml:space="preserve">Interprétation et précaution</w:t>
            </w:r>
          </w:p>
        </w:tc>
      </w:tr>
      <w:tr>
        <w:trPr>
          <w:cantSplit/>
        </w:trPr>
        <w:tc>
          <w:tcPr>
            <w:tcW w:type="dxa" w:w="2900"/>
            <w:tcBorders>
              <w:top w:val="single" w:color="D7E0DD" w:sz="3"/>
              <w:left w:val="single" w:color="D7E0DD" w:sz="3"/>
              <w:bottom w:val="single" w:color="D7E0DD" w:sz="3"/>
              <w:right w:val="single" w:color="D7E0DD" w:sz="3"/>
            </w:tcBorders>
            <w:shd w:fill="FFFFFF"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Participantes inscrites</w:t>
            </w:r>
          </w:p>
        </w:tc>
        <w:tc>
          <w:tcPr>
            <w:tcW w:type="dxa" w:w="7100"/>
            <w:tcBorders>
              <w:top w:val="single" w:color="D7E0DD" w:sz="3"/>
              <w:left w:val="single" w:color="D7E0DD" w:sz="3"/>
              <w:bottom w:val="single" w:color="D7E0DD" w:sz="3"/>
              <w:right w:val="single" w:color="D7E0DD" w:sz="3"/>
            </w:tcBorders>
            <w:shd w:fill="FFFFFF"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Compte créé; ne signifie pas activité ou autonomie économique</w:t>
            </w:r>
          </w:p>
        </w:tc>
      </w:tr>
      <w:tr>
        <w:trPr>
          <w:cantSplit/>
        </w:trPr>
        <w:tc>
          <w:tcPr>
            <w:tcW w:type="dxa" w:w="2900"/>
            <w:tcBorders>
              <w:top w:val="single" w:color="D7E0DD" w:sz="3"/>
              <w:left w:val="single" w:color="D7E0DD" w:sz="3"/>
              <w:bottom w:val="single" w:color="D7E0DD" w:sz="3"/>
              <w:right w:val="single" w:color="D7E0DD" w:sz="3"/>
            </w:tcBorders>
            <w:shd w:fill="F1F6F4"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Profils et offres actifs</w:t>
            </w:r>
          </w:p>
        </w:tc>
        <w:tc>
          <w:tcPr>
            <w:tcW w:type="dxa" w:w="7100"/>
            <w:tcBorders>
              <w:top w:val="single" w:color="D7E0DD" w:sz="3"/>
              <w:left w:val="single" w:color="D7E0DD" w:sz="3"/>
              <w:bottom w:val="single" w:color="D7E0DD" w:sz="3"/>
              <w:right w:val="single" w:color="D7E0DD" w:sz="3"/>
            </w:tcBorders>
            <w:shd w:fill="F1F6F4"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Contenus publiés et validés par la participante</w:t>
            </w:r>
          </w:p>
        </w:tc>
      </w:tr>
      <w:tr>
        <w:trPr>
          <w:cantSplit/>
        </w:trPr>
        <w:tc>
          <w:tcPr>
            <w:tcW w:type="dxa" w:w="2900"/>
            <w:tcBorders>
              <w:top w:val="single" w:color="D7E0DD" w:sz="3"/>
              <w:left w:val="single" w:color="D7E0DD" w:sz="3"/>
              <w:bottom w:val="single" w:color="D7E0DD" w:sz="3"/>
              <w:right w:val="single" w:color="D7E0DD" w:sz="3"/>
            </w:tcBorders>
            <w:shd w:fill="FFFFFF"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Demandes et réponses</w:t>
            </w:r>
          </w:p>
        </w:tc>
        <w:tc>
          <w:tcPr>
            <w:tcW w:type="dxa" w:w="7100"/>
            <w:tcBorders>
              <w:top w:val="single" w:color="D7E0DD" w:sz="3"/>
              <w:left w:val="single" w:color="D7E0DD" w:sz="3"/>
              <w:bottom w:val="single" w:color="D7E0DD" w:sz="3"/>
              <w:right w:val="single" w:color="D7E0DD" w:sz="3"/>
            </w:tcBorders>
            <w:shd w:fill="FFFFFF"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Échanges enregistrés; certains échanges peuvent être externes</w:t>
            </w:r>
          </w:p>
        </w:tc>
      </w:tr>
      <w:tr>
        <w:trPr>
          <w:cantSplit/>
        </w:trPr>
        <w:tc>
          <w:tcPr>
            <w:tcW w:type="dxa" w:w="2900"/>
            <w:tcBorders>
              <w:top w:val="single" w:color="D7E0DD" w:sz="3"/>
              <w:left w:val="single" w:color="D7E0DD" w:sz="3"/>
              <w:bottom w:val="single" w:color="D7E0DD" w:sz="3"/>
              <w:right w:val="single" w:color="D7E0DD" w:sz="3"/>
            </w:tcBorders>
            <w:shd w:fill="F1F6F4"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Contacts initiés</w:t>
            </w:r>
          </w:p>
        </w:tc>
        <w:tc>
          <w:tcPr>
            <w:tcW w:type="dxa" w:w="7100"/>
            <w:tcBorders>
              <w:top w:val="single" w:color="D7E0DD" w:sz="3"/>
              <w:left w:val="single" w:color="D7E0DD" w:sz="3"/>
              <w:bottom w:val="single" w:color="D7E0DD" w:sz="3"/>
              <w:right w:val="single" w:color="D7E0DD" w:sz="3"/>
            </w:tcBorders>
            <w:shd w:fill="F1F6F4"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Mise en relation; pas une vente</w:t>
            </w:r>
          </w:p>
        </w:tc>
      </w:tr>
      <w:tr>
        <w:trPr>
          <w:cantSplit/>
        </w:trPr>
        <w:tc>
          <w:tcPr>
            <w:tcW w:type="dxa" w:w="2900"/>
            <w:tcBorders>
              <w:top w:val="single" w:color="D7E0DD" w:sz="3"/>
              <w:left w:val="single" w:color="D7E0DD" w:sz="3"/>
              <w:bottom w:val="single" w:color="D7E0DD" w:sz="3"/>
              <w:right w:val="single" w:color="D7E0DD" w:sz="3"/>
            </w:tcBorders>
            <w:shd w:fill="FFFFFF"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Satisfaction et obstacles</w:t>
            </w:r>
          </w:p>
        </w:tc>
        <w:tc>
          <w:tcPr>
            <w:tcW w:type="dxa" w:w="7100"/>
            <w:tcBorders>
              <w:top w:val="single" w:color="D7E0DD" w:sz="3"/>
              <w:left w:val="single" w:color="D7E0DD" w:sz="3"/>
              <w:bottom w:val="single" w:color="D7E0DD" w:sz="3"/>
              <w:right w:val="single" w:color="D7E0DD" w:sz="3"/>
            </w:tcBorders>
            <w:shd w:fill="FFFFFF"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Retours volontaires selon une méthode convenue</w:t>
            </w:r>
          </w:p>
        </w:tc>
      </w:tr>
      <w:tr>
        <w:trPr>
          <w:cantSplit/>
        </w:trPr>
        <w:tc>
          <w:tcPr>
            <w:tcW w:type="dxa" w:w="2900"/>
            <w:tcBorders>
              <w:top w:val="single" w:color="D7E0DD" w:sz="3"/>
              <w:left w:val="single" w:color="D7E0DD" w:sz="3"/>
              <w:bottom w:val="single" w:color="D7E0DD" w:sz="3"/>
              <w:right w:val="single" w:color="D7E0DD" w:sz="3"/>
            </w:tcBorders>
            <w:shd w:fill="F1F6F4"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Ventes/revenus</w:t>
            </w:r>
          </w:p>
        </w:tc>
        <w:tc>
          <w:tcPr>
            <w:tcW w:type="dxa" w:w="7100"/>
            <w:tcBorders>
              <w:top w:val="single" w:color="D7E0DD" w:sz="3"/>
              <w:left w:val="single" w:color="D7E0DD" w:sz="3"/>
              <w:bottom w:val="single" w:color="D7E0DD" w:sz="3"/>
              <w:right w:val="single" w:color="D7E0DD" w:sz="3"/>
            </w:tcBorders>
            <w:shd w:fill="F1F6F4"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Ne pas inférer; toute collecte éventuelle exige méthode, consentement et protection adaptés</w:t>
            </w:r>
          </w:p>
        </w:tc>
      </w:tr>
    </w:tbl>
    <w:p>
      <w:pPr>
        <w:spacing w:after="55" w:line="260"/>
      </w:pPr>
      <w:r>
        <w:rPr>
          <w:rFonts w:ascii="Arial" w:cs="Arial" w:eastAsia="Arial" w:hAnsi="Arial"/>
          <w:b w:val="false"/>
          <w:bCs w:val="false"/>
          <w:i w:val="false"/>
          <w:iCs w:val="false"/>
          <w:color w:val="26353A"/>
          <w:sz w:val="18"/>
          <w:szCs w:val="18"/>
        </w:rPr>
        <w:t xml:space="preserve">Les données relatives au genre seraient minimisées et traitées selon les finalités convenues. Les rapports seraient agrégés; aucun témoignage, photographie ou donnée individuelle ne serait publié sans autorisation et base légale appropriée.</w:t>
      </w:r>
    </w:p>
    <w:p>
      <w:pPr>
        <w:keepNext/>
        <w:shd w:fill="F1F6F4" w:val="clear"/>
        <w:spacing w:after="70" w:before="100"/>
      </w:pPr>
      <w:r>
        <w:rPr>
          <w:rFonts w:ascii="Arial" w:cs="Arial" w:eastAsia="Arial" w:hAnsi="Arial"/>
          <w:b/>
          <w:bCs/>
          <w:i w:val="false"/>
          <w:iCs w:val="false"/>
          <w:color w:val="203239"/>
          <w:sz w:val="24"/>
          <w:szCs w:val="24"/>
        </w:rPr>
        <w:t xml:space="preserve">6. Responsabilités et protection</w:t>
      </w:r>
    </w:p>
    <w:p>
      <w:pPr>
        <w:spacing w:after="55" w:line="260"/>
      </w:pPr>
      <w:r>
        <w:rPr>
          <w:rFonts w:ascii="Arial" w:cs="Arial" w:eastAsia="Arial" w:hAnsi="Arial"/>
          <w:b w:val="false"/>
          <w:bCs w:val="false"/>
          <w:i w:val="false"/>
          <w:iCs w:val="false"/>
          <w:color w:val="26353A"/>
          <w:sz w:val="18"/>
          <w:szCs w:val="18"/>
        </w:rPr>
        <w:t xml:space="preserve">ArtisanConnect pourrait, après accord, fournir l'accès à la plateforme, initier les participantes à l'outil, offrir un support défini, modérer les contenus selon ses règles et produire un bilan agrégé.</w:t>
      </w:r>
    </w:p>
    <w:p>
      <w:pPr>
        <w:spacing w:after="55" w:line="260"/>
      </w:pPr>
      <w:r>
        <w:rPr>
          <w:rFonts w:ascii="Arial" w:cs="Arial" w:eastAsia="Arial" w:hAnsi="Arial"/>
          <w:b w:val="false"/>
          <w:bCs w:val="false"/>
          <w:i w:val="false"/>
          <w:iCs w:val="false"/>
          <w:color w:val="26353A"/>
          <w:sz w:val="18"/>
          <w:szCs w:val="18"/>
        </w:rPr>
        <w:t xml:space="preserve">Le MINPROFF pourrait, si une correspondance avec ses programmes est confirmée, orienter vers un service, proposer des critères et examiner la pertinence d'un test. Cette formulation ne vaut pas engagement du Ministère.</w:t>
      </w:r>
    </w:p>
    <w:p>
      <w:pPr>
        <w:spacing w:after="55" w:line="260"/>
      </w:pPr>
      <w:r>
        <w:rPr>
          <w:rFonts w:ascii="Arial" w:cs="Arial" w:eastAsia="Arial" w:hAnsi="Arial"/>
          <w:b w:val="false"/>
          <w:bCs w:val="false"/>
          <w:i w:val="false"/>
          <w:iCs w:val="false"/>
          <w:color w:val="26353A"/>
          <w:sz w:val="18"/>
          <w:szCs w:val="18"/>
        </w:rPr>
        <w:t xml:space="preserve">Avant le lancement, les parties conviendraient des critères d'inclusion, de la participation volontaire, de la protection des coordonnées, de la gestion des signalements, du traitement des images et de la possibilité de retirer une offre ou de quitter le test.</w:t>
      </w:r>
    </w:p>
    <w:p>
      <w:pPr>
        <w:keepNext/>
        <w:shd w:fill="F1F6F4" w:val="clear"/>
        <w:spacing w:after="70" w:before="100"/>
      </w:pPr>
      <w:r>
        <w:rPr>
          <w:rFonts w:ascii="Arial" w:cs="Arial" w:eastAsia="Arial" w:hAnsi="Arial"/>
          <w:b/>
          <w:bCs/>
          <w:i w:val="false"/>
          <w:iCs w:val="false"/>
          <w:color w:val="203239"/>
          <w:sz w:val="24"/>
          <w:szCs w:val="24"/>
        </w:rPr>
        <w:t xml:space="preserve">7. Risques et mesures</w:t>
      </w:r>
    </w:p>
    <w:p>
      <w:pPr>
        <w:spacing w:after="35" w:line="250"/>
        <w:ind w:left="280" w:hanging="170"/>
      </w:pPr>
      <w:r>
        <w:rPr>
          <w:rFonts w:ascii="Arial" w:cs="Arial" w:eastAsia="Arial" w:hAnsi="Arial"/>
          <w:b w:val="false"/>
          <w:bCs w:val="false"/>
          <w:i w:val="false"/>
          <w:iCs w:val="false"/>
          <w:color w:val="26353A"/>
          <w:sz w:val="18"/>
          <w:szCs w:val="18"/>
        </w:rPr>
        <w:t xml:space="preserve">•  Exposition des participantes : limiter les coordonnées visibles, contrôler les photos publiées et fournir un canal de signalement.</w:t>
      </w:r>
    </w:p>
    <w:p>
      <w:pPr>
        <w:spacing w:after="35" w:line="250"/>
        <w:ind w:left="280" w:hanging="170"/>
      </w:pPr>
      <w:r>
        <w:rPr>
          <w:rFonts w:ascii="Arial" w:cs="Arial" w:eastAsia="Arial" w:hAnsi="Arial"/>
          <w:b w:val="false"/>
          <w:bCs w:val="false"/>
          <w:i w:val="false"/>
          <w:iCs w:val="false"/>
          <w:color w:val="26353A"/>
          <w:sz w:val="18"/>
          <w:szCs w:val="18"/>
        </w:rPr>
        <w:t xml:space="preserve">•  Surpromesse économique : expliquer qu'une vitrine ne garantit ni client ni revenu.</w:t>
      </w:r>
    </w:p>
    <w:p>
      <w:pPr>
        <w:spacing w:after="35" w:line="250"/>
        <w:ind w:left="280" w:hanging="170"/>
      </w:pPr>
      <w:r>
        <w:rPr>
          <w:rFonts w:ascii="Arial" w:cs="Arial" w:eastAsia="Arial" w:hAnsi="Arial"/>
          <w:b w:val="false"/>
          <w:bCs w:val="false"/>
          <w:i w:val="false"/>
          <w:iCs w:val="false"/>
          <w:color w:val="26353A"/>
          <w:sz w:val="18"/>
          <w:szCs w:val="18"/>
        </w:rPr>
        <w:t xml:space="preserve">•  Charge de participation : tester le temps requis et adapter l'assistance.</w:t>
      </w:r>
    </w:p>
    <w:p>
      <w:pPr>
        <w:spacing w:after="35" w:line="250"/>
        <w:ind w:left="280" w:hanging="170"/>
      </w:pPr>
      <w:r>
        <w:rPr>
          <w:rFonts w:ascii="Arial" w:cs="Arial" w:eastAsia="Arial" w:hAnsi="Arial"/>
          <w:b w:val="false"/>
          <w:bCs w:val="false"/>
          <w:i w:val="false"/>
          <w:iCs w:val="false"/>
          <w:color w:val="26353A"/>
          <w:sz w:val="18"/>
          <w:szCs w:val="18"/>
        </w:rPr>
        <w:t xml:space="preserve">•  Inégalités d'accès numérique : parcours mobile, accompagnement pratique et documentation simple.</w:t>
      </w:r>
    </w:p>
    <w:p>
      <w:pPr>
        <w:spacing w:after="35" w:line="250"/>
        <w:ind w:left="280" w:hanging="170"/>
      </w:pPr>
      <w:r>
        <w:rPr>
          <w:rFonts w:ascii="Arial" w:cs="Arial" w:eastAsia="Arial" w:hAnsi="Arial"/>
          <w:b w:val="false"/>
          <w:bCs w:val="false"/>
          <w:i w:val="false"/>
          <w:iCs w:val="false"/>
          <w:color w:val="26353A"/>
          <w:sz w:val="18"/>
          <w:szCs w:val="18"/>
        </w:rPr>
        <w:t xml:space="preserve">•  Données sensibles : ne pas inférer vulnérabilité, revenu ou situation familiale; collecter le minimum nécessaire.</w:t>
      </w:r>
    </w:p>
    <w:p>
      <w:pPr>
        <w:spacing w:after="35" w:line="250"/>
        <w:ind w:left="280" w:hanging="170"/>
      </w:pPr>
      <w:r>
        <w:rPr>
          <w:rFonts w:ascii="Arial" w:cs="Arial" w:eastAsia="Arial" w:hAnsi="Arial"/>
          <w:b w:val="false"/>
          <w:bCs w:val="false"/>
          <w:i w:val="false"/>
          <w:iCs w:val="false"/>
          <w:color w:val="26353A"/>
          <w:sz w:val="18"/>
          <w:szCs w:val="18"/>
        </w:rPr>
        <w:t xml:space="preserve">•  Confusion institutionnelle : ne pas afficher le logo ou le nom MINPROFF comme partenaire sans accord écrit.</w:t>
      </w:r>
    </w:p>
    <w:p>
      <w:r>
        <w:br w:type="page"/>
      </w:r>
    </w:p>
    <w:p>
      <w:pPr>
        <w:keepNext/>
        <w:shd w:fill="F1F6F4" w:val="clear"/>
        <w:spacing w:after="70" w:before="100"/>
      </w:pPr>
      <w:r>
        <w:rPr>
          <w:rFonts w:ascii="Arial" w:cs="Arial" w:eastAsia="Arial" w:hAnsi="Arial"/>
          <w:b/>
          <w:bCs/>
          <w:i w:val="false"/>
          <w:iCs w:val="false"/>
          <w:color w:val="203239"/>
          <w:sz w:val="24"/>
          <w:szCs w:val="24"/>
        </w:rPr>
        <w:t xml:space="preserve">8. Ressources et prochaine décision</w:t>
      </w:r>
    </w:p>
    <w:p>
      <w:pPr>
        <w:spacing w:after="55" w:line="260"/>
      </w:pPr>
      <w:r>
        <w:rPr>
          <w:rFonts w:ascii="Arial" w:cs="Arial" w:eastAsia="Arial" w:hAnsi="Arial"/>
          <w:b w:val="false"/>
          <w:bCs w:val="false"/>
          <w:i w:val="false"/>
          <w:iCs w:val="false"/>
          <w:color w:val="26353A"/>
          <w:sz w:val="18"/>
          <w:szCs w:val="18"/>
        </w:rPr>
        <w:t xml:space="preserve">Aucun budget n'est proposé comme approuvé. Les coûts dépendraient de la cohorte, du territoire, de la durée, du niveau de formation et de support, des déplacements, de la connectivité, de la sécurité, du suivi et de la coordination.</w:t>
      </w:r>
    </w:p>
    <w:p>
      <w:pPr>
        <w:spacing w:after="55" w:line="260"/>
      </w:pPr>
      <w:r>
        <w:rPr>
          <w:rFonts w:ascii="Arial" w:cs="Arial" w:eastAsia="Arial" w:hAnsi="Arial"/>
          <w:b w:val="false"/>
          <w:bCs w:val="false"/>
          <w:i w:val="false"/>
          <w:iCs w:val="false"/>
          <w:color w:val="26353A"/>
          <w:sz w:val="18"/>
          <w:szCs w:val="18"/>
        </w:rPr>
        <w:t xml:space="preserve">La décision sollicitée est une audience de présentation et une orientation vers le service compétent. Si le test est jugé pertinent, une étape de cadrage pourrait définir les participantes, le protocole, les responsabilités, le budget et les critères d'arrêt. La présente note n'est ni un engagement de résultat ni une demande de décaissement.</w:t>
      </w:r>
    </w:p>
    <w:p>
      <w:pPr>
        <w:spacing w:after="55" w:line="260"/>
      </w:pPr>
      <w:r>
        <w:rPr>
          <w:rFonts w:ascii="Arial" w:cs="Arial" w:eastAsia="Arial" w:hAnsi="Arial"/>
          <w:b w:val="false"/>
          <w:bCs w:val="false"/>
          <w:i w:val="false"/>
          <w:iCs w:val="false"/>
          <w:color w:val="26353A"/>
          <w:sz w:val="18"/>
          <w:szCs w:val="18"/>
        </w:rPr>
        <w:t xml:space="preserve">Contact : juvettaj@gmail.com · +33 7 82 51 05 46 Relais local proposé : Ngounou Junior · +237 691 759 881 Présence au Cameroun : du 9 octobre au 7 décembre 2026, audience à confirmer.</w:t>
      </w:r>
    </w:p>
    <w:sectPr>
      <w:pgSz w:w="11906" w:h="16838" w:orient="portrait"/>
      <w:pgMar w:top="680" w:right="680" w:bottom="680" w:left="6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pPr>
        <w:spacing w:line="26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gkauj29i1r6irsz9zp_kr" Type="http://schemas.openxmlformats.org/officeDocument/2006/relationships/hyperlink" Target="https://artisanconnectcm.info" TargetMode="External"/><Relationship Id="rId7" Type="http://schemas.openxmlformats.org/officeDocument/2006/relationships/image" Target="media/c36016a2132975be8e6b11311315629d64f7d89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 conceptuelle — MINPROFF</dc:title>
  <dc:subject>Note conceptuelle — MINPROFF</dc:subject>
  <dc:creator>ArtisanConnect</dc:creator>
  <cp:lastModifiedBy>Un-named</cp:lastModifiedBy>
  <cp:revision>1</cp:revision>
  <dcterms:created xsi:type="dcterms:W3CDTF">2026-09-29T00:01:56.962Z</dcterms:created>
  <dcterms:modified xsi:type="dcterms:W3CDTF">2026-09-29T00:01:56.962Z</dcterms:modified>
</cp:coreProperties>
</file>

<file path=docProps/custom.xml><?xml version="1.0" encoding="utf-8"?>
<Properties xmlns="http://schemas.openxmlformats.org/officeDocument/2006/custom-properties" xmlns:vt="http://schemas.openxmlformats.org/officeDocument/2006/docPropsVTypes"/>
</file>