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77A28" w:sz="14" w:space="4"/>
        </w:pBdr>
        <w:spacing w:after="70"/>
      </w:pPr>
      <w:r>
        <w:rPr>
          <w:rFonts w:ascii="Arial" w:cs="Arial" w:eastAsia="Arial" w:hAnsi="Arial"/>
          <w:b/>
          <w:bCs/>
          <w:i w:val="false"/>
          <w:iCs w:val="false"/>
          <w:color w:val="203239"/>
          <w:sz w:val="30"/>
          <w:szCs w:val="30"/>
        </w:rPr>
        <w:t xml:space="preserve">Artisan</w:t>
      </w:r>
      <w:r>
        <w:rPr>
          <w:rFonts w:ascii="Arial" w:cs="Arial" w:eastAsia="Arial" w:hAnsi="Arial"/>
          <w:b/>
          <w:bCs/>
          <w:i w:val="false"/>
          <w:iCs w:val="false"/>
          <w:color w:val="C77A28"/>
          <w:sz w:val="30"/>
          <w:szCs w:val="30"/>
        </w:rPr>
        <w:t xml:space="preserve">Connect</w:t>
      </w:r>
      <w:r>
        <w:rPr>
          <w:rFonts w:ascii="Arial" w:cs="Arial" w:eastAsia="Arial" w:hAnsi="Arial"/>
          <w:b w:val="false"/>
          <w:bCs w:val="false"/>
          <w:i w:val="false"/>
          <w:iCs w:val="false"/>
          <w:color w:val="647378"/>
          <w:sz w:val="14"/>
          <w:szCs w:val="14"/>
        </w:rPr>
        <w:t xml:space="preserve">     DOSSIER DE DISCUSSION · 29 SEPTEMBRE 2026</w:t>
      </w:r>
    </w:p>
    <w:p>
      <w:pPr>
        <w:spacing w:after="30"/>
        <w:jc w:val="right"/>
      </w:pPr>
      <w:hyperlink w:history="1" r:id="rIdbloy55iyqriku2s4hlspm">
        <w:r>
          <w:drawing>
            <wp:inline distT="0" distB="0" distL="0" distR="0">
              <wp:extent cx="628650" cy="628650"/>
              <wp:effectExtent t="0" r="0" b="0" l="0"/>
              <wp:docPr id="10" descr="Scanner ou cliquer pour ouvrir le site" title="QR ArtisanConnect">
                <a:hlinkClick xmlns:a="http://schemas.openxmlformats.org/drawingml/2006/main" r:id="rIdbloy55iyqriku2s4hlspm"/>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bloy55iyqriku2s4hlspm"/>
                      </pic:cNvPr>
                      <pic:cNvPicPr>
                        <a:picLocks noChangeAspect="1" noChangeArrowheads="1"/>
                      </pic:cNvPicPr>
                    </pic:nvPicPr>
                    <pic:blipFill>
                      <a:blip r:embed="rId7" cstate="none"/>
                      <a:srcRect/>
                      <a:stretch>
                        <a:fillRect/>
                      </a:stretch>
                    </pic:blipFill>
                    <pic:spPr bwMode="auto">
                      <a:xfrm>
                        <a:off x="0" y="0"/>
                        <a:ext cx="628650" cy="628650"/>
                      </a:xfrm>
                      <a:prstGeom prst="rect">
                        <a:avLst/>
                      </a:prstGeom>
                    </pic:spPr>
                  </pic:pic>
                </a:graphicData>
              </a:graphic>
            </wp:inline>
          </w:drawing>
        </w:r>
      </w:hyperlink>
    </w:p>
    <w:p>
      <w:pPr>
        <w:keepNext/>
        <w:spacing w:after="55"/>
      </w:pPr>
      <w:r>
        <w:rPr>
          <w:rFonts w:ascii="Arial" w:cs="Arial" w:eastAsia="Arial" w:hAnsi="Arial"/>
          <w:b/>
          <w:bCs/>
          <w:i w:val="false"/>
          <w:iCs w:val="false"/>
          <w:color w:val="203239"/>
          <w:sz w:val="40"/>
          <w:szCs w:val="40"/>
        </w:rPr>
        <w:t xml:space="preserve">Note conceptuelle — ONU Femmes au Cameroun</w:t>
      </w:r>
    </w:p>
    <w:p>
      <w:pPr>
        <w:spacing w:after="120"/>
      </w:pPr>
      <w:r>
        <w:rPr>
          <w:rFonts w:ascii="Arial" w:cs="Arial" w:eastAsia="Arial" w:hAnsi="Arial"/>
          <w:b w:val="false"/>
          <w:bCs w:val="false"/>
          <w:i w:val="false"/>
          <w:iCs w:val="false"/>
          <w:color w:val="176B5B"/>
          <w:sz w:val="20"/>
          <w:szCs w:val="20"/>
        </w:rPr>
        <w:t xml:space="preserve">Note conceptuelle — ONU Femmes au Cameroun</w:t>
      </w:r>
    </w:p>
    <w:p>
      <w:pPr>
        <w:keepNext/>
        <w:spacing w:after="100"/>
      </w:pPr>
      <w:r>
        <w:rPr>
          <w:rFonts w:ascii="Arial" w:cs="Arial" w:eastAsia="Arial" w:hAnsi="Arial"/>
          <w:b/>
          <w:bCs/>
          <w:i w:val="false"/>
          <w:iCs w:val="false"/>
          <w:color w:val="203239"/>
          <w:sz w:val="42"/>
          <w:szCs w:val="42"/>
        </w:rPr>
        <w:t xml:space="preserve">Note conceptuelle — visibilité et accès au marché pour les entrepreneures</w:t>
      </w:r>
    </w:p>
    <w:p>
      <w:pPr>
        <w:spacing w:after="55" w:line="260"/>
      </w:pPr>
      <w:r>
        <w:rPr>
          <w:rFonts w:ascii="Arial" w:cs="Arial" w:eastAsia="Arial" w:hAnsi="Arial"/>
          <w:b w:val="false"/>
          <w:bCs w:val="false"/>
          <w:i w:val="false"/>
          <w:iCs w:val="false"/>
          <w:color w:val="26353A"/>
          <w:sz w:val="18"/>
          <w:szCs w:val="18"/>
        </w:rPr>
        <w:t xml:space="preserve">Destinataire proposé : ONU Femmes au Cameroun</w:t>
      </w:r>
    </w:p>
    <w:p>
      <w:pPr>
        <w:spacing w:after="55" w:line="260"/>
      </w:pPr>
      <w:r>
        <w:rPr>
          <w:rFonts w:ascii="Arial" w:cs="Arial" w:eastAsia="Arial" w:hAnsi="Arial"/>
          <w:b w:val="false"/>
          <w:bCs w:val="false"/>
          <w:i w:val="false"/>
          <w:iCs w:val="false"/>
          <w:color w:val="26353A"/>
          <w:sz w:val="18"/>
          <w:szCs w:val="18"/>
        </w:rPr>
        <w:t xml:space="preserve">Porteur : Juvet TAJO, président fondateur d'ArtisanConnect, résidant en France</w:t>
      </w:r>
    </w:p>
    <w:p>
      <w:pPr>
        <w:spacing w:after="55" w:line="260"/>
      </w:pPr>
      <w:r>
        <w:rPr>
          <w:rFonts w:ascii="Arial" w:cs="Arial" w:eastAsia="Arial" w:hAnsi="Arial"/>
          <w:b w:val="false"/>
          <w:bCs w:val="false"/>
          <w:i w:val="false"/>
          <w:iCs w:val="false"/>
          <w:color w:val="26353A"/>
          <w:sz w:val="18"/>
          <w:szCs w:val="18"/>
        </w:rPr>
        <w:t xml:space="preserve">Relais local proposé : Ngounou Junior · +237 691 759 881</w:t>
      </w:r>
    </w:p>
    <w:p>
      <w:pPr>
        <w:spacing w:after="55" w:line="260"/>
      </w:pPr>
      <w:r>
        <w:rPr>
          <w:rFonts w:ascii="Arial" w:cs="Arial" w:eastAsia="Arial" w:hAnsi="Arial"/>
          <w:b w:val="false"/>
          <w:bCs w:val="false"/>
          <w:i w:val="false"/>
          <w:iCs w:val="false"/>
          <w:color w:val="26353A"/>
          <w:sz w:val="18"/>
          <w:szCs w:val="18"/>
        </w:rPr>
        <w:t xml:space="preserve">Version de travail : 29 septembre 2026 · Statut : proposition exploratoire, sans partenariat ni financement acquis</w:t>
      </w:r>
    </w:p>
    <w:p>
      <w:pPr>
        <w:keepNext/>
        <w:shd w:fill="F1F6F4" w:val="clear"/>
        <w:spacing w:after="70" w:before="100"/>
      </w:pPr>
      <w:r>
        <w:rPr>
          <w:rFonts w:ascii="Arial" w:cs="Arial" w:eastAsia="Arial" w:hAnsi="Arial"/>
          <w:b/>
          <w:bCs/>
          <w:i w:val="false"/>
          <w:iCs w:val="false"/>
          <w:color w:val="203239"/>
          <w:sz w:val="24"/>
          <w:szCs w:val="24"/>
        </w:rPr>
        <w:t xml:space="preserve">1. Résumé exécutif</w:t>
      </w:r>
    </w:p>
    <w:p>
      <w:pPr>
        <w:spacing w:after="55" w:line="260"/>
      </w:pPr>
      <w:r>
        <w:rPr>
          <w:rFonts w:ascii="Arial" w:cs="Arial" w:eastAsia="Arial" w:hAnsi="Arial"/>
          <w:b w:val="false"/>
          <w:bCs w:val="false"/>
          <w:i w:val="false"/>
          <w:iCs w:val="false"/>
          <w:color w:val="26353A"/>
          <w:sz w:val="18"/>
          <w:szCs w:val="18"/>
        </w:rPr>
        <w:t xml:space="preserve">ArtisanConnect est une plateforme numérique camerounaise permettant de présenter des produits et services, de rechercher des artisans par métier et localité, et de recevoir des demandes de devis. Les briefs professionnels sont examinés par l'équipe et transmis manuellement à des artisans sélectionnés.</w:t>
      </w:r>
    </w:p>
    <w:p>
      <w:pPr>
        <w:spacing w:after="55" w:line="260"/>
      </w:pPr>
      <w:r>
        <w:rPr>
          <w:rFonts w:ascii="Arial" w:cs="Arial" w:eastAsia="Arial" w:hAnsi="Arial"/>
          <w:b w:val="false"/>
          <w:bCs w:val="false"/>
          <w:i w:val="false"/>
          <w:iCs w:val="false"/>
          <w:color w:val="26353A"/>
          <w:sz w:val="18"/>
          <w:szCs w:val="18"/>
        </w:rPr>
        <w:t xml:space="preserve">Cette note propose à ONU Femmes d'examiner, sans préjuger des priorités ou modalités de ses programmes, si un test limité pourrait soutenir la visibilité commerciale et les premières mises en relation de femmes artisanes, entrepreneures ou coopératives. ArtisanConnect n'est ni une composante officielle de BuyFromWomen, ni un partenaire agréé d'ONU Femmes, et ne présume d'aucun accès à un financement ou à des bénéficiaires.</w:t>
      </w:r>
    </w:p>
    <w:p>
      <w:pPr>
        <w:spacing w:after="55" w:line="260"/>
      </w:pPr>
      <w:r>
        <w:rPr>
          <w:rFonts w:ascii="Arial" w:cs="Arial" w:eastAsia="Arial" w:hAnsi="Arial"/>
          <w:b w:val="false"/>
          <w:bCs w:val="false"/>
          <w:i w:val="false"/>
          <w:iCs w:val="false"/>
          <w:color w:val="26353A"/>
          <w:sz w:val="18"/>
          <w:szCs w:val="18"/>
        </w:rPr>
        <w:t xml:space="preserve">Le test initial proposé serait de 5 à 10 participantes, dans une ville et 2 à 3 métiers, sur environ une semaine. Une phase éventuelle jusqu'à 100 participantes pour 3 à 6 mois serait soumise à l'évaluation, à un accord explicite, à une analyse de capacité et à l'approbation des ressources. Les volumes sont des hypothèses de discussion.</w:t>
      </w:r>
    </w:p>
    <w:p>
      <w:pPr>
        <w:keepNext/>
        <w:shd w:fill="F1F6F4" w:val="clear"/>
        <w:spacing w:after="70" w:before="100"/>
      </w:pPr>
      <w:r>
        <w:rPr>
          <w:rFonts w:ascii="Arial" w:cs="Arial" w:eastAsia="Arial" w:hAnsi="Arial"/>
          <w:b/>
          <w:bCs/>
          <w:i w:val="false"/>
          <w:iCs w:val="false"/>
          <w:color w:val="203239"/>
          <w:sz w:val="24"/>
          <w:szCs w:val="24"/>
        </w:rPr>
        <w:t xml:space="preserve">2. Problématique et contribution possible</w:t>
      </w:r>
    </w:p>
    <w:p>
      <w:pPr>
        <w:spacing w:after="55" w:line="260"/>
      </w:pPr>
      <w:r>
        <w:rPr>
          <w:rFonts w:ascii="Arial" w:cs="Arial" w:eastAsia="Arial" w:hAnsi="Arial"/>
          <w:b w:val="false"/>
          <w:bCs w:val="false"/>
          <w:i w:val="false"/>
          <w:iCs w:val="false"/>
          <w:color w:val="26353A"/>
          <w:sz w:val="18"/>
          <w:szCs w:val="18"/>
        </w:rPr>
        <w:t xml:space="preserve">Des artisanes et entrepreneures peuvent avoir besoin d'une vitrine commerciale à jour, de soutien pour documenter leurs offres et d'un accès plus structuré aux demandes de particuliers et d'acheteurs professionnels. Un outil numérique peut compléter des formations, réseaux, coopératives ou programmes d'accès aux marchés, mais ne remplace pas les dispositifs d'accompagnement ni les politiques d'égalité.</w:t>
      </w:r>
    </w:p>
    <w:p>
      <w:pPr>
        <w:spacing w:after="55" w:line="260"/>
      </w:pPr>
      <w:r>
        <w:rPr>
          <w:rFonts w:ascii="Arial" w:cs="Arial" w:eastAsia="Arial" w:hAnsi="Arial"/>
          <w:b w:val="false"/>
          <w:bCs w:val="false"/>
          <w:i w:val="false"/>
          <w:iCs w:val="false"/>
          <w:color w:val="26353A"/>
          <w:sz w:val="18"/>
          <w:szCs w:val="18"/>
        </w:rPr>
        <w:t xml:space="preserve">Le test pourrait examiner :</w:t>
      </w:r>
    </w:p>
    <w:p>
      <w:pPr>
        <w:spacing w:after="35" w:line="250"/>
        <w:ind w:left="280" w:hanging="170"/>
      </w:pPr>
      <w:r>
        <w:rPr>
          <w:rFonts w:ascii="Arial" w:cs="Arial" w:eastAsia="Arial" w:hAnsi="Arial"/>
          <w:b w:val="false"/>
          <w:bCs w:val="false"/>
          <w:i w:val="false"/>
          <w:iCs w:val="false"/>
          <w:color w:val="26353A"/>
          <w:sz w:val="18"/>
          <w:szCs w:val="18"/>
        </w:rPr>
        <w:t xml:space="preserve">•  la capacité à créer et maintenir un profil et une offre réelle;</w:t>
      </w:r>
    </w:p>
    <w:p>
      <w:pPr>
        <w:spacing w:after="35" w:line="250"/>
        <w:ind w:left="280" w:hanging="170"/>
      </w:pPr>
      <w:r>
        <w:rPr>
          <w:rFonts w:ascii="Arial" w:cs="Arial" w:eastAsia="Arial" w:hAnsi="Arial"/>
          <w:b w:val="false"/>
          <w:bCs w:val="false"/>
          <w:i w:val="false"/>
          <w:iCs w:val="false"/>
          <w:color w:val="26353A"/>
          <w:sz w:val="18"/>
          <w:szCs w:val="18"/>
        </w:rPr>
        <w:t xml:space="preserve">•  l'accessibilité du parcours sur téléphone et le niveau d'appui nécessaire;</w:t>
      </w:r>
    </w:p>
    <w:p>
      <w:pPr>
        <w:spacing w:after="35" w:line="250"/>
        <w:ind w:left="280" w:hanging="170"/>
      </w:pPr>
      <w:r>
        <w:rPr>
          <w:rFonts w:ascii="Arial" w:cs="Arial" w:eastAsia="Arial" w:hAnsi="Arial"/>
          <w:b w:val="false"/>
          <w:bCs w:val="false"/>
          <w:i w:val="false"/>
          <w:iCs w:val="false"/>
          <w:color w:val="26353A"/>
          <w:sz w:val="18"/>
          <w:szCs w:val="18"/>
        </w:rPr>
        <w:t xml:space="preserve">•  le nombre et la nature des demandes reçues et réponses consignées;</w:t>
      </w:r>
    </w:p>
    <w:p>
      <w:pPr>
        <w:spacing w:after="35" w:line="250"/>
        <w:ind w:left="280" w:hanging="170"/>
      </w:pPr>
      <w:r>
        <w:rPr>
          <w:rFonts w:ascii="Arial" w:cs="Arial" w:eastAsia="Arial" w:hAnsi="Arial"/>
          <w:b w:val="false"/>
          <w:bCs w:val="false"/>
          <w:i w:val="false"/>
          <w:iCs w:val="false"/>
          <w:color w:val="26353A"/>
          <w:sz w:val="18"/>
          <w:szCs w:val="18"/>
        </w:rPr>
        <w:t xml:space="preserve">•  les expériences déclarées par les participantes et les acheteurs;</w:t>
      </w:r>
    </w:p>
    <w:p>
      <w:pPr>
        <w:spacing w:after="35" w:line="250"/>
        <w:ind w:left="280" w:hanging="170"/>
      </w:pPr>
      <w:r>
        <w:rPr>
          <w:rFonts w:ascii="Arial" w:cs="Arial" w:eastAsia="Arial" w:hAnsi="Arial"/>
          <w:b w:val="false"/>
          <w:bCs w:val="false"/>
          <w:i w:val="false"/>
          <w:iCs w:val="false"/>
          <w:color w:val="26353A"/>
          <w:sz w:val="18"/>
          <w:szCs w:val="18"/>
        </w:rPr>
        <w:t xml:space="preserve">•  les risques d'exposition de coordonnées, d'images ou d'informations commerciales.</w:t>
      </w:r>
    </w:p>
    <w:p>
      <w:pPr>
        <w:spacing w:after="55" w:line="260"/>
      </w:pPr>
      <w:r>
        <w:rPr>
          <w:rFonts w:ascii="Arial" w:cs="Arial" w:eastAsia="Arial" w:hAnsi="Arial"/>
          <w:b w:val="false"/>
          <w:bCs w:val="false"/>
          <w:i w:val="false"/>
          <w:iCs w:val="false"/>
          <w:color w:val="26353A"/>
          <w:sz w:val="18"/>
          <w:szCs w:val="18"/>
        </w:rPr>
        <w:t xml:space="preserve">La participation serait volontaire. La sélection, les critères d'éligibilité, le consentement, l'accessibilité linguistique et la possibilité de retrait seraient définis avec le partenaire avant toute collecte ou publication.</w:t>
      </w:r>
    </w:p>
    <w:p>
      <w:pPr>
        <w:keepNext/>
        <w:shd w:fill="F1F6F4" w:val="clear"/>
        <w:spacing w:after="70" w:before="100"/>
      </w:pPr>
      <w:r>
        <w:rPr>
          <w:rFonts w:ascii="Arial" w:cs="Arial" w:eastAsia="Arial" w:hAnsi="Arial"/>
          <w:b/>
          <w:bCs/>
          <w:i w:val="false"/>
          <w:iCs w:val="false"/>
          <w:color w:val="203239"/>
          <w:sz w:val="24"/>
          <w:szCs w:val="24"/>
        </w:rPr>
        <w:t xml:space="preserve">3. Parcours et garde-fous</w:t>
      </w:r>
    </w:p>
    <w:p>
      <w:pPr>
        <w:spacing w:after="55" w:line="260"/>
      </w:pPr>
      <w:r>
        <w:rPr>
          <w:rFonts w:ascii="Arial" w:cs="Arial" w:eastAsia="Arial" w:hAnsi="Arial"/>
          <w:b w:val="false"/>
          <w:bCs w:val="false"/>
          <w:i w:val="false"/>
          <w:iCs w:val="false"/>
          <w:color w:val="26353A"/>
          <w:sz w:val="18"/>
          <w:szCs w:val="18"/>
        </w:rPr>
        <w:t xml:space="preserve">ArtisanConnect permet de publier un profil et une offre, de les rechercher, de recevoir une demande et de contacter le demandeur. Les briefs B2B sont soumis à une revue humaine et un administrateur choisit au maximum cinq artisanes destinataires. Un clic WhatsApp est une tentative de contact, pas une vente. Les transactions conclues hors plateforme ne sont pas automatiquement vérifiables.</w:t>
      </w:r>
    </w:p>
    <w:p>
      <w:pPr>
        <w:spacing w:after="55" w:line="260"/>
      </w:pPr>
      <w:r>
        <w:rPr>
          <w:rFonts w:ascii="Arial" w:cs="Arial" w:eastAsia="Arial" w:hAnsi="Arial"/>
          <w:b w:val="false"/>
          <w:bCs w:val="false"/>
          <w:i w:val="false"/>
          <w:iCs w:val="false"/>
          <w:color w:val="26353A"/>
          <w:sz w:val="18"/>
          <w:szCs w:val="18"/>
        </w:rPr>
        <w:t xml:space="preserve">Les indicateurs de genre ne seraient utilisés que pour les finalités convenues, sur la base de données déclarées volontairement et nécessaires au programme. Aucun indicateur de revenus, d'autonomisation ou d'impact ne serait déduit d'un simple compte ou clic. Toute analyse devrait tenir compte de la taille de l'échantillon et des risques de ré-identification.</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4. Phasage indicatif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Phase</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Hypothèse de travail</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Condition préalable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Cadrage et test</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5–10 participantes, 1 ville, 2–3 métiers, environ 1 semaine</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Accord sur consentement, sécurité, sélection, accompagnement et mesure</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Pilote éventuel</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Jusqu'à 100 participantes, 1 territoire à confirmer, 3–6 mois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Évaluation du test, accord écrit, programme d'accueil, budget et capacité validés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Suite possible</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À définir selon résultats</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Décision conjointe et nouvelle validation des ressources</w:t>
            </w:r>
          </w:p>
        </w:tc>
      </w:tr>
    </w:tbl>
    <w:p>
      <w:pPr>
        <w:spacing w:after="55" w:line="260"/>
      </w:pPr>
      <w:r>
        <w:rPr>
          <w:rFonts w:ascii="Arial" w:cs="Arial" w:eastAsia="Arial" w:hAnsi="Arial"/>
          <w:b w:val="false"/>
          <w:bCs w:val="false"/>
          <w:i w:val="false"/>
          <w:iCs w:val="false"/>
          <w:color w:val="26353A"/>
          <w:sz w:val="18"/>
          <w:szCs w:val="18"/>
        </w:rPr>
        <w:t xml:space="preserve">Le calendrier est indicatif. Aucune participante ne serait présentée comme bénéficiaire d'un programme d'ONU Femmes sans sélection ou autorisation correspondante.</w:t>
      </w:r>
    </w:p>
    <w:p>
      <w:pPr>
        <w:keepNext/>
        <w:shd w:fill="F1F6F4" w:val="clear"/>
        <w:spacing w:after="70" w:before="100"/>
      </w:pPr>
      <w:r>
        <w:rPr>
          <w:rFonts w:ascii="Arial" w:cs="Arial" w:eastAsia="Arial" w:hAnsi="Arial"/>
          <w:b/>
          <w:bCs/>
          <w:i w:val="false"/>
          <w:iCs w:val="false"/>
          <w:color w:val="203239"/>
          <w:sz w:val="24"/>
          <w:szCs w:val="24"/>
        </w:rPr>
        <w:t xml:space="preserve">5. Mesures proposées et limites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500"/>
      </w:tblGrid>
      <w:tr>
        <w:trPr>
          <w:cantSplit/>
        </w:trPr>
        <w:tc>
          <w:tcPr>
            <w:tcW w:type="dxa" w:w="26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Indicateur</w:t>
            </w:r>
          </w:p>
        </w:tc>
        <w:tc>
          <w:tcPr>
            <w:tcW w:type="dxa" w:w="39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Définition possible</w:t>
            </w:r>
          </w:p>
        </w:tc>
        <w:tc>
          <w:tcPr>
            <w:tcW w:type="dxa" w:w="3500"/>
            <w:tcBorders>
              <w:top w:val="single" w:color="D7E0DD" w:sz="3"/>
              <w:left w:val="single" w:color="D7E0DD" w:sz="3"/>
              <w:bottom w:val="single" w:color="D7E0DD" w:sz="3"/>
              <w:right w:val="single" w:color="D7E0DD" w:sz="3"/>
            </w:tcBorders>
            <w:shd w:fill="203239" w:val="clear"/>
            <w:tcMar>
              <w:top w:type="dxa" w:w="70"/>
              <w:left w:type="dxa" w:w="85"/>
              <w:bottom w:type="dxa" w:w="70"/>
              <w:right w:type="dxa" w:w="85"/>
            </w:tcMar>
          </w:tcPr>
          <w:p>
            <w:pPr>
              <w:spacing w:after="0" w:line="225"/>
            </w:pPr>
            <w:r>
              <w:rPr>
                <w:rFonts w:ascii="Arial" w:cs="Arial" w:eastAsia="Arial" w:hAnsi="Arial"/>
                <w:b/>
                <w:bCs/>
                <w:i w:val="false"/>
                <w:iCs w:val="false"/>
                <w:color w:val="FFFFFF"/>
                <w:sz w:val="16"/>
                <w:szCs w:val="16"/>
              </w:rPr>
              <w:t xml:space="preserve">Précaution</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Participantes inscrites</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Comptes créés avec consentement</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Ne signifie pas activité économique</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Profils complets</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Champs nécessaires remplis et validés par la participante</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Ne constitue pas une vérification d'identité exhaustive</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Offres actives</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Produit/service réel, disponible et publié avec accord</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Mise à jour nécessaire</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Demandes et réponses</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Échanges consignés dans la plateforme</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Échanges externes potentiellement manquants</w:t>
            </w:r>
          </w:p>
        </w:tc>
      </w:tr>
      <w:tr>
        <w:trPr>
          <w:cantSplit/>
        </w:trPr>
        <w:tc>
          <w:tcPr>
            <w:tcW w:type="dxa" w:w="26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Mises en relation</w:t>
            </w:r>
          </w:p>
        </w:tc>
        <w:tc>
          <w:tcPr>
            <w:tcW w:type="dxa" w:w="39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Brief transmis ou clic WhatsApp</w:t>
            </w:r>
          </w:p>
        </w:tc>
        <w:tc>
          <w:tcPr>
            <w:tcW w:type="dxa" w:w="3500"/>
            <w:tcBorders>
              <w:top w:val="single" w:color="D7E0DD" w:sz="3"/>
              <w:left w:val="single" w:color="D7E0DD" w:sz="3"/>
              <w:bottom w:val="single" w:color="D7E0DD" w:sz="3"/>
              <w:right w:val="single" w:color="D7E0DD" w:sz="3"/>
            </w:tcBorders>
            <w:shd w:fill="FFFFFF"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Pas une vente ni revenu</w:t>
            </w:r>
          </w:p>
        </w:tc>
      </w:tr>
      <w:tr>
        <w:trPr>
          <w:cantSplit/>
        </w:trPr>
        <w:tc>
          <w:tcPr>
            <w:tcW w:type="dxa" w:w="26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Retours et sécurité</w:t>
            </w:r>
          </w:p>
        </w:tc>
        <w:tc>
          <w:tcPr>
            <w:tcW w:type="dxa" w:w="39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Enquête volontaire, signalements et incidents</w:t>
            </w:r>
          </w:p>
        </w:tc>
        <w:tc>
          <w:tcPr>
            <w:tcW w:type="dxa" w:w="3500"/>
            <w:tcBorders>
              <w:top w:val="single" w:color="D7E0DD" w:sz="3"/>
              <w:left w:val="single" w:color="D7E0DD" w:sz="3"/>
              <w:bottom w:val="single" w:color="D7E0DD" w:sz="3"/>
              <w:right w:val="single" w:color="D7E0DD" w:sz="3"/>
            </w:tcBorders>
            <w:shd w:fill="F1F6F4" w:val="clear"/>
            <w:tcMar>
              <w:top w:type="dxa" w:w="70"/>
              <w:left w:type="dxa" w:w="85"/>
              <w:bottom w:type="dxa" w:w="70"/>
              <w:right w:type="dxa" w:w="85"/>
            </w:tcMar>
          </w:tcPr>
          <w:p>
            <w:pPr>
              <w:spacing w:after="0" w:line="225"/>
            </w:pPr>
            <w:r>
              <w:rPr>
                <w:rFonts w:ascii="Arial" w:cs="Arial" w:eastAsia="Arial" w:hAnsi="Arial"/>
                <w:b w:val="false"/>
                <w:bCs w:val="false"/>
                <w:i w:val="false"/>
                <w:iCs w:val="false"/>
                <w:color w:val="26353A"/>
                <w:sz w:val="16"/>
                <w:szCs w:val="16"/>
              </w:rPr>
              <w:t xml:space="preserve">Protocole de confidentialité et d'escalade requis</w:t>
            </w:r>
          </w:p>
        </w:tc>
      </w:tr>
    </w:tbl>
    <w:p>
      <w:pPr>
        <w:spacing w:after="55" w:line="260"/>
      </w:pPr>
      <w:r>
        <w:rPr>
          <w:rFonts w:ascii="Arial" w:cs="Arial" w:eastAsia="Arial" w:hAnsi="Arial"/>
          <w:b w:val="false"/>
          <w:bCs w:val="false"/>
          <w:i w:val="false"/>
          <w:iCs w:val="false"/>
          <w:color w:val="26353A"/>
          <w:sz w:val="18"/>
          <w:szCs w:val="18"/>
        </w:rPr>
        <w:t xml:space="preserve">Les rapports remis à un partenaire seraient agrégés et limiteraient les risques de ré-identification. Les données individuelles, témoignages, photographies et logos ne seraient partagés ou publiés qu'avec une base légale et les autorisations requises. Les résultats seraient séparés des activités, produits et résultats d'autres programmes.</w:t>
      </w:r>
    </w:p>
    <w:p>
      <w:pPr>
        <w:keepNext/>
        <w:shd w:fill="F1F6F4" w:val="clear"/>
        <w:spacing w:after="70" w:before="100"/>
      </w:pPr>
      <w:r>
        <w:rPr>
          <w:rFonts w:ascii="Arial" w:cs="Arial" w:eastAsia="Arial" w:hAnsi="Arial"/>
          <w:b/>
          <w:bCs/>
          <w:i w:val="false"/>
          <w:iCs w:val="false"/>
          <w:color w:val="203239"/>
          <w:sz w:val="24"/>
          <w:szCs w:val="24"/>
        </w:rPr>
        <w:t xml:space="preserve">6. Rôles à discuter</w:t>
      </w:r>
    </w:p>
    <w:p>
      <w:pPr>
        <w:spacing w:after="55" w:line="260"/>
      </w:pPr>
      <w:r>
        <w:rPr>
          <w:rFonts w:ascii="Arial" w:cs="Arial" w:eastAsia="Arial" w:hAnsi="Arial"/>
          <w:b w:val="false"/>
          <w:bCs w:val="false"/>
          <w:i w:val="false"/>
          <w:iCs w:val="false"/>
          <w:color w:val="26353A"/>
          <w:sz w:val="18"/>
          <w:szCs w:val="18"/>
        </w:rPr>
        <w:t xml:space="preserve">ArtisanConnect pourrait, après cadrage, fournir l'outil, initier les participantes à son usage, assurer un support défini, traiter les incidents de plateforme et produire un bilan agrégé.</w:t>
      </w:r>
    </w:p>
    <w:p>
      <w:pPr>
        <w:spacing w:after="55" w:line="260"/>
      </w:pPr>
      <w:r>
        <w:rPr>
          <w:rFonts w:ascii="Arial" w:cs="Arial" w:eastAsia="Arial" w:hAnsi="Arial"/>
          <w:b w:val="false"/>
          <w:bCs w:val="false"/>
          <w:i w:val="false"/>
          <w:iCs w:val="false"/>
          <w:color w:val="26353A"/>
          <w:sz w:val="18"/>
          <w:szCs w:val="18"/>
        </w:rPr>
        <w:t xml:space="preserve">ONU Femmes pourrait, si la proposition est pertinente et selon ses règles, indiquer les priorités et garanties applicables, orienter vers le point focal adéquat ou décider qu'aucune suite n'est donnée. Aucune sélection, mise à disposition de données, co-branding ou financement n'est présumé.</w:t>
      </w:r>
    </w:p>
    <w:p>
      <w:pPr>
        <w:spacing w:after="55" w:line="260"/>
      </w:pPr>
      <w:r>
        <w:rPr>
          <w:rFonts w:ascii="Arial" w:cs="Arial" w:eastAsia="Arial" w:hAnsi="Arial"/>
          <w:b w:val="false"/>
          <w:bCs w:val="false"/>
          <w:i w:val="false"/>
          <w:iCs w:val="false"/>
          <w:color w:val="26353A"/>
          <w:sz w:val="18"/>
          <w:szCs w:val="18"/>
        </w:rPr>
        <w:t xml:space="preserve">Les participantes garderaient le contrôle de leurs informations et offres. Les responsabilités de modération, gestion des plaintes, sécurité et retrait seraient établies avant le test.</w:t>
      </w:r>
    </w:p>
    <w:p>
      <w:pPr>
        <w:keepNext/>
        <w:shd w:fill="F1F6F4" w:val="clear"/>
        <w:spacing w:after="70" w:before="100"/>
      </w:pPr>
      <w:r>
        <w:rPr>
          <w:rFonts w:ascii="Arial" w:cs="Arial" w:eastAsia="Arial" w:hAnsi="Arial"/>
          <w:b/>
          <w:bCs/>
          <w:i w:val="false"/>
          <w:iCs w:val="false"/>
          <w:color w:val="203239"/>
          <w:sz w:val="24"/>
          <w:szCs w:val="24"/>
        </w:rPr>
        <w:t xml:space="preserve">7. Risques et mesures de maîtrise</w:t>
      </w:r>
    </w:p>
    <w:p>
      <w:pPr>
        <w:spacing w:after="35" w:line="250"/>
        <w:ind w:left="280" w:hanging="170"/>
      </w:pPr>
      <w:r>
        <w:rPr>
          <w:rFonts w:ascii="Arial" w:cs="Arial" w:eastAsia="Arial" w:hAnsi="Arial"/>
          <w:b w:val="false"/>
          <w:bCs w:val="false"/>
          <w:i w:val="false"/>
          <w:iCs w:val="false"/>
          <w:color w:val="26353A"/>
          <w:sz w:val="18"/>
          <w:szCs w:val="18"/>
        </w:rPr>
        <w:t xml:space="preserve">•  Fausse impression d'affiliation : mentionner clairement qu'il s'agit d'une proposition indépendante; ne pas utiliser logo ou nom de programme sans autorisation.</w:t>
      </w:r>
    </w:p>
    <w:p>
      <w:pPr>
        <w:spacing w:after="35" w:line="250"/>
        <w:ind w:left="280" w:hanging="170"/>
      </w:pPr>
      <w:r>
        <w:rPr>
          <w:rFonts w:ascii="Arial" w:cs="Arial" w:eastAsia="Arial" w:hAnsi="Arial"/>
          <w:b w:val="false"/>
          <w:bCs w:val="false"/>
          <w:i w:val="false"/>
          <w:iCs w:val="false"/>
          <w:color w:val="26353A"/>
          <w:sz w:val="18"/>
          <w:szCs w:val="18"/>
        </w:rPr>
        <w:t xml:space="preserve">•  Exposition ou harcèlement : limiter les coordonnées publiques, prévoir signalement et retrait rapide.</w:t>
      </w:r>
    </w:p>
    <w:p>
      <w:pPr>
        <w:spacing w:after="35" w:line="250"/>
        <w:ind w:left="280" w:hanging="170"/>
      </w:pPr>
      <w:r>
        <w:rPr>
          <w:rFonts w:ascii="Arial" w:cs="Arial" w:eastAsia="Arial" w:hAnsi="Arial"/>
          <w:b w:val="false"/>
          <w:bCs w:val="false"/>
          <w:i w:val="false"/>
          <w:iCs w:val="false"/>
          <w:color w:val="26353A"/>
          <w:sz w:val="18"/>
          <w:szCs w:val="18"/>
        </w:rPr>
        <w:t xml:space="preserve">•  Inégalités d'accès : tester l'usage mobile, l'assistance et les barrières de langue/connectivité.</w:t>
      </w:r>
    </w:p>
    <w:p>
      <w:pPr>
        <w:spacing w:after="35" w:line="250"/>
        <w:ind w:left="280" w:hanging="170"/>
      </w:pPr>
      <w:r>
        <w:rPr>
          <w:rFonts w:ascii="Arial" w:cs="Arial" w:eastAsia="Arial" w:hAnsi="Arial"/>
          <w:b w:val="false"/>
          <w:bCs w:val="false"/>
          <w:i w:val="false"/>
          <w:iCs w:val="false"/>
          <w:color w:val="26353A"/>
          <w:sz w:val="18"/>
          <w:szCs w:val="18"/>
        </w:rPr>
        <w:t xml:space="preserve">•  Surinterprétation des données : distinguer clics, demandes, ventes déclarées et paiements vérifiés; communiquer les limites.</w:t>
      </w:r>
    </w:p>
    <w:p>
      <w:pPr>
        <w:spacing w:after="35" w:line="250"/>
        <w:ind w:left="280" w:hanging="170"/>
      </w:pPr>
      <w:r>
        <w:rPr>
          <w:rFonts w:ascii="Arial" w:cs="Arial" w:eastAsia="Arial" w:hAnsi="Arial"/>
          <w:b w:val="false"/>
          <w:bCs w:val="false"/>
          <w:i w:val="false"/>
          <w:iCs w:val="false"/>
          <w:color w:val="26353A"/>
          <w:sz w:val="18"/>
          <w:szCs w:val="18"/>
        </w:rPr>
        <w:t xml:space="preserve">•  Charge supplémentaire pour les participantes : co-concevoir la collecte, éviter les données non indispensables et rémunérer/financer les activités si convenu au budget.</w:t>
      </w:r>
    </w:p>
    <w:p>
      <w:pPr>
        <w:spacing w:after="35" w:line="250"/>
        <w:ind w:left="280" w:hanging="170"/>
      </w:pPr>
      <w:r>
        <w:rPr>
          <w:rFonts w:ascii="Arial" w:cs="Arial" w:eastAsia="Arial" w:hAnsi="Arial"/>
          <w:b w:val="false"/>
          <w:bCs w:val="false"/>
          <w:i w:val="false"/>
          <w:iCs w:val="false"/>
          <w:color w:val="26353A"/>
          <w:sz w:val="18"/>
          <w:szCs w:val="18"/>
        </w:rPr>
        <w:t xml:space="preserve">•  Dépendance à des financements non confirmés : ne lancer aucune phase sans accord et ressource identifiée.</w:t>
      </w:r>
    </w:p>
    <w:p>
      <w:r>
        <w:br w:type="page"/>
      </w:r>
    </w:p>
    <w:p>
      <w:pPr>
        <w:keepNext/>
        <w:shd w:fill="F1F6F4" w:val="clear"/>
        <w:spacing w:after="70" w:before="100"/>
      </w:pPr>
      <w:r>
        <w:rPr>
          <w:rFonts w:ascii="Arial" w:cs="Arial" w:eastAsia="Arial" w:hAnsi="Arial"/>
          <w:b/>
          <w:bCs/>
          <w:i w:val="false"/>
          <w:iCs w:val="false"/>
          <w:color w:val="203239"/>
          <w:sz w:val="24"/>
          <w:szCs w:val="24"/>
        </w:rPr>
        <w:t xml:space="preserve">8. Ressources et décision sollicitée</w:t>
      </w:r>
    </w:p>
    <w:p>
      <w:pPr>
        <w:spacing w:after="55" w:line="260"/>
      </w:pPr>
      <w:r>
        <w:rPr>
          <w:rFonts w:ascii="Arial" w:cs="Arial" w:eastAsia="Arial" w:hAnsi="Arial"/>
          <w:b w:val="false"/>
          <w:bCs w:val="false"/>
          <w:i w:val="false"/>
          <w:iCs w:val="false"/>
          <w:color w:val="26353A"/>
          <w:sz w:val="18"/>
          <w:szCs w:val="18"/>
        </w:rPr>
        <w:t xml:space="preserve">Aucun budget n'est fixé. Un chiffrage ultérieur dépendra du nombre de participantes, du territoire, de la durée, des modalités de formation et d'assistance, de la connectivité, de la production de contenus, de la sécurité et du suivi.</w:t>
      </w:r>
    </w:p>
    <w:p>
      <w:pPr>
        <w:spacing w:after="55" w:line="260"/>
      </w:pPr>
      <w:r>
        <w:rPr>
          <w:rFonts w:ascii="Arial" w:cs="Arial" w:eastAsia="Arial" w:hAnsi="Arial"/>
          <w:b w:val="false"/>
          <w:bCs w:val="false"/>
          <w:i w:val="false"/>
          <w:iCs w:val="false"/>
          <w:color w:val="26353A"/>
          <w:sz w:val="18"/>
          <w:szCs w:val="18"/>
        </w:rPr>
        <w:t xml:space="preserve">La décision sollicitée à ce stade est une rencontre de présentation ou une orientation vers le programme pertinent. Si l'intérêt est confirmé, les parties pourraient examiner un atelier de cadrage et décider si un test est approprié. Cette note ne constitue ni une demande de subvention formelle, ni une offre de partenariat, ni une affirmation d'alignement officiel avec BuyFromWomen.</w:t>
      </w:r>
    </w:p>
    <w:p>
      <w:pPr>
        <w:spacing w:after="55" w:line="260"/>
      </w:pPr>
      <w:r>
        <w:rPr>
          <w:rFonts w:ascii="Arial" w:cs="Arial" w:eastAsia="Arial" w:hAnsi="Arial"/>
          <w:b w:val="false"/>
          <w:bCs w:val="false"/>
          <w:i w:val="false"/>
          <w:iCs w:val="false"/>
          <w:color w:val="26353A"/>
          <w:sz w:val="18"/>
          <w:szCs w:val="18"/>
        </w:rPr>
        <w:t xml:space="preserve">Contact : juvettaj@gmail.com · +33 7 82 51 05 46 Relais local proposé : Ngounou Junior · +237 691 759 881 Présence au Cameroun : du 9 octobre au 7 décembre 2026, rencontre à confirmer.</w:t>
      </w:r>
    </w:p>
    <w:sectPr>
      <w:pgSz w:w="11906" w:h="16838" w:orient="portrait"/>
      <w:pgMar w:top="680" w:right="680" w:bottom="680"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loy55iyqriku2s4hlspm" Type="http://schemas.openxmlformats.org/officeDocument/2006/relationships/hyperlink" Target="https://artisanconnectcm.info" TargetMode="External"/><Relationship Id="rId7" Type="http://schemas.openxmlformats.org/officeDocument/2006/relationships/image" Target="media/c36016a2132975be8e6b11311315629d64f7d8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conceptuelle — ONU Femmes au Cameroun</dc:title>
  <dc:subject>Note conceptuelle — ONU Femmes au Cameroun</dc:subject>
  <dc:creator>ArtisanConnect</dc:creator>
  <cp:lastModifiedBy>Un-named</cp:lastModifiedBy>
  <cp:revision>1</cp:revision>
  <dcterms:created xsi:type="dcterms:W3CDTF">2026-09-29T00:01:56.513Z</dcterms:created>
  <dcterms:modified xsi:type="dcterms:W3CDTF">2026-09-29T00:01:56.513Z</dcterms:modified>
</cp:coreProperties>
</file>

<file path=docProps/custom.xml><?xml version="1.0" encoding="utf-8"?>
<Properties xmlns="http://schemas.openxmlformats.org/officeDocument/2006/custom-properties" xmlns:vt="http://schemas.openxmlformats.org/officeDocument/2006/docPropsVTypes"/>
</file>