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drawing>
          <wp:inline distT="0" distB="0" distL="0" distR="0">
            <wp:extent cx="400050" cy="400050"/>
            <wp:effectExtent t="0" r="0" b="0" l="0"/>
            <wp:docPr id="3" descr="Logo officiel ArtisanConnect" title="Logo Artisan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 cy="400050"/>
                    </a:xfrm>
                    <a:prstGeom prst="rect">
                      <a:avLst/>
                    </a:prstGeom>
                  </pic:spPr>
                </pic:pic>
              </a:graphicData>
            </a:graphic>
          </wp:inline>
        </w:drawing>
      </w:r>
    </w:p>
    <w:p>
      <w:pPr>
        <w:spacing w:after="55"/>
        <w:jc w:val="center"/>
      </w:pPr>
      <w:r>
        <w:rPr>
          <w:rFonts w:ascii="Arial" w:cs="Arial" w:eastAsia="Arial" w:hAnsi="Arial"/>
          <w:b/>
          <w:bCs/>
          <w:color w:val="203239"/>
          <w:sz w:val="32"/>
          <w:szCs w:val="32"/>
        </w:rPr>
        <w:t xml:space="preserve">ArtisanConnect</w:t>
      </w:r>
    </w:p>
    <w:p>
      <w:pPr>
        <w:pBdr>
          <w:bottom w:val="single" w:color="C77A28" w:sz="12" w:space="4"/>
        </w:pBdr>
        <w:spacing w:after="65"/>
      </w:pPr>
      <w:r>
        <w:rPr>
          <w:rFonts w:ascii="Arial" w:cs="Arial" w:eastAsia="Arial" w:hAnsi="Arial"/>
          <w:b w:val="false"/>
          <w:bCs w:val="false"/>
          <w:color w:val="647378"/>
          <w:sz w:val="16"/>
          <w:szCs w:val="16"/>
        </w:rPr>
        <w:t xml:space="preserve">DOCUMENT INSTITUTIONNEL · MINPMEESA / DAMSI</w:t>
      </w:r>
    </w:p>
    <w:p>
      <w:pPr>
        <w:spacing w:after="30"/>
        <w:jc w:val="right"/>
      </w:pPr>
      <w:hyperlink w:history="1" r:id="rIdrdzv82x1pj6z9sysya9sx">
        <w:r>
          <w:drawing>
            <wp:inline distT="0" distB="0" distL="0" distR="0">
              <wp:extent cx="685800" cy="685800"/>
              <wp:effectExtent t="0" r="0" b="0" l="0"/>
              <wp:docPr id="4" descr="Scanner ou cliquer pour ouvrir le site" title="QR ArtisanConnect">
                <a:hlinkClick xmlns:a="http://schemas.openxmlformats.org/drawingml/2006/main" r:id="rIdrdzv82x1pj6z9sysya9sx"/>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a:hlinkClick r:id="rIdrdzv82x1pj6z9sysya9sx"/>
                      </pic:cNvPr>
                      <pic:cNvPicPr>
                        <a:picLocks noChangeAspect="1" noChangeArrowheads="1"/>
                      </pic:cNvPicPr>
                    </pic:nvPicPr>
                    <pic:blipFill>
                      <a:blip r:embed="rId8" cstate="none"/>
                      <a:srcRect/>
                      <a:stretch>
                        <a:fillRect/>
                      </a:stretch>
                    </pic:blipFill>
                    <pic:spPr bwMode="auto">
                      <a:xfrm>
                        <a:off x="0" y="0"/>
                        <a:ext cx="685800" cy="685800"/>
                      </a:xfrm>
                      <a:prstGeom prst="rect">
                        <a:avLst/>
                      </a:prstGeom>
                    </pic:spPr>
                  </pic:pic>
                </a:graphicData>
              </a:graphic>
            </wp:inline>
          </w:drawing>
        </w:r>
      </w:hyperlink>
    </w:p>
    <w:p>
      <w:pPr>
        <w:keepNext/>
        <w:spacing w:after="55"/>
      </w:pPr>
      <w:r>
        <w:rPr>
          <w:rFonts w:ascii="Arial" w:cs="Arial" w:eastAsia="Arial" w:hAnsi="Arial"/>
          <w:b/>
          <w:bCs/>
          <w:color w:val="203239"/>
          <w:sz w:val="46"/>
          <w:szCs w:val="46"/>
        </w:rPr>
        <w:t xml:space="preserve">Note conceptuelle</w:t>
      </w:r>
    </w:p>
    <w:p>
      <w:pPr>
        <w:spacing w:after="130"/>
      </w:pPr>
      <w:r>
        <w:rPr>
          <w:rFonts w:ascii="Arial" w:cs="Arial" w:eastAsia="Arial" w:hAnsi="Arial"/>
          <w:b w:val="false"/>
          <w:bCs w:val="false"/>
          <w:color w:val="176B5B"/>
          <w:sz w:val="22"/>
          <w:szCs w:val="22"/>
        </w:rPr>
        <w:t xml:space="preserve">Cadrage proposé avec la DAMSI · Document de discussion</w:t>
      </w:r>
    </w:p>
    <w:p>
      <w:pPr>
        <w:keepNext/>
        <w:spacing w:after="120"/>
      </w:pPr>
      <w:r>
        <w:rPr>
          <w:rFonts w:ascii="Arial" w:cs="Arial" w:eastAsia="Arial" w:hAnsi="Arial"/>
          <w:b/>
          <w:bCs/>
          <w:color w:val="203239"/>
          <w:sz w:val="48"/>
          <w:szCs w:val="48"/>
        </w:rPr>
        <w:t xml:space="preserve">Note conceptuelle</w:t>
      </w:r>
    </w:p>
    <w:p>
      <w:pPr>
        <w:keepNext/>
        <w:shd w:fill="F1F6F4" w:val="clear"/>
        <w:spacing w:after="95" w:before="150"/>
      </w:pPr>
      <w:r>
        <w:rPr>
          <w:rFonts w:ascii="Arial" w:cs="Arial" w:eastAsia="Arial" w:hAnsi="Arial"/>
          <w:b/>
          <w:bCs/>
          <w:color w:val="203239"/>
          <w:sz w:val="30"/>
          <w:szCs w:val="30"/>
        </w:rPr>
        <w:t xml:space="preserve">ArtisanConnect — visibilité numérique et accès aux marchés pour les artisans</w:t>
      </w:r>
    </w:p>
    <w:p>
      <w:pPr>
        <w:spacing w:after="80" w:line="280"/>
      </w:pPr>
      <w:r>
        <w:rPr>
          <w:rFonts w:ascii="Arial" w:cs="Arial" w:eastAsia="Arial" w:hAnsi="Arial"/>
          <w:b w:val="false"/>
          <w:bCs w:val="false"/>
          <w:color w:val="26353A"/>
          <w:sz w:val="19"/>
          <w:szCs w:val="19"/>
        </w:rPr>
        <w:t xml:space="preserve">Destinataire proposé : MINPMEESA</w:t>
      </w:r>
    </w:p>
    <w:p>
      <w:pPr>
        <w:spacing w:after="80" w:line="280"/>
      </w:pPr>
      <w:r>
        <w:rPr>
          <w:rFonts w:ascii="Arial" w:cs="Arial" w:eastAsia="Arial" w:hAnsi="Arial"/>
          <w:b w:val="false"/>
          <w:bCs w:val="false"/>
          <w:color w:val="26353A"/>
          <w:sz w:val="19"/>
          <w:szCs w:val="19"/>
        </w:rPr>
        <w:t xml:space="preserve">Interlocuteur technique prioritaire proposé : DAMSI · Sous-Direction de l'Artisanat</w:t>
      </w:r>
    </w:p>
    <w:p>
      <w:pPr>
        <w:spacing w:after="80" w:line="280"/>
      </w:pPr>
      <w:r>
        <w:rPr>
          <w:rFonts w:ascii="Arial" w:cs="Arial" w:eastAsia="Arial" w:hAnsi="Arial"/>
          <w:b w:val="false"/>
          <w:bCs w:val="false"/>
          <w:color w:val="26353A"/>
          <w:sz w:val="19"/>
          <w:szCs w:val="19"/>
        </w:rPr>
        <w:t xml:space="preserve">Porteur : Juvet TAJO, président fondateur d'ArtisanConnect et ingénieur plateforme SRE, résidant en France</w:t>
      </w:r>
    </w:p>
    <w:p>
      <w:pPr>
        <w:spacing w:after="80" w:line="280"/>
      </w:pPr>
      <w:r>
        <w:rPr>
          <w:rFonts w:ascii="Arial" w:cs="Arial" w:eastAsia="Arial" w:hAnsi="Arial"/>
          <w:b w:val="false"/>
          <w:bCs w:val="false"/>
          <w:color w:val="26353A"/>
          <w:sz w:val="19"/>
          <w:szCs w:val="19"/>
        </w:rPr>
        <w:t xml:space="preserve">Relais local proposé : Ngounou Junior, représentant au Cameroun · téléphone facultatif : +237 691 759 881</w:t>
      </w:r>
    </w:p>
    <w:p>
      <w:pPr>
        <w:spacing w:after="80" w:line="280"/>
      </w:pPr>
      <w:r>
        <w:rPr>
          <w:rFonts w:ascii="Arial" w:cs="Arial" w:eastAsia="Arial" w:hAnsi="Arial"/>
          <w:b w:val="false"/>
          <w:bCs w:val="false"/>
          <w:color w:val="26353A"/>
          <w:sz w:val="19"/>
          <w:szCs w:val="19"/>
        </w:rPr>
        <w:t xml:space="preserve">Contact du porteur : juvettaj@gmail.com · téléphone facultatif : +33 7 82 51 05 46</w:t>
      </w:r>
    </w:p>
    <w:p>
      <w:pPr>
        <w:spacing w:after="80" w:line="280"/>
      </w:pPr>
      <w:r>
        <w:rPr>
          <w:rFonts w:ascii="Arial" w:cs="Arial" w:eastAsia="Arial" w:hAnsi="Arial"/>
          <w:b w:val="false"/>
          <w:bCs w:val="false"/>
          <w:color w:val="26353A"/>
          <w:sz w:val="19"/>
          <w:szCs w:val="19"/>
        </w:rPr>
        <w:t xml:space="preserve">Présence au Cameroun : du 9 octobre au 7 décembre 2026, sous réserve de confirmation de l'audience</w:t>
      </w:r>
    </w:p>
    <w:p>
      <w:pPr>
        <w:spacing w:after="80" w:line="280"/>
      </w:pPr>
      <w:r>
        <w:rPr>
          <w:rFonts w:ascii="Arial" w:cs="Arial" w:eastAsia="Arial" w:hAnsi="Arial"/>
          <w:b w:val="false"/>
          <w:bCs w:val="false"/>
          <w:color w:val="26353A"/>
          <w:sz w:val="19"/>
          <w:szCs w:val="19"/>
        </w:rPr>
        <w:t xml:space="preserve">Version de travail : 29 septembre 2026</w:t>
      </w:r>
    </w:p>
    <w:p>
      <w:pPr>
        <w:spacing w:after="80" w:line="280"/>
      </w:pPr>
      <w:r>
        <w:rPr>
          <w:rFonts w:ascii="Arial" w:cs="Arial" w:eastAsia="Arial" w:hAnsi="Arial"/>
          <w:b w:val="false"/>
          <w:bCs w:val="false"/>
          <w:color w:val="26353A"/>
          <w:sz w:val="19"/>
          <w:szCs w:val="19"/>
        </w:rPr>
        <w:t xml:space="preserve">Statut : document de discussion, sans engagement institutionnel ni budget approuvé</w:t>
      </w:r>
    </w:p>
    <w:p>
      <w:pPr>
        <w:keepNext/>
        <w:shd w:fill="F1F6F4" w:val="clear"/>
        <w:spacing w:after="95" w:before="150"/>
      </w:pPr>
      <w:r>
        <w:rPr>
          <w:rFonts w:ascii="Arial" w:cs="Arial" w:eastAsia="Arial" w:hAnsi="Arial"/>
          <w:b/>
          <w:bCs/>
          <w:color w:val="203239"/>
          <w:sz w:val="30"/>
          <w:szCs w:val="30"/>
        </w:rPr>
        <w:t xml:space="preserve">1. Résumé exécutif</w:t>
      </w:r>
    </w:p>
    <w:p>
      <w:pPr>
        <w:spacing w:after="80" w:line="280"/>
      </w:pPr>
      <w:r>
        <w:rPr>
          <w:rFonts w:ascii="Arial" w:cs="Arial" w:eastAsia="Arial" w:hAnsi="Arial"/>
          <w:b w:val="false"/>
          <w:bCs w:val="false"/>
          <w:color w:val="26353A"/>
          <w:sz w:val="19"/>
          <w:szCs w:val="19"/>
        </w:rPr>
        <w:t xml:space="preserve">ArtisanConnect est une plateforme numérique camerounaise conçue pour rendre les artisans plus faciles à découvrir et faciliter les premiers échanges commerciaux. Un client peut rechercher une activité par métier, ville ou quartier, consulter une boutique, des produits ou des services, puis demander un devis ou contacter l'artisan. Une entreprise peut transmettre un besoin professionnel en précisant notamment son organisation, le métier, la quantité et la localité. Les briefs B2B sont examinés par l'équipe ArtisanConnect; un administrateur choisit manuellement jusqu'à cinq artisans à qui le besoin sera transmis.</w:t>
      </w:r>
    </w:p>
    <w:p>
      <w:pPr>
        <w:spacing w:after="80" w:line="280"/>
      </w:pPr>
      <w:r>
        <w:rPr>
          <w:rFonts w:ascii="Arial" w:cs="Arial" w:eastAsia="Arial" w:hAnsi="Arial"/>
          <w:b w:val="false"/>
          <w:bCs w:val="false"/>
          <w:color w:val="26353A"/>
          <w:sz w:val="19"/>
          <w:szCs w:val="19"/>
        </w:rPr>
        <w:t xml:space="preserve">La proposition faite au MINPMEESA est d'étudier un dispositif progressif, complémentaire aux programmes publics, afin de tester l'utilité de ces parcours pour des artisans qui seraient identifiés conjointement. Le test initial proposé porte sur 5 à 10 artisans, dans une ville et 2 à 3 métiers, pendant environ une semaine. Si les résultats, les capacités opérationnelles et les autorisations le permettent, un pilote institutionnel ultérieur pourrait être étudié jusqu'à 100 artisans, pour 3 à 6 mois. Ces volumes sont des hypothèses de cadrage, pas des objectifs approuvés. Toute extension nécessiterait une évaluation et une nouvelle décision.</w:t>
      </w:r>
    </w:p>
    <w:p>
      <w:pPr>
        <w:spacing w:after="80" w:line="280"/>
      </w:pPr>
      <w:r>
        <w:rPr>
          <w:rFonts w:ascii="Arial" w:cs="Arial" w:eastAsia="Arial" w:hAnsi="Arial"/>
          <w:b w:val="false"/>
          <w:bCs w:val="false"/>
          <w:color w:val="26353A"/>
          <w:sz w:val="19"/>
          <w:szCs w:val="19"/>
        </w:rPr>
        <w:t xml:space="preserve">Aucun financement, calendrier définitif, bénéficiaire, cofinancement ou partenariat n'est acquis à ce stade. Le budget sera établi après définition du périmètre, des responsabilités, des apports éventuels et des coûts réels.</w:t>
      </w:r>
    </w:p>
    <w:p>
      <w:pPr>
        <w:keepNext/>
        <w:shd w:fill="F1F6F4" w:val="clear"/>
        <w:spacing w:after="95" w:before="150"/>
      </w:pPr>
      <w:r>
        <w:rPr>
          <w:rFonts w:ascii="Arial" w:cs="Arial" w:eastAsia="Arial" w:hAnsi="Arial"/>
          <w:b/>
          <w:bCs/>
          <w:color w:val="203239"/>
          <w:sz w:val="30"/>
          <w:szCs w:val="30"/>
        </w:rPr>
        <w:t xml:space="preserve">2. Contexte et enjeu</w:t>
      </w:r>
    </w:p>
    <w:p>
      <w:pPr>
        <w:spacing w:after="80" w:line="280"/>
      </w:pPr>
      <w:r>
        <w:rPr>
          <w:rFonts w:ascii="Arial" w:cs="Arial" w:eastAsia="Arial" w:hAnsi="Arial"/>
          <w:b w:val="false"/>
          <w:bCs w:val="false"/>
          <w:color w:val="26353A"/>
          <w:sz w:val="19"/>
          <w:szCs w:val="19"/>
        </w:rPr>
        <w:t xml:space="preserve">La présence d'un artisan sur les réseaux personnels ou dans un salon permet une première rencontre, mais ne garantit pas une visibilité continue ni une manière structurée de recevoir des demandes. Certains ateliers ont besoin d'un appui pratique pour présenter leurs réalisations, décrire leur capacité, répondre à un client et maintenir leurs informations à jour. Un outil numérique peut compléter la formation, la formalisation, la promotion et les dispositifs d'accès aux marchés; il ne se substitue ni à ces services ni aux mécanismes publics d'accompagnement.</w:t>
      </w:r>
    </w:p>
    <w:p>
      <w:pPr>
        <w:spacing w:after="80" w:line="280"/>
      </w:pPr>
      <w:r>
        <w:rPr>
          <w:rFonts w:ascii="Arial" w:cs="Arial" w:eastAsia="Arial" w:hAnsi="Arial"/>
          <w:b w:val="false"/>
          <w:bCs w:val="false"/>
          <w:color w:val="26353A"/>
          <w:sz w:val="19"/>
          <w:szCs w:val="19"/>
        </w:rPr>
        <w:t xml:space="preserve">L'enjeu du pilote serait donc limité et mesurable : vérifier si des artisans accompagnés peuvent créer une présence numérique utile, si des clients trouvent une offre pertinente et si les demandes reçues donnent lieu à des réponses et à des mises en relation documentées. Les résultats devront être interprétés au regard de la taille de la cohorte, de la saisonnalité, de la mobilisation des acheteurs et du niveau d'assistance fourni.</w:t>
      </w:r>
    </w:p>
    <w:p>
      <w:pPr>
        <w:keepNext/>
        <w:shd w:fill="F1F6F4" w:val="clear"/>
        <w:spacing w:after="95" w:before="150"/>
      </w:pPr>
      <w:r>
        <w:rPr>
          <w:rFonts w:ascii="Arial" w:cs="Arial" w:eastAsia="Arial" w:hAnsi="Arial"/>
          <w:b/>
          <w:bCs/>
          <w:color w:val="203239"/>
          <w:sz w:val="30"/>
          <w:szCs w:val="30"/>
        </w:rPr>
        <w:t xml:space="preserve">3. Solution et parcours proposés</w:t>
      </w:r>
    </w:p>
    <w:p>
      <w:pPr>
        <w:spacing w:after="65" w:line="280"/>
        <w:ind w:left="300" w:hanging="180"/>
      </w:pPr>
      <w:r>
        <w:rPr>
          <w:rFonts w:ascii="Arial" w:cs="Arial" w:eastAsia="Arial" w:hAnsi="Arial"/>
          <w:b w:val="false"/>
          <w:bCs w:val="false"/>
          <w:color w:val="26353A"/>
          <w:sz w:val="19"/>
          <w:szCs w:val="19"/>
        </w:rPr>
        <w:t xml:space="preserve">•  Vitrine artisan : profil, localité, métier, boutique, produits, services et réalisations, sous réserve de validation des informations publiées.</w:t>
      </w:r>
    </w:p>
    <w:p>
      <w:pPr>
        <w:spacing w:after="65" w:line="280"/>
        <w:ind w:left="300" w:hanging="180"/>
      </w:pPr>
      <w:r>
        <w:rPr>
          <w:rFonts w:ascii="Arial" w:cs="Arial" w:eastAsia="Arial" w:hAnsi="Arial"/>
          <w:b w:val="false"/>
          <w:bCs w:val="false"/>
          <w:color w:val="26353A"/>
          <w:sz w:val="19"/>
          <w:szCs w:val="19"/>
        </w:rPr>
        <w:t xml:space="preserve">•  Recherche et demande : découverte par métier et territoire, consultation d'une offre, demande de devis et échange par messagerie ou WhatsApp.</w:t>
      </w:r>
    </w:p>
    <w:p>
      <w:pPr>
        <w:spacing w:after="65" w:line="280"/>
        <w:ind w:left="300" w:hanging="180"/>
      </w:pPr>
      <w:r>
        <w:rPr>
          <w:rFonts w:ascii="Arial" w:cs="Arial" w:eastAsia="Arial" w:hAnsi="Arial"/>
          <w:b w:val="false"/>
          <w:bCs w:val="false"/>
          <w:color w:val="26353A"/>
          <w:sz w:val="19"/>
          <w:szCs w:val="19"/>
        </w:rPr>
        <w:t xml:space="preserve">•  Besoin d'entreprise : brief avec organisation et quantité, revue par l'équipe, suggestions fondées sur les critères disponibles et sélection manuelle de 1 à 5 artisans avant transmission.</w:t>
      </w:r>
    </w:p>
    <w:p>
      <w:pPr>
        <w:spacing w:after="65" w:line="280"/>
        <w:ind w:left="300" w:hanging="180"/>
      </w:pPr>
      <w:r>
        <w:rPr>
          <w:rFonts w:ascii="Arial" w:cs="Arial" w:eastAsia="Arial" w:hAnsi="Arial"/>
          <w:b w:val="false"/>
          <w:bCs w:val="false"/>
          <w:color w:val="26353A"/>
          <w:sz w:val="19"/>
          <w:szCs w:val="19"/>
        </w:rPr>
        <w:t xml:space="preserve">•  Accompagnement : aide à l'inscription, à la prise en main, à la production de photos et à la rédaction d'offres, selon les moyens et le périmètre qui seront convenus.</w:t>
      </w:r>
    </w:p>
    <w:p>
      <w:pPr>
        <w:spacing w:after="65" w:line="280"/>
        <w:ind w:left="300" w:hanging="180"/>
      </w:pPr>
      <w:r>
        <w:rPr>
          <w:rFonts w:ascii="Arial" w:cs="Arial" w:eastAsia="Arial" w:hAnsi="Arial"/>
          <w:b w:val="false"/>
          <w:bCs w:val="false"/>
          <w:color w:val="26353A"/>
          <w:sz w:val="19"/>
          <w:szCs w:val="19"/>
        </w:rPr>
        <w:t xml:space="preserve">•  Suivi : observation des profils activés, offres réelles, demandes, réponses, délais et retours des parties; rapport agrégé, conformément aux finalités et autorisations convenues.</w:t>
      </w:r>
    </w:p>
    <w:p>
      <w:pPr>
        <w:spacing w:after="80" w:line="280"/>
      </w:pPr>
      <w:r>
        <w:rPr>
          <w:rFonts w:ascii="Arial" w:cs="Arial" w:eastAsia="Arial" w:hAnsi="Arial"/>
          <w:b w:val="false"/>
          <w:bCs w:val="false"/>
          <w:color w:val="26353A"/>
          <w:sz w:val="19"/>
          <w:szCs w:val="19"/>
        </w:rPr>
        <w:t xml:space="preserve">Le clic WhatsApp mesure une tentative de contact, non une vente. Les transactions conclues directement entre artisan et acheteur ne sont pas automatiquement vérifiables par la plateforme. Une vente déclarée, une commande initiée et un paiement effectivement encaissé par la plateforme doivent rester des mesures distinctes.</w:t>
      </w:r>
    </w:p>
    <w:p>
      <w:r>
        <w:br w:type="page"/>
      </w:r>
    </w:p>
    <w:p>
      <w:pPr>
        <w:keepNext/>
        <w:shd w:fill="F1F6F4" w:val="clear"/>
        <w:spacing w:after="95" w:before="150"/>
      </w:pPr>
      <w:r>
        <w:rPr>
          <w:rFonts w:ascii="Arial" w:cs="Arial" w:eastAsia="Arial" w:hAnsi="Arial"/>
          <w:b/>
          <w:bCs/>
          <w:color w:val="203239"/>
          <w:sz w:val="30"/>
          <w:szCs w:val="30"/>
        </w:rPr>
        <w:t xml:space="preserve">4. Objectifs et résultats à vérifier</w:t>
      </w:r>
    </w:p>
    <w:p>
      <w:pPr>
        <w:keepNext/>
        <w:spacing w:after="95" w:before="80"/>
      </w:pPr>
      <w:r>
        <w:rPr>
          <w:rFonts w:ascii="Arial" w:cs="Arial" w:eastAsia="Arial" w:hAnsi="Arial"/>
          <w:b/>
          <w:bCs/>
          <w:color w:val="176B5B"/>
          <w:sz w:val="24"/>
          <w:szCs w:val="24"/>
        </w:rPr>
        <w:t xml:space="preserve">Objectif général</w:t>
      </w:r>
    </w:p>
    <w:p>
      <w:pPr>
        <w:spacing w:after="80" w:line="280"/>
      </w:pPr>
      <w:r>
        <w:rPr>
          <w:rFonts w:ascii="Arial" w:cs="Arial" w:eastAsia="Arial" w:hAnsi="Arial"/>
          <w:b w:val="false"/>
          <w:bCs w:val="false"/>
          <w:color w:val="26353A"/>
          <w:sz w:val="19"/>
          <w:szCs w:val="19"/>
        </w:rPr>
        <w:t xml:space="preserve">Évaluer, à petite échelle et avec un accompagnement défini, si ArtisanConnect peut compléter les actions d'appui aux artisans par une vitrine numérique et un mécanisme traçable de mise en relation avec des clients particuliers et professionnels.</w:t>
      </w:r>
    </w:p>
    <w:p>
      <w:pPr>
        <w:keepNext/>
        <w:spacing w:after="95" w:before="80"/>
      </w:pPr>
      <w:r>
        <w:rPr>
          <w:rFonts w:ascii="Arial" w:cs="Arial" w:eastAsia="Arial" w:hAnsi="Arial"/>
          <w:b/>
          <w:bCs/>
          <w:color w:val="176B5B"/>
          <w:sz w:val="24"/>
          <w:szCs w:val="24"/>
        </w:rPr>
        <w:t xml:space="preserve">Résultats attendus du test terrain</w:t>
      </w:r>
    </w:p>
    <w:p>
      <w:pPr>
        <w:spacing w:after="65" w:line="280"/>
        <w:ind w:left="300" w:hanging="180"/>
      </w:pPr>
      <w:r>
        <w:rPr>
          <w:rFonts w:ascii="Arial" w:cs="Arial" w:eastAsia="Arial" w:hAnsi="Arial"/>
          <w:b w:val="false"/>
          <w:bCs w:val="false"/>
          <w:color w:val="26353A"/>
          <w:sz w:val="19"/>
          <w:szCs w:val="19"/>
        </w:rPr>
        <w:t xml:space="preserve">•  les participants peuvent compléter un profil et publier au moins une offre vérifiée avec leur accord ;</w:t>
      </w:r>
    </w:p>
    <w:p>
      <w:pPr>
        <w:spacing w:after="65" w:line="280"/>
        <w:ind w:left="300" w:hanging="180"/>
      </w:pPr>
      <w:r>
        <w:rPr>
          <w:rFonts w:ascii="Arial" w:cs="Arial" w:eastAsia="Arial" w:hAnsi="Arial"/>
          <w:b w:val="false"/>
          <w:bCs w:val="false"/>
          <w:color w:val="26353A"/>
          <w:sz w:val="19"/>
          <w:szCs w:val="19"/>
        </w:rPr>
        <w:t xml:space="preserve">•  le représentant et les artisans terminent les parcours prioritaires sur téléphone sans blocage critique ;</w:t>
      </w:r>
    </w:p>
    <w:p>
      <w:pPr>
        <w:spacing w:after="65" w:line="280"/>
        <w:ind w:left="300" w:hanging="180"/>
      </w:pPr>
      <w:r>
        <w:rPr>
          <w:rFonts w:ascii="Arial" w:cs="Arial" w:eastAsia="Arial" w:hAnsi="Arial"/>
          <w:b w:val="false"/>
          <w:bCs w:val="false"/>
          <w:color w:val="26353A"/>
          <w:sz w:val="19"/>
          <w:szCs w:val="19"/>
        </w:rPr>
        <w:t xml:space="preserve">•  les premières demandes, réponses et difficultés d'usage sont consignées ;</w:t>
      </w:r>
    </w:p>
    <w:p>
      <w:pPr>
        <w:spacing w:after="65" w:line="280"/>
        <w:ind w:left="300" w:hanging="180"/>
      </w:pPr>
      <w:r>
        <w:rPr>
          <w:rFonts w:ascii="Arial" w:cs="Arial" w:eastAsia="Arial" w:hAnsi="Arial"/>
          <w:b w:val="false"/>
          <w:bCs w:val="false"/>
          <w:color w:val="26353A"/>
          <w:sz w:val="19"/>
          <w:szCs w:val="19"/>
        </w:rPr>
        <w:t xml:space="preserve">•  les besoins de formation, d'assistance et d'amélioration sont documentés avant toute décision d'élargissement.</w:t>
      </w:r>
    </w:p>
    <w:p>
      <w:pPr>
        <w:keepNext/>
        <w:spacing w:after="95" w:before="80"/>
      </w:pPr>
      <w:r>
        <w:rPr>
          <w:rFonts w:ascii="Arial" w:cs="Arial" w:eastAsia="Arial" w:hAnsi="Arial"/>
          <w:b/>
          <w:bCs/>
          <w:color w:val="176B5B"/>
          <w:sz w:val="24"/>
          <w:szCs w:val="24"/>
        </w:rPr>
        <w:t xml:space="preserve">Indicateurs à convenir</w:t>
      </w:r>
    </w:p>
    <w:p>
      <w:pPr>
        <w:spacing w:after="80" w:line="280"/>
      </w:pPr>
      <w:r>
        <w:rPr>
          <w:rFonts w:ascii="Arial" w:cs="Arial" w:eastAsia="Arial" w:hAnsi="Arial"/>
          <w:b w:val="false"/>
          <w:bCs w:val="false"/>
          <w:color w:val="26353A"/>
          <w:sz w:val="19"/>
          <w:szCs w:val="19"/>
        </w:rPr>
        <w:t xml:space="preserve">Les définitions, la période d'observation et la source de chaque indicateur seront fixées avec le partenaire avant le démarrage.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00"/>
        <w:gridCol w:w="7100"/>
      </w:tblGrid>
      <w:tr>
        <w:trPr>
          <w:cantSplit/>
        </w:trPr>
        <w:tc>
          <w:tcPr>
            <w:tcW w:type="dxa" w:w="2900"/>
            <w:tcBorders>
              <w:top w:val="single" w:color="D7E0DD" w:sz="4"/>
              <w:left w:val="single" w:color="D7E0DD" w:sz="4"/>
              <w:bottom w:val="single" w:color="D7E0DD" w:sz="4"/>
              <w:right w:val="single" w:color="D7E0DD" w:sz="4"/>
            </w:tcBorders>
            <w:shd w:fill="203239" w:val="clear"/>
            <w:tcMar>
              <w:top w:type="dxa" w:w="90"/>
              <w:left w:type="dxa" w:w="100"/>
              <w:bottom w:type="dxa" w:w="90"/>
              <w:right w:type="dxa" w:w="100"/>
            </w:tcMar>
          </w:tcPr>
          <w:p>
            <w:pPr>
              <w:spacing w:after="0"/>
            </w:pPr>
            <w:r>
              <w:rPr>
                <w:rFonts w:ascii="Arial" w:cs="Arial" w:eastAsia="Arial" w:hAnsi="Arial"/>
                <w:b/>
                <w:bCs/>
                <w:color w:val="FFFFFF"/>
                <w:sz w:val="18"/>
                <w:szCs w:val="18"/>
              </w:rPr>
              <w:t xml:space="preserve">Indicateur</w:t>
            </w:r>
          </w:p>
        </w:tc>
        <w:tc>
          <w:tcPr>
            <w:tcW w:type="dxa" w:w="7100"/>
            <w:tcBorders>
              <w:top w:val="single" w:color="D7E0DD" w:sz="4"/>
              <w:left w:val="single" w:color="D7E0DD" w:sz="4"/>
              <w:bottom w:val="single" w:color="D7E0DD" w:sz="4"/>
              <w:right w:val="single" w:color="D7E0DD" w:sz="4"/>
            </w:tcBorders>
            <w:shd w:fill="203239" w:val="clear"/>
            <w:tcMar>
              <w:top w:type="dxa" w:w="90"/>
              <w:left w:type="dxa" w:w="100"/>
              <w:bottom w:type="dxa" w:w="90"/>
              <w:right w:type="dxa" w:w="100"/>
            </w:tcMar>
          </w:tcPr>
          <w:p>
            <w:pPr>
              <w:spacing w:after="0"/>
            </w:pPr>
            <w:r>
              <w:rPr>
                <w:rFonts w:ascii="Arial" w:cs="Arial" w:eastAsia="Arial" w:hAnsi="Arial"/>
                <w:b/>
                <w:bCs/>
                <w:color w:val="FFFFFF"/>
                <w:sz w:val="18"/>
                <w:szCs w:val="18"/>
              </w:rPr>
              <w:t xml:space="preserve">Définition de suivi</w:t>
            </w:r>
          </w:p>
        </w:tc>
      </w:tr>
      <w:tr>
        <w:trPr>
          <w:cantSplit/>
        </w:trPr>
        <w:tc>
          <w:tcPr>
            <w:tcW w:type="dxa" w:w="2900"/>
            <w:tcBorders>
              <w:top w:val="single" w:color="D7E0DD" w:sz="4"/>
              <w:left w:val="single" w:color="D7E0DD" w:sz="4"/>
              <w:bottom w:val="single" w:color="D7E0DD" w:sz="4"/>
              <w:right w:val="single" w:color="D7E0DD" w:sz="4"/>
            </w:tcBorders>
            <w:shd w:fill="FFFFFF" w:val="clear"/>
            <w:tcMar>
              <w:top w:type="dxa" w:w="90"/>
              <w:left w:type="dxa" w:w="100"/>
              <w:bottom w:type="dxa" w:w="90"/>
              <w:right w:type="dxa" w:w="100"/>
            </w:tcMar>
          </w:tcPr>
          <w:p>
            <w:pPr>
              <w:spacing w:after="0"/>
            </w:pPr>
            <w:r>
              <w:rPr>
                <w:rFonts w:ascii="Arial" w:cs="Arial" w:eastAsia="Arial" w:hAnsi="Arial"/>
                <w:b w:val="false"/>
                <w:bCs w:val="false"/>
                <w:color w:val="26353A"/>
                <w:sz w:val="18"/>
                <w:szCs w:val="18"/>
              </w:rPr>
              <w:t xml:space="preserve">Artisans inscrits</w:t>
            </w:r>
          </w:p>
        </w:tc>
        <w:tc>
          <w:tcPr>
            <w:tcW w:type="dxa" w:w="7100"/>
            <w:tcBorders>
              <w:top w:val="single" w:color="D7E0DD" w:sz="4"/>
              <w:left w:val="single" w:color="D7E0DD" w:sz="4"/>
              <w:bottom w:val="single" w:color="D7E0DD" w:sz="4"/>
              <w:right w:val="single" w:color="D7E0DD" w:sz="4"/>
            </w:tcBorders>
            <w:shd w:fill="FFFFFF" w:val="clear"/>
            <w:tcMar>
              <w:top w:type="dxa" w:w="90"/>
              <w:left w:type="dxa" w:w="100"/>
              <w:bottom w:type="dxa" w:w="90"/>
              <w:right w:type="dxa" w:w="100"/>
            </w:tcMar>
          </w:tcPr>
          <w:p>
            <w:pPr>
              <w:spacing w:after="0"/>
            </w:pPr>
            <w:r>
              <w:rPr>
                <w:rFonts w:ascii="Arial" w:cs="Arial" w:eastAsia="Arial" w:hAnsi="Arial"/>
                <w:b w:val="false"/>
                <w:bCs w:val="false"/>
                <w:color w:val="26353A"/>
                <w:sz w:val="18"/>
                <w:szCs w:val="18"/>
              </w:rPr>
              <w:t xml:space="preserve">Comptes créés; ce chiffre seul ne signifie pas qu'une offre est opérationnelle</w:t>
            </w:r>
          </w:p>
        </w:tc>
      </w:tr>
      <w:tr>
        <w:trPr>
          <w:cantSplit/>
        </w:trPr>
        <w:tc>
          <w:tcPr>
            <w:tcW w:type="dxa" w:w="2900"/>
            <w:tcBorders>
              <w:top w:val="single" w:color="D7E0DD" w:sz="4"/>
              <w:left w:val="single" w:color="D7E0DD" w:sz="4"/>
              <w:bottom w:val="single" w:color="D7E0DD" w:sz="4"/>
              <w:right w:val="single" w:color="D7E0DD" w:sz="4"/>
            </w:tcBorders>
            <w:shd w:fill="F1F6F4" w:val="clear"/>
            <w:tcMar>
              <w:top w:type="dxa" w:w="90"/>
              <w:left w:type="dxa" w:w="100"/>
              <w:bottom w:type="dxa" w:w="90"/>
              <w:right w:type="dxa" w:w="100"/>
            </w:tcMar>
          </w:tcPr>
          <w:p>
            <w:pPr>
              <w:spacing w:after="0"/>
            </w:pPr>
            <w:r>
              <w:rPr>
                <w:rFonts w:ascii="Arial" w:cs="Arial" w:eastAsia="Arial" w:hAnsi="Arial"/>
                <w:b w:val="false"/>
                <w:bCs w:val="false"/>
                <w:color w:val="26353A"/>
                <w:sz w:val="18"/>
                <w:szCs w:val="18"/>
              </w:rPr>
              <w:t xml:space="preserve">Profils activés</w:t>
            </w:r>
          </w:p>
        </w:tc>
        <w:tc>
          <w:tcPr>
            <w:tcW w:type="dxa" w:w="7100"/>
            <w:tcBorders>
              <w:top w:val="single" w:color="D7E0DD" w:sz="4"/>
              <w:left w:val="single" w:color="D7E0DD" w:sz="4"/>
              <w:bottom w:val="single" w:color="D7E0DD" w:sz="4"/>
              <w:right w:val="single" w:color="D7E0DD" w:sz="4"/>
            </w:tcBorders>
            <w:shd w:fill="F1F6F4" w:val="clear"/>
            <w:tcMar>
              <w:top w:type="dxa" w:w="90"/>
              <w:left w:type="dxa" w:w="100"/>
              <w:bottom w:type="dxa" w:w="90"/>
              <w:right w:type="dxa" w:w="100"/>
            </w:tcMar>
          </w:tcPr>
          <w:p>
            <w:pPr>
              <w:spacing w:after="0"/>
            </w:pPr>
            <w:r>
              <w:rPr>
                <w:rFonts w:ascii="Arial" w:cs="Arial" w:eastAsia="Arial" w:hAnsi="Arial"/>
                <w:b w:val="false"/>
                <w:bCs w:val="false"/>
                <w:color w:val="26353A"/>
                <w:sz w:val="18"/>
                <w:szCs w:val="18"/>
              </w:rPr>
              <w:t xml:space="preserve">Boutique validée et informations minimales confirmées</w:t>
            </w:r>
          </w:p>
        </w:tc>
      </w:tr>
      <w:tr>
        <w:trPr>
          <w:cantSplit/>
        </w:trPr>
        <w:tc>
          <w:tcPr>
            <w:tcW w:type="dxa" w:w="2900"/>
            <w:tcBorders>
              <w:top w:val="single" w:color="D7E0DD" w:sz="4"/>
              <w:left w:val="single" w:color="D7E0DD" w:sz="4"/>
              <w:bottom w:val="single" w:color="D7E0DD" w:sz="4"/>
              <w:right w:val="single" w:color="D7E0DD" w:sz="4"/>
            </w:tcBorders>
            <w:shd w:fill="FFFFFF" w:val="clear"/>
            <w:tcMar>
              <w:top w:type="dxa" w:w="90"/>
              <w:left w:type="dxa" w:w="100"/>
              <w:bottom w:type="dxa" w:w="90"/>
              <w:right w:type="dxa" w:w="100"/>
            </w:tcMar>
          </w:tcPr>
          <w:p>
            <w:pPr>
              <w:spacing w:after="0"/>
            </w:pPr>
            <w:r>
              <w:rPr>
                <w:rFonts w:ascii="Arial" w:cs="Arial" w:eastAsia="Arial" w:hAnsi="Arial"/>
                <w:b w:val="false"/>
                <w:bCs w:val="false"/>
                <w:color w:val="26353A"/>
                <w:sz w:val="18"/>
                <w:szCs w:val="18"/>
              </w:rPr>
              <w:t xml:space="preserve">Offres réelles publiées</w:t>
            </w:r>
          </w:p>
        </w:tc>
        <w:tc>
          <w:tcPr>
            <w:tcW w:type="dxa" w:w="7100"/>
            <w:tcBorders>
              <w:top w:val="single" w:color="D7E0DD" w:sz="4"/>
              <w:left w:val="single" w:color="D7E0DD" w:sz="4"/>
              <w:bottom w:val="single" w:color="D7E0DD" w:sz="4"/>
              <w:right w:val="single" w:color="D7E0DD" w:sz="4"/>
            </w:tcBorders>
            <w:shd w:fill="FFFFFF" w:val="clear"/>
            <w:tcMar>
              <w:top w:type="dxa" w:w="90"/>
              <w:left w:type="dxa" w:w="100"/>
              <w:bottom w:type="dxa" w:w="90"/>
              <w:right w:type="dxa" w:w="100"/>
            </w:tcMar>
          </w:tcPr>
          <w:p>
            <w:pPr>
              <w:spacing w:after="0"/>
            </w:pPr>
            <w:r>
              <w:rPr>
                <w:rFonts w:ascii="Arial" w:cs="Arial" w:eastAsia="Arial" w:hAnsi="Arial"/>
                <w:b w:val="false"/>
                <w:bCs w:val="false"/>
                <w:color w:val="26353A"/>
                <w:sz w:val="18"/>
                <w:szCs w:val="18"/>
              </w:rPr>
              <w:t xml:space="preserve">Produit ou service vérifié, actif et non démonstratif</w:t>
            </w:r>
          </w:p>
        </w:tc>
      </w:tr>
      <w:tr>
        <w:trPr>
          <w:cantSplit/>
        </w:trPr>
        <w:tc>
          <w:tcPr>
            <w:tcW w:type="dxa" w:w="2900"/>
            <w:tcBorders>
              <w:top w:val="single" w:color="D7E0DD" w:sz="4"/>
              <w:left w:val="single" w:color="D7E0DD" w:sz="4"/>
              <w:bottom w:val="single" w:color="D7E0DD" w:sz="4"/>
              <w:right w:val="single" w:color="D7E0DD" w:sz="4"/>
            </w:tcBorders>
            <w:shd w:fill="F1F6F4" w:val="clear"/>
            <w:tcMar>
              <w:top w:type="dxa" w:w="90"/>
              <w:left w:type="dxa" w:w="100"/>
              <w:bottom w:type="dxa" w:w="90"/>
              <w:right w:type="dxa" w:w="100"/>
            </w:tcMar>
          </w:tcPr>
          <w:p>
            <w:pPr>
              <w:spacing w:after="0"/>
            </w:pPr>
            <w:r>
              <w:rPr>
                <w:rFonts w:ascii="Arial" w:cs="Arial" w:eastAsia="Arial" w:hAnsi="Arial"/>
                <w:b w:val="false"/>
                <w:bCs w:val="false"/>
                <w:color w:val="26353A"/>
                <w:sz w:val="18"/>
                <w:szCs w:val="18"/>
              </w:rPr>
              <w:t xml:space="preserve">Demandes reçues / réponses</w:t>
            </w:r>
          </w:p>
        </w:tc>
        <w:tc>
          <w:tcPr>
            <w:tcW w:type="dxa" w:w="7100"/>
            <w:tcBorders>
              <w:top w:val="single" w:color="D7E0DD" w:sz="4"/>
              <w:left w:val="single" w:color="D7E0DD" w:sz="4"/>
              <w:bottom w:val="single" w:color="D7E0DD" w:sz="4"/>
              <w:right w:val="single" w:color="D7E0DD" w:sz="4"/>
            </w:tcBorders>
            <w:shd w:fill="F1F6F4" w:val="clear"/>
            <w:tcMar>
              <w:top w:type="dxa" w:w="90"/>
              <w:left w:type="dxa" w:w="100"/>
              <w:bottom w:type="dxa" w:w="90"/>
              <w:right w:type="dxa" w:w="100"/>
            </w:tcMar>
          </w:tcPr>
          <w:p>
            <w:pPr>
              <w:spacing w:after="0"/>
            </w:pPr>
            <w:r>
              <w:rPr>
                <w:rFonts w:ascii="Arial" w:cs="Arial" w:eastAsia="Arial" w:hAnsi="Arial"/>
                <w:b w:val="false"/>
                <w:bCs w:val="false"/>
                <w:color w:val="26353A"/>
                <w:sz w:val="18"/>
                <w:szCs w:val="18"/>
              </w:rPr>
              <w:t xml:space="preserve">Évènements de demande et réponse enregistrés dans le parcours plateforme</w:t>
            </w:r>
          </w:p>
        </w:tc>
      </w:tr>
      <w:tr>
        <w:trPr>
          <w:cantSplit/>
        </w:trPr>
        <w:tc>
          <w:tcPr>
            <w:tcW w:type="dxa" w:w="2900"/>
            <w:tcBorders>
              <w:top w:val="single" w:color="D7E0DD" w:sz="4"/>
              <w:left w:val="single" w:color="D7E0DD" w:sz="4"/>
              <w:bottom w:val="single" w:color="D7E0DD" w:sz="4"/>
              <w:right w:val="single" w:color="D7E0DD" w:sz="4"/>
            </w:tcBorders>
            <w:shd w:fill="FFFFFF" w:val="clear"/>
            <w:tcMar>
              <w:top w:type="dxa" w:w="90"/>
              <w:left w:type="dxa" w:w="100"/>
              <w:bottom w:type="dxa" w:w="90"/>
              <w:right w:type="dxa" w:w="100"/>
            </w:tcMar>
          </w:tcPr>
          <w:p>
            <w:pPr>
              <w:spacing w:after="0"/>
            </w:pPr>
            <w:r>
              <w:rPr>
                <w:rFonts w:ascii="Arial" w:cs="Arial" w:eastAsia="Arial" w:hAnsi="Arial"/>
                <w:b w:val="false"/>
                <w:bCs w:val="false"/>
                <w:color w:val="26353A"/>
                <w:sz w:val="18"/>
                <w:szCs w:val="18"/>
              </w:rPr>
              <w:t xml:space="preserve">Mises en relation</w:t>
            </w:r>
          </w:p>
        </w:tc>
        <w:tc>
          <w:tcPr>
            <w:tcW w:type="dxa" w:w="7100"/>
            <w:tcBorders>
              <w:top w:val="single" w:color="D7E0DD" w:sz="4"/>
              <w:left w:val="single" w:color="D7E0DD" w:sz="4"/>
              <w:bottom w:val="single" w:color="D7E0DD" w:sz="4"/>
              <w:right w:val="single" w:color="D7E0DD" w:sz="4"/>
            </w:tcBorders>
            <w:shd w:fill="FFFFFF" w:val="clear"/>
            <w:tcMar>
              <w:top w:type="dxa" w:w="90"/>
              <w:left w:type="dxa" w:w="100"/>
              <w:bottom w:type="dxa" w:w="90"/>
              <w:right w:type="dxa" w:w="100"/>
            </w:tcMar>
          </w:tcPr>
          <w:p>
            <w:pPr>
              <w:spacing w:after="0"/>
            </w:pPr>
            <w:r>
              <w:rPr>
                <w:rFonts w:ascii="Arial" w:cs="Arial" w:eastAsia="Arial" w:hAnsi="Arial"/>
                <w:b w:val="false"/>
                <w:bCs w:val="false"/>
                <w:color w:val="26353A"/>
                <w:sz w:val="18"/>
                <w:szCs w:val="18"/>
              </w:rPr>
              <w:t xml:space="preserve">Brief transmis ou contact WhatsApp initié; à ne pas assimiler à une vente</w:t>
            </w:r>
          </w:p>
        </w:tc>
      </w:tr>
      <w:tr>
        <w:trPr>
          <w:cantSplit/>
        </w:trPr>
        <w:tc>
          <w:tcPr>
            <w:tcW w:type="dxa" w:w="2900"/>
            <w:tcBorders>
              <w:top w:val="single" w:color="D7E0DD" w:sz="4"/>
              <w:left w:val="single" w:color="D7E0DD" w:sz="4"/>
              <w:bottom w:val="single" w:color="D7E0DD" w:sz="4"/>
              <w:right w:val="single" w:color="D7E0DD" w:sz="4"/>
            </w:tcBorders>
            <w:shd w:fill="F1F6F4" w:val="clear"/>
            <w:tcMar>
              <w:top w:type="dxa" w:w="90"/>
              <w:left w:type="dxa" w:w="100"/>
              <w:bottom w:type="dxa" w:w="90"/>
              <w:right w:type="dxa" w:w="100"/>
            </w:tcMar>
          </w:tcPr>
          <w:p>
            <w:pPr>
              <w:spacing w:after="0"/>
            </w:pPr>
            <w:r>
              <w:rPr>
                <w:rFonts w:ascii="Arial" w:cs="Arial" w:eastAsia="Arial" w:hAnsi="Arial"/>
                <w:b w:val="false"/>
                <w:bCs w:val="false"/>
                <w:color w:val="26353A"/>
                <w:sz w:val="18"/>
                <w:szCs w:val="18"/>
              </w:rPr>
              <w:t xml:space="preserve">Issues commerciales déclarées</w:t>
            </w:r>
          </w:p>
        </w:tc>
        <w:tc>
          <w:tcPr>
            <w:tcW w:type="dxa" w:w="7100"/>
            <w:tcBorders>
              <w:top w:val="single" w:color="D7E0DD" w:sz="4"/>
              <w:left w:val="single" w:color="D7E0DD" w:sz="4"/>
              <w:bottom w:val="single" w:color="D7E0DD" w:sz="4"/>
              <w:right w:val="single" w:color="D7E0DD" w:sz="4"/>
            </w:tcBorders>
            <w:shd w:fill="F1F6F4" w:val="clear"/>
            <w:tcMar>
              <w:top w:type="dxa" w:w="90"/>
              <w:left w:type="dxa" w:w="100"/>
              <w:bottom w:type="dxa" w:w="90"/>
              <w:right w:type="dxa" w:w="100"/>
            </w:tcMar>
          </w:tcPr>
          <w:p>
            <w:pPr>
              <w:spacing w:after="0"/>
            </w:pPr>
            <w:r>
              <w:rPr>
                <w:rFonts w:ascii="Arial" w:cs="Arial" w:eastAsia="Arial" w:hAnsi="Arial"/>
                <w:b w:val="false"/>
                <w:bCs w:val="false"/>
                <w:color w:val="26353A"/>
                <w:sz w:val="18"/>
                <w:szCs w:val="18"/>
              </w:rPr>
              <w:t xml:space="preserve">Retour volontaire du client ou de l'artisan, distinct d'une vente vérifiée</w:t>
            </w:r>
          </w:p>
        </w:tc>
      </w:tr>
      <w:tr>
        <w:trPr>
          <w:cantSplit/>
        </w:trPr>
        <w:tc>
          <w:tcPr>
            <w:tcW w:type="dxa" w:w="2900"/>
            <w:tcBorders>
              <w:top w:val="single" w:color="D7E0DD" w:sz="4"/>
              <w:left w:val="single" w:color="D7E0DD" w:sz="4"/>
              <w:bottom w:val="single" w:color="D7E0DD" w:sz="4"/>
              <w:right w:val="single" w:color="D7E0DD" w:sz="4"/>
            </w:tcBorders>
            <w:shd w:fill="FFFFFF" w:val="clear"/>
            <w:tcMar>
              <w:top w:type="dxa" w:w="90"/>
              <w:left w:type="dxa" w:w="100"/>
              <w:bottom w:type="dxa" w:w="90"/>
              <w:right w:type="dxa" w:w="100"/>
            </w:tcMar>
          </w:tcPr>
          <w:p>
            <w:pPr>
              <w:spacing w:after="0"/>
            </w:pPr>
            <w:r>
              <w:rPr>
                <w:rFonts w:ascii="Arial" w:cs="Arial" w:eastAsia="Arial" w:hAnsi="Arial"/>
                <w:b w:val="false"/>
                <w:bCs w:val="false"/>
                <w:color w:val="26353A"/>
                <w:sz w:val="18"/>
                <w:szCs w:val="18"/>
              </w:rPr>
              <w:t xml:space="preserve">Satisfaction et délai de réponse</w:t>
            </w:r>
          </w:p>
        </w:tc>
        <w:tc>
          <w:tcPr>
            <w:tcW w:type="dxa" w:w="7100"/>
            <w:tcBorders>
              <w:top w:val="single" w:color="D7E0DD" w:sz="4"/>
              <w:left w:val="single" w:color="D7E0DD" w:sz="4"/>
              <w:bottom w:val="single" w:color="D7E0DD" w:sz="4"/>
              <w:right w:val="single" w:color="D7E0DD" w:sz="4"/>
            </w:tcBorders>
            <w:shd w:fill="FFFFFF" w:val="clear"/>
            <w:tcMar>
              <w:top w:type="dxa" w:w="90"/>
              <w:left w:type="dxa" w:w="100"/>
              <w:bottom w:type="dxa" w:w="90"/>
              <w:right w:type="dxa" w:w="100"/>
            </w:tcMar>
          </w:tcPr>
          <w:p>
            <w:pPr>
              <w:spacing w:after="0"/>
            </w:pPr>
            <w:r>
              <w:rPr>
                <w:rFonts w:ascii="Arial" w:cs="Arial" w:eastAsia="Arial" w:hAnsi="Arial"/>
                <w:b w:val="false"/>
                <w:bCs w:val="false"/>
                <w:color w:val="26353A"/>
                <w:sz w:val="18"/>
                <w:szCs w:val="18"/>
              </w:rPr>
              <w:t xml:space="preserve">Mesurés selon un protocole convenu et une période définie</w:t>
            </w:r>
          </w:p>
        </w:tc>
      </w:tr>
    </w:tbl>
    <w:p>
      <w:pPr>
        <w:keepNext/>
        <w:shd w:fill="F1F6F4" w:val="clear"/>
        <w:spacing w:after="95" w:before="150"/>
      </w:pPr>
      <w:r>
        <w:rPr>
          <w:rFonts w:ascii="Arial" w:cs="Arial" w:eastAsia="Arial" w:hAnsi="Arial"/>
          <w:b/>
          <w:bCs/>
          <w:color w:val="203239"/>
          <w:sz w:val="30"/>
          <w:szCs w:val="30"/>
        </w:rPr>
        <w:t xml:space="preserve">5. Déroulement progressif proposé</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00"/>
        <w:gridCol w:w="4000"/>
        <w:gridCol w:w="3300"/>
      </w:tblGrid>
      <w:tr>
        <w:trPr>
          <w:cantSplit/>
        </w:trPr>
        <w:tc>
          <w:tcPr>
            <w:tcW w:type="dxa" w:w="2700"/>
            <w:tcBorders>
              <w:top w:val="single" w:color="D7E0DD" w:sz="4"/>
              <w:left w:val="single" w:color="D7E0DD" w:sz="4"/>
              <w:bottom w:val="single" w:color="D7E0DD" w:sz="4"/>
              <w:right w:val="single" w:color="D7E0DD" w:sz="4"/>
            </w:tcBorders>
            <w:shd w:fill="203239" w:val="clear"/>
            <w:tcMar>
              <w:top w:type="dxa" w:w="90"/>
              <w:left w:type="dxa" w:w="100"/>
              <w:bottom w:type="dxa" w:w="90"/>
              <w:right w:type="dxa" w:w="100"/>
            </w:tcMar>
          </w:tcPr>
          <w:p>
            <w:pPr>
              <w:spacing w:after="0"/>
            </w:pPr>
            <w:r>
              <w:rPr>
                <w:rFonts w:ascii="Arial" w:cs="Arial" w:eastAsia="Arial" w:hAnsi="Arial"/>
                <w:b/>
                <w:bCs/>
                <w:color w:val="FFFFFF"/>
                <w:sz w:val="18"/>
                <w:szCs w:val="18"/>
              </w:rPr>
              <w:t xml:space="preserve">Étape indicative</w:t>
            </w:r>
          </w:p>
        </w:tc>
        <w:tc>
          <w:tcPr>
            <w:tcW w:type="dxa" w:w="4000"/>
            <w:tcBorders>
              <w:top w:val="single" w:color="D7E0DD" w:sz="4"/>
              <w:left w:val="single" w:color="D7E0DD" w:sz="4"/>
              <w:bottom w:val="single" w:color="D7E0DD" w:sz="4"/>
              <w:right w:val="single" w:color="D7E0DD" w:sz="4"/>
            </w:tcBorders>
            <w:shd w:fill="203239" w:val="clear"/>
            <w:tcMar>
              <w:top w:type="dxa" w:w="90"/>
              <w:left w:type="dxa" w:w="100"/>
              <w:bottom w:type="dxa" w:w="90"/>
              <w:right w:type="dxa" w:w="100"/>
            </w:tcMar>
          </w:tcPr>
          <w:p>
            <w:pPr>
              <w:spacing w:after="0"/>
            </w:pPr>
            <w:r>
              <w:rPr>
                <w:rFonts w:ascii="Arial" w:cs="Arial" w:eastAsia="Arial" w:hAnsi="Arial"/>
                <w:b/>
                <w:bCs/>
                <w:color w:val="FFFFFF"/>
                <w:sz w:val="18"/>
                <w:szCs w:val="18"/>
              </w:rPr>
              <w:t xml:space="preserve">Périmètre de discussion</w:t>
            </w:r>
          </w:p>
        </w:tc>
        <w:tc>
          <w:tcPr>
            <w:tcW w:type="dxa" w:w="3300"/>
            <w:tcBorders>
              <w:top w:val="single" w:color="D7E0DD" w:sz="4"/>
              <w:left w:val="single" w:color="D7E0DD" w:sz="4"/>
              <w:bottom w:val="single" w:color="D7E0DD" w:sz="4"/>
              <w:right w:val="single" w:color="D7E0DD" w:sz="4"/>
            </w:tcBorders>
            <w:shd w:fill="203239" w:val="clear"/>
            <w:tcMar>
              <w:top w:type="dxa" w:w="90"/>
              <w:left w:type="dxa" w:w="100"/>
              <w:bottom w:type="dxa" w:w="90"/>
              <w:right w:type="dxa" w:w="100"/>
            </w:tcMar>
          </w:tcPr>
          <w:p>
            <w:pPr>
              <w:spacing w:after="0"/>
            </w:pPr>
            <w:r>
              <w:rPr>
                <w:rFonts w:ascii="Arial" w:cs="Arial" w:eastAsia="Arial" w:hAnsi="Arial"/>
                <w:b/>
                <w:bCs/>
                <w:color w:val="FFFFFF"/>
                <w:sz w:val="18"/>
                <w:szCs w:val="18"/>
              </w:rPr>
              <w:t xml:space="preserve">Condition de passage</w:t>
            </w:r>
          </w:p>
        </w:tc>
      </w:tr>
      <w:tr>
        <w:trPr>
          <w:cantSplit/>
        </w:trPr>
        <w:tc>
          <w:tcPr>
            <w:tcW w:type="dxa" w:w="2700"/>
            <w:tcBorders>
              <w:top w:val="single" w:color="D7E0DD" w:sz="4"/>
              <w:left w:val="single" w:color="D7E0DD" w:sz="4"/>
              <w:bottom w:val="single" w:color="D7E0DD" w:sz="4"/>
              <w:right w:val="single" w:color="D7E0DD" w:sz="4"/>
            </w:tcBorders>
            <w:shd w:fill="FFFFFF" w:val="clear"/>
            <w:tcMar>
              <w:top w:type="dxa" w:w="90"/>
              <w:left w:type="dxa" w:w="100"/>
              <w:bottom w:type="dxa" w:w="90"/>
              <w:right w:type="dxa" w:w="100"/>
            </w:tcMar>
          </w:tcPr>
          <w:p>
            <w:pPr>
              <w:spacing w:after="0"/>
            </w:pPr>
            <w:r>
              <w:rPr>
                <w:rFonts w:ascii="Arial" w:cs="Arial" w:eastAsia="Arial" w:hAnsi="Arial"/>
                <w:b w:val="false"/>
                <w:bCs w:val="false"/>
                <w:color w:val="26353A"/>
                <w:sz w:val="18"/>
                <w:szCs w:val="18"/>
              </w:rPr>
              <w:t xml:space="preserve">Cadrage et test</w:t>
            </w:r>
          </w:p>
        </w:tc>
        <w:tc>
          <w:tcPr>
            <w:tcW w:type="dxa" w:w="4000"/>
            <w:tcBorders>
              <w:top w:val="single" w:color="D7E0DD" w:sz="4"/>
              <w:left w:val="single" w:color="D7E0DD" w:sz="4"/>
              <w:bottom w:val="single" w:color="D7E0DD" w:sz="4"/>
              <w:right w:val="single" w:color="D7E0DD" w:sz="4"/>
            </w:tcBorders>
            <w:shd w:fill="FFFFFF" w:val="clear"/>
            <w:tcMar>
              <w:top w:type="dxa" w:w="90"/>
              <w:left w:type="dxa" w:w="100"/>
              <w:bottom w:type="dxa" w:w="90"/>
              <w:right w:type="dxa" w:w="100"/>
            </w:tcMar>
          </w:tcPr>
          <w:p>
            <w:pPr>
              <w:spacing w:after="0"/>
            </w:pPr>
            <w:r>
              <w:rPr>
                <w:rFonts w:ascii="Arial" w:cs="Arial" w:eastAsia="Arial" w:hAnsi="Arial"/>
                <w:b w:val="false"/>
                <w:bCs w:val="false"/>
                <w:color w:val="26353A"/>
                <w:sz w:val="18"/>
                <w:szCs w:val="18"/>
              </w:rPr>
              <w:t xml:space="preserve">5 à 10 artisans, une ville, 2 à 3 métiers, environ une semaine</w:t>
            </w:r>
          </w:p>
        </w:tc>
        <w:tc>
          <w:tcPr>
            <w:tcW w:type="dxa" w:w="3300"/>
            <w:tcBorders>
              <w:top w:val="single" w:color="D7E0DD" w:sz="4"/>
              <w:left w:val="single" w:color="D7E0DD" w:sz="4"/>
              <w:bottom w:val="single" w:color="D7E0DD" w:sz="4"/>
              <w:right w:val="single" w:color="D7E0DD" w:sz="4"/>
            </w:tcBorders>
            <w:shd w:fill="FFFFFF" w:val="clear"/>
            <w:tcMar>
              <w:top w:type="dxa" w:w="90"/>
              <w:left w:type="dxa" w:w="100"/>
              <w:bottom w:type="dxa" w:w="90"/>
              <w:right w:type="dxa" w:w="100"/>
            </w:tcMar>
          </w:tcPr>
          <w:p>
            <w:pPr>
              <w:spacing w:after="0"/>
            </w:pPr>
            <w:r>
              <w:rPr>
                <w:rFonts w:ascii="Arial" w:cs="Arial" w:eastAsia="Arial" w:hAnsi="Arial"/>
                <w:b w:val="false"/>
                <w:bCs w:val="false"/>
                <w:color w:val="26353A"/>
                <w:sz w:val="18"/>
                <w:szCs w:val="18"/>
              </w:rPr>
              <w:t xml:space="preserve">Parcours essentiels exécutés; consentements, support et incidents documentés</w:t>
            </w:r>
          </w:p>
        </w:tc>
      </w:tr>
      <w:tr>
        <w:trPr>
          <w:cantSplit/>
        </w:trPr>
        <w:tc>
          <w:tcPr>
            <w:tcW w:type="dxa" w:w="2700"/>
            <w:tcBorders>
              <w:top w:val="single" w:color="D7E0DD" w:sz="4"/>
              <w:left w:val="single" w:color="D7E0DD" w:sz="4"/>
              <w:bottom w:val="single" w:color="D7E0DD" w:sz="4"/>
              <w:right w:val="single" w:color="D7E0DD" w:sz="4"/>
            </w:tcBorders>
            <w:shd w:fill="F1F6F4" w:val="clear"/>
            <w:tcMar>
              <w:top w:type="dxa" w:w="90"/>
              <w:left w:type="dxa" w:w="100"/>
              <w:bottom w:type="dxa" w:w="90"/>
              <w:right w:type="dxa" w:w="100"/>
            </w:tcMar>
          </w:tcPr>
          <w:p>
            <w:pPr>
              <w:spacing w:after="0"/>
            </w:pPr>
            <w:r>
              <w:rPr>
                <w:rFonts w:ascii="Arial" w:cs="Arial" w:eastAsia="Arial" w:hAnsi="Arial"/>
                <w:b w:val="false"/>
                <w:bCs w:val="false"/>
                <w:color w:val="26353A"/>
                <w:sz w:val="18"/>
                <w:szCs w:val="18"/>
              </w:rPr>
              <w:t xml:space="preserve">Pilote institutionnel éventuel</w:t>
            </w:r>
          </w:p>
        </w:tc>
        <w:tc>
          <w:tcPr>
            <w:tcW w:type="dxa" w:w="4000"/>
            <w:tcBorders>
              <w:top w:val="single" w:color="D7E0DD" w:sz="4"/>
              <w:left w:val="single" w:color="D7E0DD" w:sz="4"/>
              <w:bottom w:val="single" w:color="D7E0DD" w:sz="4"/>
              <w:right w:val="single" w:color="D7E0DD" w:sz="4"/>
            </w:tcBorders>
            <w:shd w:fill="F1F6F4" w:val="clear"/>
            <w:tcMar>
              <w:top w:type="dxa" w:w="90"/>
              <w:left w:type="dxa" w:w="100"/>
              <w:bottom w:type="dxa" w:w="90"/>
              <w:right w:type="dxa" w:w="100"/>
            </w:tcMar>
          </w:tcPr>
          <w:p>
            <w:pPr>
              <w:spacing w:after="0"/>
            </w:pPr>
            <w:r>
              <w:rPr>
                <w:rFonts w:ascii="Arial" w:cs="Arial" w:eastAsia="Arial" w:hAnsi="Arial"/>
                <w:b w:val="false"/>
                <w:bCs w:val="false"/>
                <w:color w:val="26353A"/>
                <w:sz w:val="18"/>
                <w:szCs w:val="18"/>
              </w:rPr>
              <w:t xml:space="preserve">Jusqu'à 100 artisans, une ville, 2 à 3 métiers, 3 à 6 mois</w:t>
            </w:r>
          </w:p>
        </w:tc>
        <w:tc>
          <w:tcPr>
            <w:tcW w:type="dxa" w:w="3300"/>
            <w:tcBorders>
              <w:top w:val="single" w:color="D7E0DD" w:sz="4"/>
              <w:left w:val="single" w:color="D7E0DD" w:sz="4"/>
              <w:bottom w:val="single" w:color="D7E0DD" w:sz="4"/>
              <w:right w:val="single" w:color="D7E0DD" w:sz="4"/>
            </w:tcBorders>
            <w:shd w:fill="F1F6F4" w:val="clear"/>
            <w:tcMar>
              <w:top w:type="dxa" w:w="90"/>
              <w:left w:type="dxa" w:w="100"/>
              <w:bottom w:type="dxa" w:w="90"/>
              <w:right w:type="dxa" w:w="100"/>
            </w:tcMar>
          </w:tcPr>
          <w:p>
            <w:pPr>
              <w:spacing w:after="0"/>
            </w:pPr>
            <w:r>
              <w:rPr>
                <w:rFonts w:ascii="Arial" w:cs="Arial" w:eastAsia="Arial" w:hAnsi="Arial"/>
                <w:b w:val="false"/>
                <w:bCs w:val="false"/>
                <w:color w:val="26353A"/>
                <w:sz w:val="18"/>
                <w:szCs w:val="18"/>
              </w:rPr>
              <w:t xml:space="preserve">Accord des parties, cohorte et budget détaillés, dispositif de données et d'évaluation validés</w:t>
            </w:r>
          </w:p>
        </w:tc>
      </w:tr>
      <w:tr>
        <w:trPr>
          <w:cantSplit/>
        </w:trPr>
        <w:tc>
          <w:tcPr>
            <w:tcW w:type="dxa" w:w="2700"/>
            <w:tcBorders>
              <w:top w:val="single" w:color="D7E0DD" w:sz="4"/>
              <w:left w:val="single" w:color="D7E0DD" w:sz="4"/>
              <w:bottom w:val="single" w:color="D7E0DD" w:sz="4"/>
              <w:right w:val="single" w:color="D7E0DD" w:sz="4"/>
            </w:tcBorders>
            <w:shd w:fill="FFFFFF" w:val="clear"/>
            <w:tcMar>
              <w:top w:type="dxa" w:w="90"/>
              <w:left w:type="dxa" w:w="100"/>
              <w:bottom w:type="dxa" w:w="90"/>
              <w:right w:type="dxa" w:w="100"/>
            </w:tcMar>
          </w:tcPr>
          <w:p>
            <w:pPr>
              <w:spacing w:after="0"/>
            </w:pPr>
            <w:r>
              <w:rPr>
                <w:rFonts w:ascii="Arial" w:cs="Arial" w:eastAsia="Arial" w:hAnsi="Arial"/>
                <w:b w:val="false"/>
                <w:bCs w:val="false"/>
                <w:color w:val="26353A"/>
                <w:sz w:val="18"/>
                <w:szCs w:val="18"/>
              </w:rPr>
              <w:t xml:space="preserve">Extension possible</w:t>
            </w:r>
          </w:p>
        </w:tc>
        <w:tc>
          <w:tcPr>
            <w:tcW w:type="dxa" w:w="4000"/>
            <w:tcBorders>
              <w:top w:val="single" w:color="D7E0DD" w:sz="4"/>
              <w:left w:val="single" w:color="D7E0DD" w:sz="4"/>
              <w:bottom w:val="single" w:color="D7E0DD" w:sz="4"/>
              <w:right w:val="single" w:color="D7E0DD" w:sz="4"/>
            </w:tcBorders>
            <w:shd w:fill="FFFFFF" w:val="clear"/>
            <w:tcMar>
              <w:top w:type="dxa" w:w="90"/>
              <w:left w:type="dxa" w:w="100"/>
              <w:bottom w:type="dxa" w:w="90"/>
              <w:right w:type="dxa" w:w="100"/>
            </w:tcMar>
          </w:tcPr>
          <w:p>
            <w:pPr>
              <w:spacing w:after="0"/>
            </w:pPr>
            <w:r>
              <w:rPr>
                <w:rFonts w:ascii="Arial" w:cs="Arial" w:eastAsia="Arial" w:hAnsi="Arial"/>
                <w:b w:val="false"/>
                <w:bCs w:val="false"/>
                <w:color w:val="26353A"/>
                <w:sz w:val="18"/>
                <w:szCs w:val="18"/>
              </w:rPr>
              <w:t xml:space="preserve">Volume, zones et durée à redéfinir</w:t>
            </w:r>
          </w:p>
        </w:tc>
        <w:tc>
          <w:tcPr>
            <w:tcW w:type="dxa" w:w="3300"/>
            <w:tcBorders>
              <w:top w:val="single" w:color="D7E0DD" w:sz="4"/>
              <w:left w:val="single" w:color="D7E0DD" w:sz="4"/>
              <w:bottom w:val="single" w:color="D7E0DD" w:sz="4"/>
              <w:right w:val="single" w:color="D7E0DD" w:sz="4"/>
            </w:tcBorders>
            <w:shd w:fill="FFFFFF" w:val="clear"/>
            <w:tcMar>
              <w:top w:type="dxa" w:w="90"/>
              <w:left w:type="dxa" w:w="100"/>
              <w:bottom w:type="dxa" w:w="90"/>
              <w:right w:type="dxa" w:w="100"/>
            </w:tcMar>
          </w:tcPr>
          <w:p>
            <w:pPr>
              <w:spacing w:after="0"/>
            </w:pPr>
            <w:r>
              <w:rPr>
                <w:rFonts w:ascii="Arial" w:cs="Arial" w:eastAsia="Arial" w:hAnsi="Arial"/>
                <w:b w:val="false"/>
                <w:bCs w:val="false"/>
                <w:color w:val="26353A"/>
                <w:sz w:val="18"/>
                <w:szCs w:val="18"/>
              </w:rPr>
              <w:t xml:space="preserve">Évaluation concluante, capacité d'accompagnement et nouveau périmètre approuvé</w:t>
            </w:r>
          </w:p>
        </w:tc>
      </w:tr>
    </w:tbl>
    <w:p>
      <w:pPr>
        <w:spacing w:after="80" w:line="280"/>
      </w:pPr>
      <w:r>
        <w:rPr>
          <w:rFonts w:ascii="Arial" w:cs="Arial" w:eastAsia="Arial" w:hAnsi="Arial"/>
          <w:b w:val="false"/>
          <w:bCs w:val="false"/>
          <w:color w:val="26353A"/>
          <w:sz w:val="19"/>
          <w:szCs w:val="19"/>
        </w:rPr>
        <w:t xml:space="preserve">Les durées sont indicatives et ne constituent pas un calendrier convenu. Le test terrain doit permettre d'estimer les ressources requises avant de chiffrer ou de promettre une cohorte plus large.</w:t>
      </w:r>
    </w:p>
    <w:p>
      <w:pPr>
        <w:keepNext/>
        <w:spacing w:after="95" w:before="80"/>
      </w:pPr>
      <w:r>
        <w:rPr>
          <w:rFonts w:ascii="Arial" w:cs="Arial" w:eastAsia="Arial" w:hAnsi="Arial"/>
          <w:b/>
          <w:bCs/>
          <w:color w:val="176B5B"/>
          <w:sz w:val="24"/>
          <w:szCs w:val="24"/>
        </w:rPr>
        <w:t xml:space="preserve">Voies de mise en œuvre à examiner avec la DAMSI</w:t>
      </w:r>
    </w:p>
    <w:p>
      <w:pPr>
        <w:spacing w:after="65" w:line="280"/>
        <w:ind w:left="300" w:hanging="180"/>
      </w:pPr>
      <w:r>
        <w:rPr>
          <w:rFonts w:ascii="Arial" w:cs="Arial" w:eastAsia="Arial" w:hAnsi="Arial"/>
          <w:b w:val="false"/>
          <w:bCs w:val="false"/>
          <w:color w:val="26353A"/>
          <w:sz w:val="19"/>
          <w:szCs w:val="19"/>
        </w:rPr>
        <w:t xml:space="preserve">•  Village artisanal : étudier avec le coordonnateur du site pertinent un test auprès de 5 à 10 artisans volontaires. Le MINPMEESA recense le Centre International de l'Artisanat de Yaoundé, des villages régionaux et des villages spéciaux; le site, les participants et la capacité d'accueil restent à confirmer.</w:t>
      </w:r>
    </w:p>
    <w:p>
      <w:pPr>
        <w:spacing w:after="65" w:line="280"/>
        <w:ind w:left="300" w:hanging="180"/>
      </w:pPr>
      <w:r>
        <w:rPr>
          <w:rFonts w:ascii="Arial" w:cs="Arial" w:eastAsia="Arial" w:hAnsi="Arial"/>
          <w:b w:val="false"/>
          <w:bCs w:val="false"/>
          <w:color w:val="26353A"/>
          <w:sz w:val="19"/>
          <w:szCs w:val="19"/>
        </w:rPr>
        <w:t xml:space="preserve">•  SIARC : le SIARC 2026 s'est tenu du 27 juillet au 5 août 2026 au Musée National de Yaoundé. Une piste éventuelle serait de prolonger la visibilité en ligne d'offres sélectionnées après l'événement ou de préparer une contribution pour une prochaine édition, uniquement avec l'accord des organisateurs.</w:t>
      </w:r>
    </w:p>
    <w:p>
      <w:pPr>
        <w:spacing w:after="65" w:line="280"/>
        <w:ind w:left="300" w:hanging="180"/>
      </w:pPr>
      <w:r>
        <w:rPr>
          <w:rFonts w:ascii="Arial" w:cs="Arial" w:eastAsia="Arial" w:hAnsi="Arial"/>
          <w:b w:val="false"/>
          <w:bCs w:val="false"/>
          <w:color w:val="26353A"/>
          <w:sz w:val="19"/>
          <w:szCs w:val="19"/>
        </w:rPr>
        <w:t xml:space="preserve">•  Formalisation : ArtisanConnect peut orienter les artisans vers les services compétents et rendre les informations de leur activité plus structurées. La plateforme ne réalise pas les formalités administratives et ne délivre pas d'immatriculation.</w:t>
      </w:r>
    </w:p>
    <w:p>
      <w:pPr>
        <w:spacing w:after="65" w:line="280"/>
        <w:ind w:left="300" w:hanging="180"/>
      </w:pPr>
      <w:r>
        <w:rPr>
          <w:rFonts w:ascii="Arial" w:cs="Arial" w:eastAsia="Arial" w:hAnsi="Arial"/>
          <w:b w:val="false"/>
          <w:bCs w:val="false"/>
          <w:color w:val="26353A"/>
          <w:sz w:val="19"/>
          <w:szCs w:val="19"/>
        </w:rPr>
        <w:t xml:space="preserve">•  Digitalisation et PME : si un besoin plus large est identifié, demander à la DAMSI une orientation vers la Direction des PME ou l'APME, en complément du volet artisanal.</w:t>
      </w:r>
    </w:p>
    <w:p>
      <w:r>
        <w:br w:type="page"/>
      </w:r>
    </w:p>
    <w:p>
      <w:pPr>
        <w:keepNext/>
        <w:shd w:fill="F1F6F4" w:val="clear"/>
        <w:spacing w:after="95" w:before="150"/>
      </w:pPr>
      <w:r>
        <w:rPr>
          <w:rFonts w:ascii="Arial" w:cs="Arial" w:eastAsia="Arial" w:hAnsi="Arial"/>
          <w:b/>
          <w:bCs/>
          <w:color w:val="203239"/>
          <w:sz w:val="30"/>
          <w:szCs w:val="30"/>
        </w:rPr>
        <w:t xml:space="preserve">6. Gouvernance, responsabilités et sauvegardes</w:t>
      </w:r>
    </w:p>
    <w:p>
      <w:pPr>
        <w:spacing w:after="80" w:line="280"/>
      </w:pPr>
      <w:r>
        <w:rPr>
          <w:rFonts w:ascii="Arial" w:cs="Arial" w:eastAsia="Arial" w:hAnsi="Arial"/>
          <w:b w:val="false"/>
          <w:bCs w:val="false"/>
          <w:color w:val="26353A"/>
          <w:sz w:val="19"/>
          <w:szCs w:val="19"/>
        </w:rPr>
        <w:t xml:space="preserve">ArtisanConnect pourrait, sous réserve d'un accord précisant les moyens : préparer l'espace numérique, fournir une initiation à l'outil, assister les utilisateurs dans le périmètre retenu, traiter les incidents relevant de la plateforme et présenter un bilan agrégé.</w:t>
      </w:r>
    </w:p>
    <w:p>
      <w:pPr>
        <w:spacing w:after="80" w:line="280"/>
      </w:pPr>
      <w:r>
        <w:rPr>
          <w:rFonts w:ascii="Arial" w:cs="Arial" w:eastAsia="Arial" w:hAnsi="Arial"/>
          <w:b w:val="false"/>
          <w:bCs w:val="false"/>
          <w:color w:val="26353A"/>
          <w:sz w:val="19"/>
          <w:szCs w:val="19"/>
        </w:rPr>
        <w:t xml:space="preserve">La DAMSI, en particulier la Sous-Direction de l'Artisanat, est l'interlocuteur technique prioritaire proposé. Selon ses attributions et après accord, elle pourrait conseiller sur les filières et critères et indiquer si un village artisanal constitue un terrain de test adapté. La participation d'un village, de la Cellule des activités informelles et des migrations ou d'autres directions resterait à confirmer par le Ministère. Aucune action ni contribution n'est présumée avant confirmation écrite.</w:t>
      </w:r>
    </w:p>
    <w:p>
      <w:pPr>
        <w:spacing w:after="80" w:line="280"/>
      </w:pPr>
      <w:r>
        <w:rPr>
          <w:rFonts w:ascii="Arial" w:cs="Arial" w:eastAsia="Arial" w:hAnsi="Arial"/>
          <w:b w:val="false"/>
          <w:bCs w:val="false"/>
          <w:color w:val="26353A"/>
          <w:sz w:val="19"/>
          <w:szCs w:val="19"/>
        </w:rPr>
        <w:t xml:space="preserve">Les artisans participants confirmeraient l'exactitude de leurs coordonnées, activités, prix, délais, disponibilités et contenus publiés, et choisiraient les demandes auxquelles ils souhaitent répondre.</w:t>
      </w:r>
    </w:p>
    <w:p>
      <w:pPr>
        <w:spacing w:after="80" w:line="280"/>
      </w:pPr>
      <w:r>
        <w:rPr>
          <w:rFonts w:ascii="Arial" w:cs="Arial" w:eastAsia="Arial" w:hAnsi="Arial"/>
          <w:b w:val="false"/>
          <w:bCs w:val="false"/>
          <w:color w:val="26353A"/>
          <w:sz w:val="19"/>
          <w:szCs w:val="19"/>
        </w:rPr>
        <w:t xml:space="preserve">Les données seraient limitées aux finalités définies, avec des accès contrôlés et une information appropriée des participants. Les rapports remis au partenaire seraient agrégés; aucune donnée individuelle, image, nom, logo institutionnel ou témoignage ne serait diffusé sans base légale et autorisation requise. Les critères de conservation, de sécurité, de traitement des plaintes et de retrait des participants seraient arrêtés avant le pilote.</w:t>
      </w:r>
    </w:p>
    <w:p>
      <w:pPr>
        <w:keepNext/>
        <w:shd w:fill="F1F6F4" w:val="clear"/>
        <w:spacing w:after="95" w:before="150"/>
      </w:pPr>
      <w:r>
        <w:rPr>
          <w:rFonts w:ascii="Arial" w:cs="Arial" w:eastAsia="Arial" w:hAnsi="Arial"/>
          <w:b/>
          <w:bCs/>
          <w:color w:val="203239"/>
          <w:sz w:val="30"/>
          <w:szCs w:val="30"/>
        </w:rPr>
        <w:t xml:space="preserve">7. Risques et mesures de maîtrise</w:t>
      </w:r>
    </w:p>
    <w:p>
      <w:pPr>
        <w:spacing w:after="65" w:line="280"/>
        <w:ind w:left="300" w:hanging="180"/>
      </w:pPr>
      <w:r>
        <w:rPr>
          <w:rFonts w:ascii="Arial" w:cs="Arial" w:eastAsia="Arial" w:hAnsi="Arial"/>
          <w:b w:val="false"/>
          <w:bCs w:val="false"/>
          <w:color w:val="26353A"/>
          <w:sz w:val="19"/>
          <w:szCs w:val="19"/>
        </w:rPr>
        <w:t xml:space="preserve">•  Faible aisance numérique : formation pratique, assistance de proximité et test d'usage sur smartphone.</w:t>
      </w:r>
    </w:p>
    <w:p>
      <w:pPr>
        <w:spacing w:after="65" w:line="280"/>
        <w:ind w:left="300" w:hanging="180"/>
      </w:pPr>
      <w:r>
        <w:rPr>
          <w:rFonts w:ascii="Arial" w:cs="Arial" w:eastAsia="Arial" w:hAnsi="Arial"/>
          <w:b w:val="false"/>
          <w:bCs w:val="false"/>
          <w:color w:val="26353A"/>
          <w:sz w:val="19"/>
          <w:szCs w:val="19"/>
        </w:rPr>
        <w:t xml:space="preserve">•  Offres incomplètes ou indisponibles : validation des informations avec chaque artisan et mise à jour périodique.</w:t>
      </w:r>
    </w:p>
    <w:p>
      <w:pPr>
        <w:spacing w:after="65" w:line="280"/>
        <w:ind w:left="300" w:hanging="180"/>
      </w:pPr>
      <w:r>
        <w:rPr>
          <w:rFonts w:ascii="Arial" w:cs="Arial" w:eastAsia="Arial" w:hAnsi="Arial"/>
          <w:b w:val="false"/>
          <w:bCs w:val="false"/>
          <w:color w:val="26353A"/>
          <w:sz w:val="19"/>
          <w:szCs w:val="19"/>
        </w:rPr>
        <w:t xml:space="preserve">•  Demandes sans réponse ou attentes irréalistes : responsable de suivi, règles de réponse et explication claire qu'aucune vente n'est garantie.</w:t>
      </w:r>
    </w:p>
    <w:p>
      <w:pPr>
        <w:spacing w:after="65" w:line="280"/>
        <w:ind w:left="300" w:hanging="180"/>
      </w:pPr>
      <w:r>
        <w:rPr>
          <w:rFonts w:ascii="Arial" w:cs="Arial" w:eastAsia="Arial" w:hAnsi="Arial"/>
          <w:b w:val="false"/>
          <w:bCs w:val="false"/>
          <w:color w:val="26353A"/>
          <w:sz w:val="19"/>
          <w:szCs w:val="19"/>
        </w:rPr>
        <w:t xml:space="preserve">•  Biais de sélection ou de couverture : critères transparents, périmètre géographique explicite et analyse des limites de la cohorte.</w:t>
      </w:r>
    </w:p>
    <w:p>
      <w:pPr>
        <w:spacing w:after="65" w:line="280"/>
        <w:ind w:left="300" w:hanging="180"/>
      </w:pPr>
      <w:r>
        <w:rPr>
          <w:rFonts w:ascii="Arial" w:cs="Arial" w:eastAsia="Arial" w:hAnsi="Arial"/>
          <w:b w:val="false"/>
          <w:bCs w:val="false"/>
          <w:color w:val="26353A"/>
          <w:sz w:val="19"/>
          <w:szCs w:val="19"/>
        </w:rPr>
        <w:t xml:space="preserve">•  Confusion sur paiement ou commission : pendant le pilote, paiements Mobile Money et livraison en sandbox/mock restent des simulations; les transactions réelles n'utilisent que les modalités expressément convenues. Aucun reversement automatique ou résultat commercial n'est promis.</w:t>
      </w:r>
    </w:p>
    <w:p>
      <w:pPr>
        <w:spacing w:after="65" w:line="280"/>
        <w:ind w:left="300" w:hanging="180"/>
      </w:pPr>
      <w:r>
        <w:rPr>
          <w:rFonts w:ascii="Arial" w:cs="Arial" w:eastAsia="Arial" w:hAnsi="Arial"/>
          <w:b w:val="false"/>
          <w:bCs w:val="false"/>
          <w:color w:val="26353A"/>
          <w:sz w:val="19"/>
          <w:szCs w:val="19"/>
        </w:rPr>
        <w:t xml:space="preserve">•  Protection des données et réputation : minimisation, accès restreint, publication avec accord et mécanisme d'escalade des incidents.</w:t>
      </w:r>
    </w:p>
    <w:p>
      <w:pPr>
        <w:keepNext/>
        <w:shd w:fill="F1F6F4" w:val="clear"/>
        <w:spacing w:after="95" w:before="150"/>
      </w:pPr>
      <w:r>
        <w:rPr>
          <w:rFonts w:ascii="Arial" w:cs="Arial" w:eastAsia="Arial" w:hAnsi="Arial"/>
          <w:b/>
          <w:bCs/>
          <w:color w:val="203239"/>
          <w:sz w:val="30"/>
          <w:szCs w:val="30"/>
        </w:rPr>
        <w:t xml:space="preserve">8. Ressources, budget et décision demandée</w:t>
      </w:r>
    </w:p>
    <w:p>
      <w:pPr>
        <w:spacing w:after="80" w:line="280"/>
      </w:pPr>
      <w:r>
        <w:rPr>
          <w:rFonts w:ascii="Arial" w:cs="Arial" w:eastAsia="Arial" w:hAnsi="Arial"/>
          <w:b w:val="false"/>
          <w:bCs w:val="false"/>
          <w:color w:val="26353A"/>
          <w:sz w:val="19"/>
          <w:szCs w:val="19"/>
        </w:rPr>
        <w:t xml:space="preserve">Aucun montant n'est proposé ici comme budget approuvé. Un chiffrage détaillé nécessitera au minimum le nombre de participants, les localités, la durée, le volume de formation, le niveau d'assistance, la production de contenus, la connectivité, l'hébergement, la sécurité, le suivi-évaluation, la coordination, la fiscalité et les contributions en nature éventuelles.</w:t>
      </w:r>
    </w:p>
    <w:p>
      <w:pPr>
        <w:spacing w:after="80" w:line="280"/>
      </w:pPr>
      <w:r>
        <w:rPr>
          <w:rFonts w:ascii="Arial" w:cs="Arial" w:eastAsia="Arial" w:hAnsi="Arial"/>
          <w:b w:val="false"/>
          <w:bCs w:val="false"/>
          <w:color w:val="26353A"/>
          <w:sz w:val="19"/>
          <w:szCs w:val="19"/>
        </w:rPr>
        <w:t xml:space="preserve">À l'issue d'une audience, ArtisanConnect propose de convenir avec les services désignés des prochaines étapes suivantes :</w:t>
      </w:r>
    </w:p>
    <w:p>
      <w:pPr>
        <w:spacing w:after="65" w:line="280"/>
        <w:ind w:left="300" w:hanging="180"/>
      </w:pPr>
      <w:r>
        <w:rPr>
          <w:rFonts w:ascii="Arial" w:cs="Arial" w:eastAsia="Arial" w:hAnsi="Arial"/>
          <w:b w:val="false"/>
          <w:bCs w:val="false"/>
          <w:color w:val="26353A"/>
          <w:sz w:val="19"/>
          <w:szCs w:val="19"/>
        </w:rPr>
        <w:t xml:space="preserve">confirmer la DAMSI et la Sous-Direction de l'Artisanat comme interlocuteurs de cadrage ;</w:t>
      </w:r>
    </w:p>
    <w:p>
      <w:pPr>
        <w:spacing w:after="65" w:line="280"/>
        <w:ind w:left="300" w:hanging="180"/>
      </w:pPr>
      <w:r>
        <w:rPr>
          <w:rFonts w:ascii="Arial" w:cs="Arial" w:eastAsia="Arial" w:hAnsi="Arial"/>
          <w:b w:val="false"/>
          <w:bCs w:val="false"/>
          <w:color w:val="26353A"/>
          <w:sz w:val="19"/>
          <w:szCs w:val="19"/>
        </w:rPr>
        <w:t xml:space="preserve">déterminer si un village artisanal ou un réseau d'artisans volontaires constitue un terrain pertinent ;</w:t>
      </w:r>
    </w:p>
    <w:p>
      <w:pPr>
        <w:spacing w:after="65" w:line="280"/>
        <w:ind w:left="300" w:hanging="180"/>
      </w:pPr>
      <w:r>
        <w:rPr>
          <w:rFonts w:ascii="Arial" w:cs="Arial" w:eastAsia="Arial" w:hAnsi="Arial"/>
          <w:b w:val="false"/>
          <w:bCs w:val="false"/>
          <w:color w:val="26353A"/>
          <w:sz w:val="19"/>
          <w:szCs w:val="19"/>
        </w:rPr>
        <w:t xml:space="preserve">arrêter les règles de données, le protocole de suivi et les responsabilités ;</w:t>
      </w:r>
    </w:p>
    <w:p>
      <w:pPr>
        <w:spacing w:after="65" w:line="280"/>
        <w:ind w:left="300" w:hanging="180"/>
      </w:pPr>
      <w:r>
        <w:rPr>
          <w:rFonts w:ascii="Arial" w:cs="Arial" w:eastAsia="Arial" w:hAnsi="Arial"/>
          <w:b w:val="false"/>
          <w:bCs w:val="false"/>
          <w:color w:val="26353A"/>
          <w:sz w:val="19"/>
          <w:szCs w:val="19"/>
        </w:rPr>
        <w:t xml:space="preserve">établir un calendrier indicatif, un budget détaillé et les conditions GO/NO-GO ;</w:t>
      </w:r>
    </w:p>
    <w:p>
      <w:pPr>
        <w:spacing w:after="65" w:line="280"/>
        <w:ind w:left="300" w:hanging="180"/>
      </w:pPr>
      <w:r>
        <w:rPr>
          <w:rFonts w:ascii="Arial" w:cs="Arial" w:eastAsia="Arial" w:hAnsi="Arial"/>
          <w:b w:val="false"/>
          <w:bCs w:val="false"/>
          <w:color w:val="26353A"/>
          <w:sz w:val="19"/>
          <w:szCs w:val="19"/>
        </w:rPr>
        <w:t xml:space="preserve">soumettre tout éventuel pilote à l'approbation écrite des parties compétentes.</w:t>
      </w:r>
    </w:p>
    <w:p>
      <w:pPr>
        <w:spacing w:after="80" w:line="280"/>
      </w:pPr>
      <w:r>
        <w:rPr>
          <w:rFonts w:ascii="Arial" w:cs="Arial" w:eastAsia="Arial" w:hAnsi="Arial"/>
          <w:b w:val="false"/>
          <w:bCs w:val="false"/>
          <w:color w:val="26353A"/>
          <w:sz w:val="19"/>
          <w:szCs w:val="19"/>
        </w:rPr>
        <w:t xml:space="preserve">Décision sollicitée à ce stade : une audience de présentation et une orientation vers le service compétent. La présente note n'est ni une demande de décaissement, ni une convention, ni un engagement de résultat.</w:t>
      </w:r>
    </w:p>
    <w:sectPr>
      <w:pgSz w:w="11906" w:h="16838" w:orient="portrait"/>
      <w:pgMar w:top="650" w:right="650" w:bottom="650" w:left="6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pPr>
        <w:spacing w:line="28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rdzv82x1pj6z9sysya9sx" Type="http://schemas.openxmlformats.org/officeDocument/2006/relationships/hyperlink" Target="https://artisanconnectcm.info" TargetMode="External"/><Relationship Id="rId7" Type="http://schemas.openxmlformats.org/officeDocument/2006/relationships/image" Target="media/dc93010d8816d0b11c34a975521895ba404c6676.png"/><Relationship Id="rId8" Type="http://schemas.openxmlformats.org/officeDocument/2006/relationships/image" Target="media/73d12b03ae774e23887887dc9b7869066ba18bd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conceptuelle</dc:title>
  <dc:subject>Cadrage proposé avec la DAMSI · Document de discussion</dc:subject>
  <dc:creator>ArtisanConnect</dc:creator>
  <cp:lastModifiedBy>Un-named</cp:lastModifiedBy>
  <cp:revision>1</cp:revision>
  <dcterms:created xsi:type="dcterms:W3CDTF">2026-09-29T01:06:29.103Z</dcterms:created>
  <dcterms:modified xsi:type="dcterms:W3CDTF">2026-09-29T01:06:29.103Z</dcterms:modified>
</cp:coreProperties>
</file>

<file path=docProps/custom.xml><?xml version="1.0" encoding="utf-8"?>
<Properties xmlns="http://schemas.openxmlformats.org/officeDocument/2006/custom-properties" xmlns:vt="http://schemas.openxmlformats.org/officeDocument/2006/docPropsVTypes"/>
</file>