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drawing>
          <wp:inline distT="0" distB="0" distL="0" distR="0">
            <wp:extent cx="400050" cy="400050"/>
            <wp:effectExtent t="0" r="0" b="0" l="0"/>
            <wp:docPr id="7" descr="Logo officiel ArtisanConnect" title="Logo Artisan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 cy="400050"/>
                    </a:xfrm>
                    <a:prstGeom prst="rect">
                      <a:avLst/>
                    </a:prstGeom>
                  </pic:spPr>
                </pic:pic>
              </a:graphicData>
            </a:graphic>
          </wp:inline>
        </w:drawing>
      </w:r>
    </w:p>
    <w:p>
      <w:pPr>
        <w:spacing w:after="55"/>
        <w:jc w:val="center"/>
      </w:pPr>
      <w:r>
        <w:rPr>
          <w:rFonts w:ascii="Arial" w:cs="Arial" w:eastAsia="Arial" w:hAnsi="Arial"/>
          <w:b/>
          <w:bCs/>
          <w:color w:val="203239"/>
          <w:sz w:val="32"/>
          <w:szCs w:val="32"/>
        </w:rPr>
        <w:t xml:space="preserve">ArtisanConnect</w:t>
      </w:r>
    </w:p>
    <w:p>
      <w:pPr>
        <w:pBdr>
          <w:bottom w:val="single" w:color="C77A28" w:sz="12" w:space="4"/>
        </w:pBdr>
        <w:spacing w:after="65"/>
      </w:pPr>
      <w:r>
        <w:rPr>
          <w:rFonts w:ascii="Arial" w:cs="Arial" w:eastAsia="Arial" w:hAnsi="Arial"/>
          <w:b w:val="false"/>
          <w:bCs w:val="false"/>
          <w:color w:val="647378"/>
          <w:sz w:val="16"/>
          <w:szCs w:val="16"/>
        </w:rPr>
        <w:t xml:space="preserve">DOCUMENT INSTITUTIONNEL · MINPMEESA / DAMSI</w:t>
      </w:r>
    </w:p>
    <w:p>
      <w:pPr>
        <w:spacing w:after="30"/>
        <w:jc w:val="right"/>
      </w:pPr>
      <w:hyperlink w:history="1" r:id="rIdav5hn39gdworyywhryuoy">
        <w:r>
          <w:drawing>
            <wp:inline distT="0" distB="0" distL="0" distR="0">
              <wp:extent cx="685800" cy="685800"/>
              <wp:effectExtent t="0" r="0" b="0" l="0"/>
              <wp:docPr id="8" descr="Scanner ou cliquer pour ouvrir le site" title="QR ArtisanConnect">
                <a:hlinkClick xmlns:a="http://schemas.openxmlformats.org/drawingml/2006/main" r:id="rIdav5hn39gdworyywhryuoy"/>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av5hn39gdworyywhryuoy"/>
                      </pic:cNvP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hyperlink>
    </w:p>
    <w:p>
      <w:pPr>
        <w:keepNext/>
        <w:spacing w:after="55"/>
      </w:pPr>
      <w:r>
        <w:rPr>
          <w:rFonts w:ascii="Arial" w:cs="Arial" w:eastAsia="Arial" w:hAnsi="Arial"/>
          <w:b/>
          <w:bCs/>
          <w:color w:val="203239"/>
          <w:sz w:val="46"/>
          <w:szCs w:val="46"/>
        </w:rPr>
        <w:t xml:space="preserve">Démonstration DAMSI — 10 minutes</w:t>
      </w:r>
    </w:p>
    <w:p>
      <w:pPr>
        <w:spacing w:after="130"/>
      </w:pPr>
      <w:r>
        <w:rPr>
          <w:rFonts w:ascii="Arial" w:cs="Arial" w:eastAsia="Arial" w:hAnsi="Arial"/>
          <w:b w:val="false"/>
          <w:bCs w:val="false"/>
          <w:color w:val="176B5B"/>
          <w:sz w:val="22"/>
          <w:szCs w:val="22"/>
        </w:rPr>
        <w:t xml:space="preserve">Présenter l’offre · Examiner les pistes village/SIARC/formalisation</w:t>
      </w:r>
    </w:p>
    <w:p>
      <w:pPr>
        <w:keepNext/>
        <w:spacing w:after="120"/>
      </w:pPr>
      <w:r>
        <w:rPr>
          <w:rFonts w:ascii="Arial" w:cs="Arial" w:eastAsia="Arial" w:hAnsi="Arial"/>
          <w:b/>
          <w:bCs/>
          <w:color w:val="203239"/>
          <w:sz w:val="48"/>
          <w:szCs w:val="48"/>
        </w:rPr>
        <w:t xml:space="preserve">Démonstration ArtisanConnect — 10 minutes</w:t>
      </w:r>
    </w:p>
    <w:p>
      <w:pPr>
        <w:keepNext/>
        <w:shd w:fill="F1F6F4" w:val="clear"/>
        <w:spacing w:after="95" w:before="150"/>
      </w:pPr>
      <w:r>
        <w:rPr>
          <w:rFonts w:ascii="Arial" w:cs="Arial" w:eastAsia="Arial" w:hAnsi="Arial"/>
          <w:b/>
          <w:bCs/>
          <w:color w:val="203239"/>
          <w:sz w:val="30"/>
          <w:szCs w:val="30"/>
        </w:rPr>
        <w:t xml:space="preserve">But de la rencontre</w:t>
      </w:r>
    </w:p>
    <w:p>
      <w:pPr>
        <w:spacing w:after="80" w:line="280"/>
      </w:pPr>
      <w:r>
        <w:rPr>
          <w:rFonts w:ascii="Arial" w:cs="Arial" w:eastAsia="Arial" w:hAnsi="Arial"/>
          <w:b w:val="false"/>
          <w:bCs w:val="false"/>
          <w:color w:val="26353A"/>
          <w:sz w:val="19"/>
          <w:szCs w:val="19"/>
        </w:rPr>
        <w:t xml:space="preserve">Montrer un parcours concret de découverte et de mise en relation, puis illustrer comment un besoin d'entreprise est traité avec revue humaine. La démonstration ne prétend pas prouver une vente ni un partenariat institutionnel.</w:t>
      </w:r>
    </w:p>
    <w:p>
      <w:pPr>
        <w:spacing w:after="80" w:line="280"/>
      </w:pPr>
      <w:r>
        <w:rPr>
          <w:rFonts w:ascii="Arial" w:cs="Arial" w:eastAsia="Arial" w:hAnsi="Arial"/>
          <w:b w:val="false"/>
          <w:bCs w:val="false"/>
          <w:color w:val="26353A"/>
          <w:sz w:val="19"/>
          <w:szCs w:val="19"/>
        </w:rPr>
        <w:t xml:space="preserve">Support : navigateur sur ordinateur et téléphone, connexion testée, pages préparées à l'avance. Utiliser des profils de démonstration ou des données publiables avec autorisation. Ne jamais afficher de mots de passe, coordonnées privées, documents KYC ou codes OTP.</w:t>
      </w:r>
    </w:p>
    <w:p>
      <w:pPr>
        <w:spacing w:after="80" w:line="280"/>
      </w:pPr>
      <w:r>
        <w:rPr>
          <w:rFonts w:ascii="Arial" w:cs="Arial" w:eastAsia="Arial" w:hAnsi="Arial"/>
          <w:b w:val="false"/>
          <w:bCs w:val="false"/>
          <w:color w:val="26353A"/>
          <w:sz w:val="19"/>
          <w:szCs w:val="19"/>
        </w:rPr>
        <w:t xml:space="preserve">Présentateur : Juvet TAJO, président fondateur d'ArtisanConnect et ingénieur plateforme SRE, résidant en France. Présence prévue au Cameroun du 9 octobre au 7 décembre 2026. Contact : juvettaj@gmail.com; téléphone facultatif : +33 7 82 51 05 46. Relais local : Ngounou Junior; téléphone facultatif : +237 691 759 881.</w:t>
      </w:r>
    </w:p>
    <w:p>
      <w:pPr>
        <w:keepNext/>
        <w:shd w:fill="F1F6F4" w:val="clear"/>
        <w:spacing w:after="95" w:before="150"/>
      </w:pPr>
      <w:r>
        <w:rPr>
          <w:rFonts w:ascii="Arial" w:cs="Arial" w:eastAsia="Arial" w:hAnsi="Arial"/>
          <w:b/>
          <w:bCs/>
          <w:color w:val="203239"/>
          <w:sz w:val="30"/>
          <w:szCs w:val="30"/>
        </w:rPr>
        <w:t xml:space="preserve">Déroulé chronométré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3300"/>
      </w:tblGrid>
      <w:tr>
        <w:trPr>
          <w:cantSplit/>
        </w:trPr>
        <w:tc>
          <w:tcPr>
            <w:tcW w:type="dxa" w:w="2700"/>
            <w:tcBorders>
              <w:top w:val="single" w:color="D7E0DD" w:sz="4"/>
              <w:left w:val="single" w:color="D7E0DD" w:sz="4"/>
              <w:bottom w:val="single" w:color="D7E0DD" w:sz="4"/>
              <w:right w:val="single" w:color="D7E0DD" w:sz="4"/>
            </w:tcBorders>
            <w:shd w:fill="203239" w:val="clear"/>
            <w:tcMar>
              <w:top w:type="dxa" w:w="90"/>
              <w:left w:type="dxa" w:w="100"/>
              <w:bottom w:type="dxa" w:w="90"/>
              <w:right w:type="dxa" w:w="100"/>
            </w:tcMar>
          </w:tcPr>
          <w:p>
            <w:pPr>
              <w:spacing w:after="0"/>
            </w:pPr>
            <w:r>
              <w:rPr>
                <w:rFonts w:ascii="Arial" w:cs="Arial" w:eastAsia="Arial" w:hAnsi="Arial"/>
                <w:b/>
                <w:bCs/>
                <w:color w:val="FFFFFF"/>
                <w:sz w:val="18"/>
                <w:szCs w:val="18"/>
              </w:rPr>
              <w:t xml:space="preserve">Temps</w:t>
            </w:r>
          </w:p>
        </w:tc>
        <w:tc>
          <w:tcPr>
            <w:tcW w:type="dxa" w:w="4000"/>
            <w:tcBorders>
              <w:top w:val="single" w:color="D7E0DD" w:sz="4"/>
              <w:left w:val="single" w:color="D7E0DD" w:sz="4"/>
              <w:bottom w:val="single" w:color="D7E0DD" w:sz="4"/>
              <w:right w:val="single" w:color="D7E0DD" w:sz="4"/>
            </w:tcBorders>
            <w:shd w:fill="203239" w:val="clear"/>
            <w:tcMar>
              <w:top w:type="dxa" w:w="90"/>
              <w:left w:type="dxa" w:w="100"/>
              <w:bottom w:type="dxa" w:w="90"/>
              <w:right w:type="dxa" w:w="100"/>
            </w:tcMar>
          </w:tcPr>
          <w:p>
            <w:pPr>
              <w:spacing w:after="0"/>
            </w:pPr>
            <w:r>
              <w:rPr>
                <w:rFonts w:ascii="Arial" w:cs="Arial" w:eastAsia="Arial" w:hAnsi="Arial"/>
                <w:b/>
                <w:bCs/>
                <w:color w:val="FFFFFF"/>
                <w:sz w:val="18"/>
                <w:szCs w:val="18"/>
              </w:rPr>
              <w:t xml:space="preserve">Écran / action</w:t>
            </w:r>
          </w:p>
        </w:tc>
        <w:tc>
          <w:tcPr>
            <w:tcW w:type="dxa" w:w="3300"/>
            <w:tcBorders>
              <w:top w:val="single" w:color="D7E0DD" w:sz="4"/>
              <w:left w:val="single" w:color="D7E0DD" w:sz="4"/>
              <w:bottom w:val="single" w:color="D7E0DD" w:sz="4"/>
              <w:right w:val="single" w:color="D7E0DD" w:sz="4"/>
            </w:tcBorders>
            <w:shd w:fill="203239" w:val="clear"/>
            <w:tcMar>
              <w:top w:type="dxa" w:w="90"/>
              <w:left w:type="dxa" w:w="100"/>
              <w:bottom w:type="dxa" w:w="90"/>
              <w:right w:type="dxa" w:w="100"/>
            </w:tcMar>
          </w:tcPr>
          <w:p>
            <w:pPr>
              <w:spacing w:after="0"/>
            </w:pPr>
            <w:r>
              <w:rPr>
                <w:rFonts w:ascii="Arial" w:cs="Arial" w:eastAsia="Arial" w:hAnsi="Arial"/>
                <w:b/>
                <w:bCs/>
                <w:color w:val="FFFFFF"/>
                <w:sz w:val="18"/>
                <w:szCs w:val="18"/>
              </w:rPr>
              <w:t xml:space="preserve">Message à faire passer</w:t>
            </w:r>
          </w:p>
        </w:tc>
      </w:tr>
      <w:tr>
        <w:trPr>
          <w:cantSplit/>
        </w:trPr>
        <w:tc>
          <w:tcPr>
            <w:tcW w:type="dxa" w:w="27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0:00–1:00</w:t>
            </w:r>
          </w:p>
        </w:tc>
        <w:tc>
          <w:tcPr>
            <w:tcW w:type="dxa" w:w="40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Fiche d'accueil ArtisanConnect; ouvrir artisanconnectcm.info</w:t>
            </w:r>
          </w:p>
        </w:tc>
        <w:tc>
          <w:tcPr>
            <w:tcW w:type="dxa" w:w="33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 L'objectif est de rendre une offre artisanale plus facile à découvrir et de structurer le premier contact. »</w:t>
            </w:r>
          </w:p>
        </w:tc>
      </w:tr>
      <w:tr>
        <w:trPr>
          <w:cantSplit/>
        </w:trPr>
        <w:tc>
          <w:tcPr>
            <w:tcW w:type="dxa" w:w="27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1:00–3:00</w:t>
            </w:r>
          </w:p>
        </w:tc>
        <w:tc>
          <w:tcPr>
            <w:tcW w:type="dxa" w:w="40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Ouvrir Trouver un artisan; filtrer par métier et ville; consulter une fiche artisan</w:t>
            </w:r>
          </w:p>
        </w:tc>
        <w:tc>
          <w:tcPr>
            <w:tcW w:type="dxa" w:w="33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Montrer la découverte par localité, les réalisations et les informations de l'offre. Préciser que le profil doit être validé avec l'artisan.</w:t>
            </w:r>
          </w:p>
        </w:tc>
      </w:tr>
      <w:tr>
        <w:trPr>
          <w:cantSplit/>
        </w:trPr>
        <w:tc>
          <w:tcPr>
            <w:tcW w:type="dxa" w:w="27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3:00–5:00</w:t>
            </w:r>
          </w:p>
        </w:tc>
        <w:tc>
          <w:tcPr>
            <w:tcW w:type="dxa" w:w="40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Ouvrir une offre de service ou produit; démarrer une demande de devis</w:t>
            </w:r>
          </w:p>
        </w:tc>
        <w:tc>
          <w:tcPr>
            <w:tcW w:type="dxa" w:w="33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Montrer comment un besoin devient une demande compréhensible. Ne pas envoyer de demande réelle à un artisan sans accord.</w:t>
            </w:r>
          </w:p>
        </w:tc>
      </w:tr>
      <w:tr>
        <w:trPr>
          <w:cantSplit/>
        </w:trPr>
        <w:tc>
          <w:tcPr>
            <w:tcW w:type="dxa" w:w="27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5:00–7:30</w:t>
            </w:r>
          </w:p>
        </w:tc>
        <w:tc>
          <w:tcPr>
            <w:tcW w:type="dxa" w:w="40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Espace de revue admin; ouvrir un brief B2B de démonstration, charger les suggestions, sélectionner jusqu'à cinq artisans</w:t>
            </w:r>
          </w:p>
        </w:tc>
        <w:tc>
          <w:tcPr>
            <w:tcW w:type="dxa" w:w="33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Expliquer la revue humaine, les critères de pertinence et le fait que seuls les artisans sélectionnés reçoivent le brief. Utiliser un brief fictif clairement marqué démo.</w:t>
            </w:r>
          </w:p>
        </w:tc>
      </w:tr>
      <w:tr>
        <w:trPr>
          <w:cantSplit/>
        </w:trPr>
        <w:tc>
          <w:tcPr>
            <w:tcW w:type="dxa" w:w="27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7:30–8:30</w:t>
            </w:r>
          </w:p>
        </w:tc>
        <w:tc>
          <w:tcPr>
            <w:tcW w:type="dxa" w:w="40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Montrer le lien WhatsApp et la référence de demande sans envoyer le message</w:t>
            </w:r>
          </w:p>
        </w:tc>
        <w:tc>
          <w:tcPr>
            <w:tcW w:type="dxa" w:w="33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Le clic facilite le contact; il n'atteste ni devis accepté, ni commande, ni vente. Les échanges hors plateforme nécessitent un retour déclaratif.</w:t>
            </w:r>
          </w:p>
        </w:tc>
      </w:tr>
      <w:tr>
        <w:trPr>
          <w:cantSplit/>
        </w:trPr>
        <w:tc>
          <w:tcPr>
            <w:tcW w:type="dxa" w:w="27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8:30–9:15</w:t>
            </w:r>
          </w:p>
        </w:tc>
        <w:tc>
          <w:tcPr>
            <w:tcW w:type="dxa" w:w="40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Montrer le tableau de suivi agrégé ou un tableau préparé</w:t>
            </w:r>
          </w:p>
        </w:tc>
        <w:tc>
          <w:tcPr>
            <w:tcW w:type="dxa" w:w="33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Séparer comptes inscrits, profils activés, offres réelles, demandes, réponses, mises en relation et ventes déclarées. Ne pas exposer de données nominatives.</w:t>
            </w:r>
          </w:p>
        </w:tc>
      </w:tr>
      <w:tr>
        <w:trPr>
          <w:cantSplit/>
        </w:trPr>
        <w:tc>
          <w:tcPr>
            <w:tcW w:type="dxa" w:w="27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9:15–10:00</w:t>
            </w:r>
          </w:p>
        </w:tc>
        <w:tc>
          <w:tcPr>
            <w:tcW w:type="dxa" w:w="40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Revenir à la proposition de test et conclure</w:t>
            </w:r>
          </w:p>
        </w:tc>
        <w:tc>
          <w:tcPr>
            <w:tcW w:type="dxa" w:w="33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Demander le cadrage avec la DAMSI / Sous-Direction de l'Artisanat et examiner un village artisanal comme terrain. Le SIARC 2026 étant passé, toute contribution numérique viserait une prochaine édition et requerrait l'accord des organisateurs.</w:t>
            </w:r>
          </w:p>
        </w:tc>
      </w:tr>
    </w:tbl>
    <w:p>
      <w:pPr>
        <w:keepNext/>
        <w:shd w:fill="F1F6F4" w:val="clear"/>
        <w:spacing w:after="95" w:before="150"/>
      </w:pPr>
      <w:r>
        <w:rPr>
          <w:rFonts w:ascii="Arial" w:cs="Arial" w:eastAsia="Arial" w:hAnsi="Arial"/>
          <w:b/>
          <w:bCs/>
          <w:color w:val="203239"/>
          <w:sz w:val="30"/>
          <w:szCs w:val="30"/>
        </w:rPr>
        <w:t xml:space="preserve">Phrase de clôture</w:t>
      </w:r>
    </w:p>
    <w:p>
      <w:pPr>
        <w:spacing w:after="80" w:line="280"/>
      </w:pPr>
      <w:r>
        <w:rPr>
          <w:rFonts w:ascii="Arial" w:cs="Arial" w:eastAsia="Arial" w:hAnsi="Arial"/>
          <w:b w:val="false"/>
          <w:bCs w:val="false"/>
          <w:color w:val="26353A"/>
          <w:sz w:val="19"/>
          <w:szCs w:val="19"/>
        </w:rPr>
        <w:t xml:space="preserve">« Nous sollicitons aujourd'hui une audience de cadrage avec la DAMSI et la Sous-Direction de l'Artisanat. Si l'intérêt est confirmé, nous proposons d'examiner un test limité avec un village artisanal, puis d'en définir conjointement les critères, les responsabilités, les règles de données et le budget avant toute extension. »</w:t>
      </w:r>
    </w:p>
    <w:p>
      <w:pPr>
        <w:keepNext/>
        <w:shd w:fill="F1F6F4" w:val="clear"/>
        <w:spacing w:after="95" w:before="150"/>
      </w:pPr>
      <w:r>
        <w:rPr>
          <w:rFonts w:ascii="Arial" w:cs="Arial" w:eastAsia="Arial" w:hAnsi="Arial"/>
          <w:b/>
          <w:bCs/>
          <w:color w:val="203239"/>
          <w:sz w:val="30"/>
          <w:szCs w:val="30"/>
        </w:rPr>
        <w:t xml:space="preserve">Préparation avant la réunion</w:t>
      </w:r>
    </w:p>
    <w:p>
      <w:pPr>
        <w:spacing w:after="65" w:line="280"/>
        <w:ind w:left="300" w:hanging="180"/>
      </w:pPr>
      <w:r>
        <w:rPr>
          <w:rFonts w:ascii="Arial" w:cs="Arial" w:eastAsia="Arial" w:hAnsi="Arial"/>
          <w:b w:val="false"/>
          <w:bCs w:val="false"/>
          <w:color w:val="26353A"/>
          <w:sz w:val="19"/>
          <w:szCs w:val="19"/>
        </w:rPr>
        <w:t xml:space="preserve">•  Tester la connexion, le navigateur et le QR code; garder des captures d'écran de secours.</w:t>
      </w:r>
    </w:p>
    <w:p>
      <w:pPr>
        <w:spacing w:after="65" w:line="280"/>
        <w:ind w:left="300" w:hanging="180"/>
      </w:pPr>
      <w:r>
        <w:rPr>
          <w:rFonts w:ascii="Arial" w:cs="Arial" w:eastAsia="Arial" w:hAnsi="Arial"/>
          <w:b w:val="false"/>
          <w:bCs w:val="false"/>
          <w:color w:val="26353A"/>
          <w:sz w:val="19"/>
          <w:szCs w:val="19"/>
        </w:rPr>
        <w:t xml:space="preserve">•  Ouvrir uniquement des comptes et fiches de démonstration; préparer un brief B2B fictif.</w:t>
      </w:r>
    </w:p>
    <w:p>
      <w:pPr>
        <w:spacing w:after="65" w:line="280"/>
        <w:ind w:left="300" w:hanging="180"/>
      </w:pPr>
      <w:r>
        <w:rPr>
          <w:rFonts w:ascii="Arial" w:cs="Arial" w:eastAsia="Arial" w:hAnsi="Arial"/>
          <w:b w:val="false"/>
          <w:bCs w:val="false"/>
          <w:color w:val="26353A"/>
          <w:sz w:val="19"/>
          <w:szCs w:val="19"/>
        </w:rPr>
        <w:t xml:space="preserve">•  Vérifier les liens publics et les éléments qui pourraient exposer une donnée personnelle.</w:t>
      </w:r>
    </w:p>
    <w:p>
      <w:pPr>
        <w:spacing w:after="65" w:line="280"/>
        <w:ind w:left="300" w:hanging="180"/>
      </w:pPr>
      <w:r>
        <w:rPr>
          <w:rFonts w:ascii="Arial" w:cs="Arial" w:eastAsia="Arial" w:hAnsi="Arial"/>
          <w:b w:val="false"/>
          <w:bCs w:val="false"/>
          <w:color w:val="26353A"/>
          <w:sz w:val="19"/>
          <w:szCs w:val="19"/>
        </w:rPr>
        <w:t xml:space="preserve">•  Masquer les onglets, notifications, mots de passe, clés et informations internes.</w:t>
      </w:r>
    </w:p>
    <w:p>
      <w:pPr>
        <w:spacing w:after="65" w:line="280"/>
        <w:ind w:left="300" w:hanging="180"/>
      </w:pPr>
      <w:r>
        <w:rPr>
          <w:rFonts w:ascii="Arial" w:cs="Arial" w:eastAsia="Arial" w:hAnsi="Arial"/>
          <w:b w:val="false"/>
          <w:bCs w:val="false"/>
          <w:color w:val="26353A"/>
          <w:sz w:val="19"/>
          <w:szCs w:val="19"/>
        </w:rPr>
        <w:t xml:space="preserve">•  Ne pas effectuer de paiement réel; présenter Mobile Money et livraison comme simulés.</w:t>
      </w:r>
    </w:p>
    <w:p>
      <w:pPr>
        <w:spacing w:after="65" w:line="280"/>
        <w:ind w:left="300" w:hanging="180"/>
      </w:pPr>
      <w:r>
        <w:rPr>
          <w:rFonts w:ascii="Arial" w:cs="Arial" w:eastAsia="Arial" w:hAnsi="Arial"/>
          <w:b w:val="false"/>
          <w:bCs w:val="false"/>
          <w:color w:val="26353A"/>
          <w:sz w:val="19"/>
          <w:szCs w:val="19"/>
        </w:rPr>
        <w:t xml:space="preserve">•  Préparer la lettre, la note conceptuelle, la fiche d'une page et les coordonnées professionnelles. Contact porteur : juvettaj@gmail.com; téléphone facultatif : +33 7 82 51 05 46. Représentant local au Cameroun : Ngounou Junior; téléphone facultatif : +237 691 759 881. Fenêtre de présence prévue : du 9 octobre au 7 décembre 2026.</w:t>
      </w:r>
    </w:p>
    <w:sectPr>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pPr>
        <w:spacing w:line="2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av5hn39gdworyywhryuoy" Type="http://schemas.openxmlformats.org/officeDocument/2006/relationships/hyperlink" Target="https://artisanconnectcm.info" TargetMode="External"/><Relationship Id="rId7" Type="http://schemas.openxmlformats.org/officeDocument/2006/relationships/image" Target="media/dc93010d8816d0b11c34a975521895ba404c6676.png"/><Relationship Id="rId8" Type="http://schemas.openxmlformats.org/officeDocument/2006/relationships/image" Target="media/73d12b03ae774e23887887dc9b7869066ba18b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Démonstration DAMSI — 10 minutes</dc:title>
  <dc:subject>Présenter l’offre · Examiner les pistes village/SIARC/formalisation</dc:subject>
  <dc:creator>ArtisanConnect</dc:creator>
  <cp:lastModifiedBy>Un-named</cp:lastModifiedBy>
  <cp:revision>1</cp:revision>
  <dcterms:created xsi:type="dcterms:W3CDTF">2026-09-29T01:06:29.400Z</dcterms:created>
  <dcterms:modified xsi:type="dcterms:W3CDTF">2026-09-29T01:06:29.400Z</dcterms:modified>
</cp:coreProperties>
</file>

<file path=docProps/custom.xml><?xml version="1.0" encoding="utf-8"?>
<Properties xmlns="http://schemas.openxmlformats.org/officeDocument/2006/custom-properties" xmlns:vt="http://schemas.openxmlformats.org/officeDocument/2006/docPropsVTypes"/>
</file>