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77A28" w:sz="14" w:space="4"/>
        </w:pBdr>
        <w:spacing w:after="70"/>
      </w:pPr>
      <w:r>
        <w:rPr>
          <w:rFonts w:ascii="Arial" w:cs="Arial" w:eastAsia="Arial" w:hAnsi="Arial"/>
          <w:b/>
          <w:bCs/>
          <w:i w:val="false"/>
          <w:iCs w:val="false"/>
          <w:color w:val="203239"/>
          <w:sz w:val="30"/>
          <w:szCs w:val="30"/>
        </w:rPr>
        <w:t xml:space="preserve">Artisan</w:t>
      </w:r>
      <w:r>
        <w:rPr>
          <w:rFonts w:ascii="Arial" w:cs="Arial" w:eastAsia="Arial" w:hAnsi="Arial"/>
          <w:b/>
          <w:bCs/>
          <w:i w:val="false"/>
          <w:iCs w:val="false"/>
          <w:color w:val="C77A28"/>
          <w:sz w:val="30"/>
          <w:szCs w:val="30"/>
        </w:rPr>
        <w:t xml:space="preserve">Connect</w:t>
      </w:r>
      <w:r>
        <w:rPr>
          <w:rFonts w:ascii="Arial" w:cs="Arial" w:eastAsia="Arial" w:hAnsi="Arial"/>
          <w:b w:val="false"/>
          <w:bCs w:val="false"/>
          <w:i w:val="false"/>
          <w:iCs w:val="false"/>
          <w:color w:val="647378"/>
          <w:sz w:val="14"/>
          <w:szCs w:val="14"/>
        </w:rPr>
        <w:t xml:space="preserve">     DOSSIER DE DISCUSSION · 29 SEPTEMBRE 2026</w:t>
      </w:r>
    </w:p>
    <w:p>
      <w:pPr>
        <w:spacing w:after="30"/>
        <w:jc w:val="right"/>
      </w:pPr>
      <w:hyperlink w:history="1" r:id="rIdwyenn6lgmc5kjdpullstn">
        <w:r>
          <w:drawing>
            <wp:inline distT="0" distB="0" distL="0" distR="0">
              <wp:extent cx="628650" cy="628650"/>
              <wp:effectExtent t="0" r="0" b="0" l="0"/>
              <wp:docPr id="2" descr="Scanner ou cliquer pour ouvrir le site" title="QR ArtisanConnect">
                <a:hlinkClick xmlns:a="http://schemas.openxmlformats.org/drawingml/2006/main" r:id="rIdwyenn6lgmc5kjdpullstn"/>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a:hlinkClick r:id="rIdwyenn6lgmc5kjdpullstn"/>
                      </pic:cNvPr>
                      <pic:cNvPicPr>
                        <a:picLocks noChangeAspect="1" noChangeArrowheads="1"/>
                      </pic:cNvPicPr>
                    </pic:nvPicPr>
                    <pic:blipFill>
                      <a:blip r:embed="rId7" cstate="none"/>
                      <a:srcRect/>
                      <a:stretch>
                        <a:fillRect/>
                      </a:stretch>
                    </pic:blipFill>
                    <pic:spPr bwMode="auto">
                      <a:xfrm>
                        <a:off x="0" y="0"/>
                        <a:ext cx="628650" cy="628650"/>
                      </a:xfrm>
                      <a:prstGeom prst="rect">
                        <a:avLst/>
                      </a:prstGeom>
                    </pic:spPr>
                  </pic:pic>
                </a:graphicData>
              </a:graphic>
            </wp:inline>
          </w:drawing>
        </w:r>
      </w:hyperlink>
    </w:p>
    <w:p>
      <w:pPr>
        <w:keepNext/>
        <w:spacing w:after="55"/>
      </w:pPr>
      <w:r>
        <w:rPr>
          <w:rFonts w:ascii="Arial" w:cs="Arial" w:eastAsia="Arial" w:hAnsi="Arial"/>
          <w:b/>
          <w:bCs/>
          <w:i w:val="false"/>
          <w:iCs w:val="false"/>
          <w:color w:val="203239"/>
          <w:sz w:val="40"/>
          <w:szCs w:val="40"/>
        </w:rPr>
        <w:t xml:space="preserve">Note conceptuelle — MINCOMMERCE</w:t>
      </w:r>
    </w:p>
    <w:p>
      <w:pPr>
        <w:spacing w:after="120"/>
      </w:pPr>
      <w:r>
        <w:rPr>
          <w:rFonts w:ascii="Arial" w:cs="Arial" w:eastAsia="Arial" w:hAnsi="Arial"/>
          <w:b w:val="false"/>
          <w:bCs w:val="false"/>
          <w:i w:val="false"/>
          <w:iCs w:val="false"/>
          <w:color w:val="176B5B"/>
          <w:sz w:val="20"/>
          <w:szCs w:val="20"/>
        </w:rPr>
        <w:t xml:space="preserve">Note conceptuelle — MINCOMMERCE</w:t>
      </w:r>
    </w:p>
    <w:p>
      <w:pPr>
        <w:keepNext/>
        <w:spacing w:after="100"/>
      </w:pPr>
      <w:r>
        <w:rPr>
          <w:rFonts w:ascii="Arial" w:cs="Arial" w:eastAsia="Arial" w:hAnsi="Arial"/>
          <w:b/>
          <w:bCs/>
          <w:i w:val="false"/>
          <w:iCs w:val="false"/>
          <w:color w:val="203239"/>
          <w:sz w:val="42"/>
          <w:szCs w:val="42"/>
        </w:rPr>
        <w:t xml:space="preserve">Note conceptuelle — vitrine numérique et accès au marché intérieur</w:t>
      </w:r>
    </w:p>
    <w:p>
      <w:pPr>
        <w:spacing w:after="55" w:line="260"/>
      </w:pPr>
      <w:r>
        <w:rPr>
          <w:rFonts w:ascii="Arial" w:cs="Arial" w:eastAsia="Arial" w:hAnsi="Arial"/>
          <w:b w:val="false"/>
          <w:bCs w:val="false"/>
          <w:i w:val="false"/>
          <w:iCs w:val="false"/>
          <w:color w:val="26353A"/>
          <w:sz w:val="18"/>
          <w:szCs w:val="18"/>
        </w:rPr>
        <w:t xml:space="preserve">Destinataire proposé : MINCOMMERCE</w:t>
      </w:r>
    </w:p>
    <w:p>
      <w:pPr>
        <w:spacing w:after="55" w:line="260"/>
      </w:pPr>
      <w:r>
        <w:rPr>
          <w:rFonts w:ascii="Arial" w:cs="Arial" w:eastAsia="Arial" w:hAnsi="Arial"/>
          <w:b w:val="false"/>
          <w:bCs w:val="false"/>
          <w:i w:val="false"/>
          <w:iCs w:val="false"/>
          <w:color w:val="26353A"/>
          <w:sz w:val="18"/>
          <w:szCs w:val="18"/>
        </w:rPr>
        <w:t xml:space="preserve">Porteur : Juvet TAJO, président fondateur d'ArtisanConnect, résidant en France</w:t>
      </w:r>
    </w:p>
    <w:p>
      <w:pPr>
        <w:spacing w:after="55" w:line="260"/>
      </w:pPr>
      <w:r>
        <w:rPr>
          <w:rFonts w:ascii="Arial" w:cs="Arial" w:eastAsia="Arial" w:hAnsi="Arial"/>
          <w:b w:val="false"/>
          <w:bCs w:val="false"/>
          <w:i w:val="false"/>
          <w:iCs w:val="false"/>
          <w:color w:val="26353A"/>
          <w:sz w:val="18"/>
          <w:szCs w:val="18"/>
        </w:rPr>
        <w:t xml:space="preserve">Relais local proposé : Ngounou Junior · +237 691 759 881</w:t>
      </w:r>
    </w:p>
    <w:p>
      <w:pPr>
        <w:spacing w:after="55" w:line="260"/>
      </w:pPr>
      <w:r>
        <w:rPr>
          <w:rFonts w:ascii="Arial" w:cs="Arial" w:eastAsia="Arial" w:hAnsi="Arial"/>
          <w:b w:val="false"/>
          <w:bCs w:val="false"/>
          <w:i w:val="false"/>
          <w:iCs w:val="false"/>
          <w:color w:val="26353A"/>
          <w:sz w:val="18"/>
          <w:szCs w:val="18"/>
        </w:rPr>
        <w:t xml:space="preserve">Version de travail : 29 septembre 2026 · Statut : discussion, sans engagement ni budget approuvé</w:t>
      </w:r>
    </w:p>
    <w:p>
      <w:pPr>
        <w:keepNext/>
        <w:shd w:fill="F1F6F4" w:val="clear"/>
        <w:spacing w:after="70" w:before="100"/>
      </w:pPr>
      <w:r>
        <w:rPr>
          <w:rFonts w:ascii="Arial" w:cs="Arial" w:eastAsia="Arial" w:hAnsi="Arial"/>
          <w:b/>
          <w:bCs/>
          <w:i w:val="false"/>
          <w:iCs w:val="false"/>
          <w:color w:val="203239"/>
          <w:sz w:val="24"/>
          <w:szCs w:val="24"/>
        </w:rPr>
        <w:t xml:space="preserve">1. Résumé</w:t>
      </w:r>
    </w:p>
    <w:p>
      <w:pPr>
        <w:spacing w:after="55" w:line="260"/>
      </w:pPr>
      <w:r>
        <w:rPr>
          <w:rFonts w:ascii="Arial" w:cs="Arial" w:eastAsia="Arial" w:hAnsi="Arial"/>
          <w:b w:val="false"/>
          <w:bCs w:val="false"/>
          <w:i w:val="false"/>
          <w:iCs w:val="false"/>
          <w:color w:val="26353A"/>
          <w:sz w:val="18"/>
          <w:szCs w:val="18"/>
        </w:rPr>
        <w:t xml:space="preserve">ArtisanConnect facilite la découverte en ligne des produits et services proposés par des artisans et petits vendeurs au Cameroun. Les utilisateurs peuvent rechercher par produit, métier et localité, consulter une fiche et prendre contact ou demander un devis. Pour un besoin professionnel, un brief peut être examiné puis transmis, après sélection manuelle, à des artisans adaptés.</w:t>
      </w:r>
    </w:p>
    <w:p>
      <w:pPr>
        <w:spacing w:after="55" w:line="260"/>
      </w:pPr>
      <w:r>
        <w:rPr>
          <w:rFonts w:ascii="Arial" w:cs="Arial" w:eastAsia="Arial" w:hAnsi="Arial"/>
          <w:b w:val="false"/>
          <w:bCs w:val="false"/>
          <w:i w:val="false"/>
          <w:iCs w:val="false"/>
          <w:color w:val="26353A"/>
          <w:sz w:val="18"/>
          <w:szCs w:val="18"/>
        </w:rPr>
        <w:t xml:space="preserve">La proposition au MINCOMMERCE est d'examiner un test limité autour de la présentation commerciale numérique et de la mise en relation avec des acheteurs. L'objectif n'est ni de créer un label, ni de remplacer les contrôles ou dispositifs publics, ni de garantir des ventes. Les fiches « origine camerounaise » ou « Made in Cameroon » ne seraient utilisées que sur la base de critères documentés et validés; aucun label officiel ne serait attribué par ArtisanConnect.</w:t>
      </w:r>
    </w:p>
    <w:p>
      <w:pPr>
        <w:spacing w:after="55" w:line="260"/>
      </w:pPr>
      <w:r>
        <w:rPr>
          <w:rFonts w:ascii="Arial" w:cs="Arial" w:eastAsia="Arial" w:hAnsi="Arial"/>
          <w:b w:val="false"/>
          <w:bCs w:val="false"/>
          <w:i w:val="false"/>
          <w:iCs w:val="false"/>
          <w:color w:val="26353A"/>
          <w:sz w:val="18"/>
          <w:szCs w:val="18"/>
        </w:rPr>
        <w:t xml:space="preserve">Le test initial pourrait réunir 5 à 10 vendeurs/artisans, une ville et 2 à 3 catégories durant environ une semaine. Une phase éventuelle allant jusqu'à 100 participants pendant 3 à 6 mois serait conditionnée aux résultats, à la disponibilité des vendeurs et du support, à l'accord du Ministère et à un budget détaillé. Aucun de ces volumes ni financement n'est approuvé.</w:t>
      </w:r>
    </w:p>
    <w:p>
      <w:pPr>
        <w:keepNext/>
        <w:shd w:fill="F1F6F4" w:val="clear"/>
        <w:spacing w:after="70" w:before="100"/>
      </w:pPr>
      <w:r>
        <w:rPr>
          <w:rFonts w:ascii="Arial" w:cs="Arial" w:eastAsia="Arial" w:hAnsi="Arial"/>
          <w:b/>
          <w:bCs/>
          <w:i w:val="false"/>
          <w:iCs w:val="false"/>
          <w:color w:val="203239"/>
          <w:sz w:val="24"/>
          <w:szCs w:val="24"/>
        </w:rPr>
        <w:t xml:space="preserve">2. Problème et proposition</w:t>
      </w:r>
    </w:p>
    <w:p>
      <w:pPr>
        <w:spacing w:after="55" w:line="260"/>
      </w:pPr>
      <w:r>
        <w:rPr>
          <w:rFonts w:ascii="Arial" w:cs="Arial" w:eastAsia="Arial" w:hAnsi="Arial"/>
          <w:b w:val="false"/>
          <w:bCs w:val="false"/>
          <w:i w:val="false"/>
          <w:iCs w:val="false"/>
          <w:color w:val="26353A"/>
          <w:sz w:val="18"/>
          <w:szCs w:val="18"/>
        </w:rPr>
        <w:t xml:space="preserve">Les produits artisanaux et locaux peuvent être difficiles à découvrir en dehors des marchés, salons et réseaux directs. Les vendeurs ont parfois besoin d'aide pour maintenir des descriptions, prix, photos, délais et disponibilités exacts. Les acheteurs ont besoin d'informations compréhensibles avant de contacter un vendeur.</w:t>
      </w:r>
    </w:p>
    <w:p>
      <w:pPr>
        <w:spacing w:after="55" w:line="260"/>
      </w:pPr>
      <w:r>
        <w:rPr>
          <w:rFonts w:ascii="Arial" w:cs="Arial" w:eastAsia="Arial" w:hAnsi="Arial"/>
          <w:b w:val="false"/>
          <w:bCs w:val="false"/>
          <w:i w:val="false"/>
          <w:iCs w:val="false"/>
          <w:color w:val="26353A"/>
          <w:sz w:val="18"/>
          <w:szCs w:val="18"/>
        </w:rPr>
        <w:t xml:space="preserve">Le test viserait à :</w:t>
      </w:r>
    </w:p>
    <w:p>
      <w:pPr>
        <w:spacing w:after="35" w:line="250"/>
        <w:ind w:left="280" w:hanging="170"/>
      </w:pPr>
      <w:r>
        <w:rPr>
          <w:rFonts w:ascii="Arial" w:cs="Arial" w:eastAsia="Arial" w:hAnsi="Arial"/>
          <w:b w:val="false"/>
          <w:bCs w:val="false"/>
          <w:i w:val="false"/>
          <w:iCs w:val="false"/>
          <w:color w:val="26353A"/>
          <w:sz w:val="18"/>
          <w:szCs w:val="18"/>
        </w:rPr>
        <w:t xml:space="preserve">•  accompagner la création de fiches commerciales avec consentement du vendeur;</w:t>
      </w:r>
    </w:p>
    <w:p>
      <w:pPr>
        <w:spacing w:after="35" w:line="250"/>
        <w:ind w:left="280" w:hanging="170"/>
      </w:pPr>
      <w:r>
        <w:rPr>
          <w:rFonts w:ascii="Arial" w:cs="Arial" w:eastAsia="Arial" w:hAnsi="Arial"/>
          <w:b w:val="false"/>
          <w:bCs w:val="false"/>
          <w:i w:val="false"/>
          <w:iCs w:val="false"/>
          <w:color w:val="26353A"/>
          <w:sz w:val="18"/>
          <w:szCs w:val="18"/>
        </w:rPr>
        <w:t xml:space="preserve">•  tester la recherche par catégorie et localité;</w:t>
      </w:r>
    </w:p>
    <w:p>
      <w:pPr>
        <w:spacing w:after="35" w:line="250"/>
        <w:ind w:left="280" w:hanging="170"/>
      </w:pPr>
      <w:r>
        <w:rPr>
          <w:rFonts w:ascii="Arial" w:cs="Arial" w:eastAsia="Arial" w:hAnsi="Arial"/>
          <w:b w:val="false"/>
          <w:bCs w:val="false"/>
          <w:i w:val="false"/>
          <w:iCs w:val="false"/>
          <w:color w:val="26353A"/>
          <w:sz w:val="18"/>
          <w:szCs w:val="18"/>
        </w:rPr>
        <w:t xml:space="preserve">•  mesurer les consultations, demandes et réponses;</w:t>
      </w:r>
    </w:p>
    <w:p>
      <w:pPr>
        <w:spacing w:after="35" w:line="250"/>
        <w:ind w:left="280" w:hanging="170"/>
      </w:pPr>
      <w:r>
        <w:rPr>
          <w:rFonts w:ascii="Arial" w:cs="Arial" w:eastAsia="Arial" w:hAnsi="Arial"/>
          <w:b w:val="false"/>
          <w:bCs w:val="false"/>
          <w:i w:val="false"/>
          <w:iCs w:val="false"/>
          <w:color w:val="26353A"/>
          <w:sz w:val="18"/>
          <w:szCs w:val="18"/>
        </w:rPr>
        <w:t xml:space="preserve">•  recueillir les obstacles rencontrés par les acheteurs et les vendeurs;</w:t>
      </w:r>
    </w:p>
    <w:p>
      <w:pPr>
        <w:spacing w:after="35" w:line="250"/>
        <w:ind w:left="280" w:hanging="170"/>
      </w:pPr>
      <w:r>
        <w:rPr>
          <w:rFonts w:ascii="Arial" w:cs="Arial" w:eastAsia="Arial" w:hAnsi="Arial"/>
          <w:b w:val="false"/>
          <w:bCs w:val="false"/>
          <w:i w:val="false"/>
          <w:iCs w:val="false"/>
          <w:color w:val="26353A"/>
          <w:sz w:val="18"/>
          <w:szCs w:val="18"/>
        </w:rPr>
        <w:t xml:space="preserve">•  examiner un éventuel relais numérique d'un événement ou d'une campagne, après autorisation.</w:t>
      </w:r>
    </w:p>
    <w:p>
      <w:pPr>
        <w:spacing w:after="55" w:line="260"/>
      </w:pPr>
      <w:r>
        <w:rPr>
          <w:rFonts w:ascii="Arial" w:cs="Arial" w:eastAsia="Arial" w:hAnsi="Arial"/>
          <w:b w:val="false"/>
          <w:bCs w:val="false"/>
          <w:i w:val="false"/>
          <w:iCs w:val="false"/>
          <w:color w:val="26353A"/>
          <w:sz w:val="18"/>
          <w:szCs w:val="18"/>
        </w:rPr>
        <w:t xml:space="preserve">ArtisanConnect fournit une vitrine et des outils de mise en relation; elle ne certifie pas un produit, ne vérifie pas automatiquement chaque déclaration d'origine et n'est pas un organisme de contrôle du consommateur.</w:t>
      </w:r>
    </w:p>
    <w:p>
      <w:pPr>
        <w:keepNext/>
        <w:shd w:fill="F1F6F4" w:val="clear"/>
        <w:spacing w:after="70" w:before="100"/>
      </w:pPr>
      <w:r>
        <w:rPr>
          <w:rFonts w:ascii="Arial" w:cs="Arial" w:eastAsia="Arial" w:hAnsi="Arial"/>
          <w:b/>
          <w:bCs/>
          <w:i w:val="false"/>
          <w:iCs w:val="false"/>
          <w:color w:val="203239"/>
          <w:sz w:val="24"/>
          <w:szCs w:val="24"/>
        </w:rPr>
        <w:t xml:space="preserve">3. Périmètre progressif</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600"/>
        <w:gridCol w:w="3900"/>
        <w:gridCol w:w="3500"/>
      </w:tblGrid>
      <w:tr>
        <w:trPr>
          <w:cantSplit/>
        </w:trPr>
        <w:tc>
          <w:tcPr>
            <w:tcW w:type="dxa" w:w="2600"/>
            <w:tcBorders>
              <w:top w:val="single" w:color="D7E0DD" w:sz="3"/>
              <w:left w:val="single" w:color="D7E0DD" w:sz="3"/>
              <w:bottom w:val="single" w:color="D7E0DD" w:sz="3"/>
              <w:right w:val="single" w:color="D7E0DD" w:sz="3"/>
            </w:tcBorders>
            <w:shd w:fill="203239" w:val="clear"/>
            <w:tcMar>
              <w:top w:type="dxa" w:w="70"/>
              <w:left w:type="dxa" w:w="85"/>
              <w:bottom w:type="dxa" w:w="70"/>
              <w:right w:type="dxa" w:w="85"/>
            </w:tcMar>
          </w:tcPr>
          <w:p>
            <w:pPr>
              <w:spacing w:after="0" w:line="225"/>
            </w:pPr>
            <w:r>
              <w:rPr>
                <w:rFonts w:ascii="Arial" w:cs="Arial" w:eastAsia="Arial" w:hAnsi="Arial"/>
                <w:b/>
                <w:bCs/>
                <w:i w:val="false"/>
                <w:iCs w:val="false"/>
                <w:color w:val="FFFFFF"/>
                <w:sz w:val="16"/>
                <w:szCs w:val="16"/>
              </w:rPr>
              <w:t xml:space="preserve">Phase indicative</w:t>
            </w:r>
          </w:p>
        </w:tc>
        <w:tc>
          <w:tcPr>
            <w:tcW w:type="dxa" w:w="3900"/>
            <w:tcBorders>
              <w:top w:val="single" w:color="D7E0DD" w:sz="3"/>
              <w:left w:val="single" w:color="D7E0DD" w:sz="3"/>
              <w:bottom w:val="single" w:color="D7E0DD" w:sz="3"/>
              <w:right w:val="single" w:color="D7E0DD" w:sz="3"/>
            </w:tcBorders>
            <w:shd w:fill="203239" w:val="clear"/>
            <w:tcMar>
              <w:top w:type="dxa" w:w="70"/>
              <w:left w:type="dxa" w:w="85"/>
              <w:bottom w:type="dxa" w:w="70"/>
              <w:right w:type="dxa" w:w="85"/>
            </w:tcMar>
          </w:tcPr>
          <w:p>
            <w:pPr>
              <w:spacing w:after="0" w:line="225"/>
            </w:pPr>
            <w:r>
              <w:rPr>
                <w:rFonts w:ascii="Arial" w:cs="Arial" w:eastAsia="Arial" w:hAnsi="Arial"/>
                <w:b/>
                <w:bCs/>
                <w:i w:val="false"/>
                <w:iCs w:val="false"/>
                <w:color w:val="FFFFFF"/>
                <w:sz w:val="16"/>
                <w:szCs w:val="16"/>
              </w:rPr>
              <w:t xml:space="preserve">Hypothèse de cadrage</w:t>
            </w:r>
          </w:p>
        </w:tc>
        <w:tc>
          <w:tcPr>
            <w:tcW w:type="dxa" w:w="3500"/>
            <w:tcBorders>
              <w:top w:val="single" w:color="D7E0DD" w:sz="3"/>
              <w:left w:val="single" w:color="D7E0DD" w:sz="3"/>
              <w:bottom w:val="single" w:color="D7E0DD" w:sz="3"/>
              <w:right w:val="single" w:color="D7E0DD" w:sz="3"/>
            </w:tcBorders>
            <w:shd w:fill="203239" w:val="clear"/>
            <w:tcMar>
              <w:top w:type="dxa" w:w="70"/>
              <w:left w:type="dxa" w:w="85"/>
              <w:bottom w:type="dxa" w:w="70"/>
              <w:right w:type="dxa" w:w="85"/>
            </w:tcMar>
          </w:tcPr>
          <w:p>
            <w:pPr>
              <w:spacing w:after="0" w:line="225"/>
            </w:pPr>
            <w:r>
              <w:rPr>
                <w:rFonts w:ascii="Arial" w:cs="Arial" w:eastAsia="Arial" w:hAnsi="Arial"/>
                <w:b/>
                <w:bCs/>
                <w:i w:val="false"/>
                <w:iCs w:val="false"/>
                <w:color w:val="FFFFFF"/>
                <w:sz w:val="16"/>
                <w:szCs w:val="16"/>
              </w:rPr>
              <w:t xml:space="preserve">Condition de passage</w:t>
            </w:r>
          </w:p>
        </w:tc>
      </w:tr>
      <w:tr>
        <w:trPr>
          <w:cantSplit/>
        </w:trPr>
        <w:tc>
          <w:tcPr>
            <w:tcW w:type="dxa" w:w="2600"/>
            <w:tcBorders>
              <w:top w:val="single" w:color="D7E0DD" w:sz="3"/>
              <w:left w:val="single" w:color="D7E0DD" w:sz="3"/>
              <w:bottom w:val="single" w:color="D7E0DD" w:sz="3"/>
              <w:right w:val="single" w:color="D7E0DD" w:sz="3"/>
            </w:tcBorders>
            <w:shd w:fill="FFFFFF"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Test terrain</w:t>
            </w:r>
          </w:p>
        </w:tc>
        <w:tc>
          <w:tcPr>
            <w:tcW w:type="dxa" w:w="3900"/>
            <w:tcBorders>
              <w:top w:val="single" w:color="D7E0DD" w:sz="3"/>
              <w:left w:val="single" w:color="D7E0DD" w:sz="3"/>
              <w:bottom w:val="single" w:color="D7E0DD" w:sz="3"/>
              <w:right w:val="single" w:color="D7E0DD" w:sz="3"/>
            </w:tcBorders>
            <w:shd w:fill="FFFFFF"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5–10 vendeurs, 1 ville, 2–3 catégories, environ 1 semaine</w:t>
            </w:r>
          </w:p>
        </w:tc>
        <w:tc>
          <w:tcPr>
            <w:tcW w:type="dxa" w:w="3500"/>
            <w:tcBorders>
              <w:top w:val="single" w:color="D7E0DD" w:sz="3"/>
              <w:left w:val="single" w:color="D7E0DD" w:sz="3"/>
              <w:bottom w:val="single" w:color="D7E0DD" w:sz="3"/>
              <w:right w:val="single" w:color="D7E0DD" w:sz="3"/>
            </w:tcBorders>
            <w:shd w:fill="FFFFFF"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Fiches vérifiées par les vendeurs; parcours réussis; incidents consignés</w:t>
            </w:r>
          </w:p>
        </w:tc>
      </w:tr>
      <w:tr>
        <w:trPr>
          <w:cantSplit/>
        </w:trPr>
        <w:tc>
          <w:tcPr>
            <w:tcW w:type="dxa" w:w="2600"/>
            <w:tcBorders>
              <w:top w:val="single" w:color="D7E0DD" w:sz="3"/>
              <w:left w:val="single" w:color="D7E0DD" w:sz="3"/>
              <w:bottom w:val="single" w:color="D7E0DD" w:sz="3"/>
              <w:right w:val="single" w:color="D7E0DD" w:sz="3"/>
            </w:tcBorders>
            <w:shd w:fill="F1F6F4"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Pilote éventuel</w:t>
            </w:r>
          </w:p>
        </w:tc>
        <w:tc>
          <w:tcPr>
            <w:tcW w:type="dxa" w:w="3900"/>
            <w:tcBorders>
              <w:top w:val="single" w:color="D7E0DD" w:sz="3"/>
              <w:left w:val="single" w:color="D7E0DD" w:sz="3"/>
              <w:bottom w:val="single" w:color="D7E0DD" w:sz="3"/>
              <w:right w:val="single" w:color="D7E0DD" w:sz="3"/>
            </w:tcBorders>
            <w:shd w:fill="F1F6F4"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Jusqu'à 100 vendeurs, territoire et catégories à confirmer, 3–6 mois</w:t>
            </w:r>
          </w:p>
        </w:tc>
        <w:tc>
          <w:tcPr>
            <w:tcW w:type="dxa" w:w="3500"/>
            <w:tcBorders>
              <w:top w:val="single" w:color="D7E0DD" w:sz="3"/>
              <w:left w:val="single" w:color="D7E0DD" w:sz="3"/>
              <w:bottom w:val="single" w:color="D7E0DD" w:sz="3"/>
              <w:right w:val="single" w:color="D7E0DD" w:sz="3"/>
            </w:tcBorders>
            <w:shd w:fill="F1F6F4"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Évaluation, accord écrit, ressources et budget approuvés</w:t>
            </w:r>
          </w:p>
        </w:tc>
      </w:tr>
      <w:tr>
        <w:trPr>
          <w:cantSplit/>
        </w:trPr>
        <w:tc>
          <w:tcPr>
            <w:tcW w:type="dxa" w:w="2600"/>
            <w:tcBorders>
              <w:top w:val="single" w:color="D7E0DD" w:sz="3"/>
              <w:left w:val="single" w:color="D7E0DD" w:sz="3"/>
              <w:bottom w:val="single" w:color="D7E0DD" w:sz="3"/>
              <w:right w:val="single" w:color="D7E0DD" w:sz="3"/>
            </w:tcBorders>
            <w:shd w:fill="FFFFFF"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Extension possible</w:t>
            </w:r>
          </w:p>
        </w:tc>
        <w:tc>
          <w:tcPr>
            <w:tcW w:type="dxa" w:w="3900"/>
            <w:tcBorders>
              <w:top w:val="single" w:color="D7E0DD" w:sz="3"/>
              <w:left w:val="single" w:color="D7E0DD" w:sz="3"/>
              <w:bottom w:val="single" w:color="D7E0DD" w:sz="3"/>
              <w:right w:val="single" w:color="D7E0DD" w:sz="3"/>
            </w:tcBorders>
            <w:shd w:fill="FFFFFF"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Volume et zones à définir</w:t>
            </w:r>
          </w:p>
        </w:tc>
        <w:tc>
          <w:tcPr>
            <w:tcW w:type="dxa" w:w="3500"/>
            <w:tcBorders>
              <w:top w:val="single" w:color="D7E0DD" w:sz="3"/>
              <w:left w:val="single" w:color="D7E0DD" w:sz="3"/>
              <w:bottom w:val="single" w:color="D7E0DD" w:sz="3"/>
              <w:right w:val="single" w:color="D7E0DD" w:sz="3"/>
            </w:tcBorders>
            <w:shd w:fill="FFFFFF"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Résultats examinés et nouvelle décision des parties</w:t>
            </w:r>
          </w:p>
        </w:tc>
      </w:tr>
    </w:tbl>
    <w:p>
      <w:pPr>
        <w:spacing w:after="55" w:line="260"/>
      </w:pPr>
      <w:r>
        <w:rPr>
          <w:rFonts w:ascii="Arial" w:cs="Arial" w:eastAsia="Arial" w:hAnsi="Arial"/>
          <w:b w:val="false"/>
          <w:bCs w:val="false"/>
          <w:i w:val="false"/>
          <w:iCs w:val="false"/>
          <w:color w:val="26353A"/>
          <w:sz w:val="18"/>
          <w:szCs w:val="18"/>
        </w:rPr>
        <w:t xml:space="preserve">Le territoire et les catégories seraient déterminés après inventaire de l'offre disponible et consultation des participants. Une campagne commerciale ne serait engagée qu'avec autorisations, règles de sélection transparentes et moyens de communication convenus.</w:t>
      </w:r>
    </w:p>
    <w:p>
      <w:r>
        <w:br w:type="page"/>
      </w:r>
    </w:p>
    <w:p>
      <w:pPr>
        <w:keepNext/>
        <w:shd w:fill="F1F6F4" w:val="clear"/>
        <w:spacing w:after="70" w:before="100"/>
      </w:pPr>
      <w:r>
        <w:rPr>
          <w:rFonts w:ascii="Arial" w:cs="Arial" w:eastAsia="Arial" w:hAnsi="Arial"/>
          <w:b/>
          <w:bCs/>
          <w:i w:val="false"/>
          <w:iCs w:val="false"/>
          <w:color w:val="203239"/>
          <w:sz w:val="24"/>
          <w:szCs w:val="24"/>
        </w:rPr>
        <w:t xml:space="preserve">4. Résultats et indicateurs</w:t>
      </w:r>
    </w:p>
    <w:p>
      <w:pPr>
        <w:spacing w:after="55" w:line="260"/>
      </w:pPr>
      <w:r>
        <w:rPr>
          <w:rFonts w:ascii="Arial" w:cs="Arial" w:eastAsia="Arial" w:hAnsi="Arial"/>
          <w:b w:val="false"/>
          <w:bCs w:val="false"/>
          <w:i w:val="false"/>
          <w:iCs w:val="false"/>
          <w:color w:val="26353A"/>
          <w:sz w:val="18"/>
          <w:szCs w:val="18"/>
        </w:rPr>
        <w:t xml:space="preserve">Les définitions et la période de mesure seraient arrêtées avec le partenaire. Les résultats seraient présentés sous forme agrégée et avec leurs limites.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00"/>
        <w:gridCol w:w="7100"/>
      </w:tblGrid>
      <w:tr>
        <w:trPr>
          <w:cantSplit/>
        </w:trPr>
        <w:tc>
          <w:tcPr>
            <w:tcW w:type="dxa" w:w="2900"/>
            <w:tcBorders>
              <w:top w:val="single" w:color="D7E0DD" w:sz="3"/>
              <w:left w:val="single" w:color="D7E0DD" w:sz="3"/>
              <w:bottom w:val="single" w:color="D7E0DD" w:sz="3"/>
              <w:right w:val="single" w:color="D7E0DD" w:sz="3"/>
            </w:tcBorders>
            <w:shd w:fill="203239" w:val="clear"/>
            <w:tcMar>
              <w:top w:type="dxa" w:w="70"/>
              <w:left w:type="dxa" w:w="85"/>
              <w:bottom w:type="dxa" w:w="70"/>
              <w:right w:type="dxa" w:w="85"/>
            </w:tcMar>
          </w:tcPr>
          <w:p>
            <w:pPr>
              <w:spacing w:after="0" w:line="225"/>
            </w:pPr>
            <w:r>
              <w:rPr>
                <w:rFonts w:ascii="Arial" w:cs="Arial" w:eastAsia="Arial" w:hAnsi="Arial"/>
                <w:b/>
                <w:bCs/>
                <w:i w:val="false"/>
                <w:iCs w:val="false"/>
                <w:color w:val="FFFFFF"/>
                <w:sz w:val="16"/>
                <w:szCs w:val="16"/>
              </w:rPr>
              <w:t xml:space="preserve">Indicateur</w:t>
            </w:r>
          </w:p>
        </w:tc>
        <w:tc>
          <w:tcPr>
            <w:tcW w:type="dxa" w:w="7100"/>
            <w:tcBorders>
              <w:top w:val="single" w:color="D7E0DD" w:sz="3"/>
              <w:left w:val="single" w:color="D7E0DD" w:sz="3"/>
              <w:bottom w:val="single" w:color="D7E0DD" w:sz="3"/>
              <w:right w:val="single" w:color="D7E0DD" w:sz="3"/>
            </w:tcBorders>
            <w:shd w:fill="203239" w:val="clear"/>
            <w:tcMar>
              <w:top w:type="dxa" w:w="70"/>
              <w:left w:type="dxa" w:w="85"/>
              <w:bottom w:type="dxa" w:w="70"/>
              <w:right w:type="dxa" w:w="85"/>
            </w:tcMar>
          </w:tcPr>
          <w:p>
            <w:pPr>
              <w:spacing w:after="0" w:line="225"/>
            </w:pPr>
            <w:r>
              <w:rPr>
                <w:rFonts w:ascii="Arial" w:cs="Arial" w:eastAsia="Arial" w:hAnsi="Arial"/>
                <w:b/>
                <w:bCs/>
                <w:i w:val="false"/>
                <w:iCs w:val="false"/>
                <w:color w:val="FFFFFF"/>
                <w:sz w:val="16"/>
                <w:szCs w:val="16"/>
              </w:rPr>
              <w:t xml:space="preserve">Sens et limite</w:t>
            </w:r>
          </w:p>
        </w:tc>
      </w:tr>
      <w:tr>
        <w:trPr>
          <w:cantSplit/>
        </w:trPr>
        <w:tc>
          <w:tcPr>
            <w:tcW w:type="dxa" w:w="2900"/>
            <w:tcBorders>
              <w:top w:val="single" w:color="D7E0DD" w:sz="3"/>
              <w:left w:val="single" w:color="D7E0DD" w:sz="3"/>
              <w:bottom w:val="single" w:color="D7E0DD" w:sz="3"/>
              <w:right w:val="single" w:color="D7E0DD" w:sz="3"/>
            </w:tcBorders>
            <w:shd w:fill="FFFFFF"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Vendeurs inscrits</w:t>
            </w:r>
          </w:p>
        </w:tc>
        <w:tc>
          <w:tcPr>
            <w:tcW w:type="dxa" w:w="7100"/>
            <w:tcBorders>
              <w:top w:val="single" w:color="D7E0DD" w:sz="3"/>
              <w:left w:val="single" w:color="D7E0DD" w:sz="3"/>
              <w:bottom w:val="single" w:color="D7E0DD" w:sz="3"/>
              <w:right w:val="single" w:color="D7E0DD" w:sz="3"/>
            </w:tcBorders>
            <w:shd w:fill="FFFFFF"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Comptes créés; ne signifie pas offre prête</w:t>
            </w:r>
          </w:p>
        </w:tc>
      </w:tr>
      <w:tr>
        <w:trPr>
          <w:cantSplit/>
        </w:trPr>
        <w:tc>
          <w:tcPr>
            <w:tcW w:type="dxa" w:w="2900"/>
            <w:tcBorders>
              <w:top w:val="single" w:color="D7E0DD" w:sz="3"/>
              <w:left w:val="single" w:color="D7E0DD" w:sz="3"/>
              <w:bottom w:val="single" w:color="D7E0DD" w:sz="3"/>
              <w:right w:val="single" w:color="D7E0DD" w:sz="3"/>
            </w:tcBorders>
            <w:shd w:fill="F1F6F4"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Fiches actives</w:t>
            </w:r>
          </w:p>
        </w:tc>
        <w:tc>
          <w:tcPr>
            <w:tcW w:type="dxa" w:w="7100"/>
            <w:tcBorders>
              <w:top w:val="single" w:color="D7E0DD" w:sz="3"/>
              <w:left w:val="single" w:color="D7E0DD" w:sz="3"/>
              <w:bottom w:val="single" w:color="D7E0DD" w:sz="3"/>
              <w:right w:val="single" w:color="D7E0DD" w:sz="3"/>
            </w:tcBorders>
            <w:shd w:fill="F1F6F4"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Offre vérifiée avec le vendeur, disponible et publiée</w:t>
            </w:r>
          </w:p>
        </w:tc>
      </w:tr>
      <w:tr>
        <w:trPr>
          <w:cantSplit/>
        </w:trPr>
        <w:tc>
          <w:tcPr>
            <w:tcW w:type="dxa" w:w="2900"/>
            <w:tcBorders>
              <w:top w:val="single" w:color="D7E0DD" w:sz="3"/>
              <w:left w:val="single" w:color="D7E0DD" w:sz="3"/>
              <w:bottom w:val="single" w:color="D7E0DD" w:sz="3"/>
              <w:right w:val="single" w:color="D7E0DD" w:sz="3"/>
            </w:tcBorders>
            <w:shd w:fill="FFFFFF"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Consultations</w:t>
            </w:r>
          </w:p>
        </w:tc>
        <w:tc>
          <w:tcPr>
            <w:tcW w:type="dxa" w:w="7100"/>
            <w:tcBorders>
              <w:top w:val="single" w:color="D7E0DD" w:sz="3"/>
              <w:left w:val="single" w:color="D7E0DD" w:sz="3"/>
              <w:bottom w:val="single" w:color="D7E0DD" w:sz="3"/>
              <w:right w:val="single" w:color="D7E0DD" w:sz="3"/>
            </w:tcBorders>
            <w:shd w:fill="FFFFFF"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Vues des fiches; ne signifient pas intérêt d'achat confirmé</w:t>
            </w:r>
          </w:p>
        </w:tc>
      </w:tr>
      <w:tr>
        <w:trPr>
          <w:cantSplit/>
        </w:trPr>
        <w:tc>
          <w:tcPr>
            <w:tcW w:type="dxa" w:w="2900"/>
            <w:tcBorders>
              <w:top w:val="single" w:color="D7E0DD" w:sz="3"/>
              <w:left w:val="single" w:color="D7E0DD" w:sz="3"/>
              <w:bottom w:val="single" w:color="D7E0DD" w:sz="3"/>
              <w:right w:val="single" w:color="D7E0DD" w:sz="3"/>
            </w:tcBorders>
            <w:shd w:fill="F1F6F4"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Demandes et réponses</w:t>
            </w:r>
          </w:p>
        </w:tc>
        <w:tc>
          <w:tcPr>
            <w:tcW w:type="dxa" w:w="7100"/>
            <w:tcBorders>
              <w:top w:val="single" w:color="D7E0DD" w:sz="3"/>
              <w:left w:val="single" w:color="D7E0DD" w:sz="3"/>
              <w:bottom w:val="single" w:color="D7E0DD" w:sz="3"/>
              <w:right w:val="single" w:color="D7E0DD" w:sz="3"/>
            </w:tcBorders>
            <w:shd w:fill="F1F6F4"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Échanges consignés dans le parcours de la plateforme</w:t>
            </w:r>
          </w:p>
        </w:tc>
      </w:tr>
      <w:tr>
        <w:trPr>
          <w:cantSplit/>
        </w:trPr>
        <w:tc>
          <w:tcPr>
            <w:tcW w:type="dxa" w:w="2900"/>
            <w:tcBorders>
              <w:top w:val="single" w:color="D7E0DD" w:sz="3"/>
              <w:left w:val="single" w:color="D7E0DD" w:sz="3"/>
              <w:bottom w:val="single" w:color="D7E0DD" w:sz="3"/>
              <w:right w:val="single" w:color="D7E0DD" w:sz="3"/>
            </w:tcBorders>
            <w:shd w:fill="FFFFFF"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Clics WhatsApp</w:t>
            </w:r>
          </w:p>
        </w:tc>
        <w:tc>
          <w:tcPr>
            <w:tcW w:type="dxa" w:w="7100"/>
            <w:tcBorders>
              <w:top w:val="single" w:color="D7E0DD" w:sz="3"/>
              <w:left w:val="single" w:color="D7E0DD" w:sz="3"/>
              <w:bottom w:val="single" w:color="D7E0DD" w:sz="3"/>
              <w:right w:val="single" w:color="D7E0DD" w:sz="3"/>
            </w:tcBorders>
            <w:shd w:fill="FFFFFF"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Tentatives de contact, non ventes</w:t>
            </w:r>
          </w:p>
        </w:tc>
      </w:tr>
      <w:tr>
        <w:trPr>
          <w:cantSplit/>
        </w:trPr>
        <w:tc>
          <w:tcPr>
            <w:tcW w:type="dxa" w:w="2900"/>
            <w:tcBorders>
              <w:top w:val="single" w:color="D7E0DD" w:sz="3"/>
              <w:left w:val="single" w:color="D7E0DD" w:sz="3"/>
              <w:bottom w:val="single" w:color="D7E0DD" w:sz="3"/>
              <w:right w:val="single" w:color="D7E0DD" w:sz="3"/>
            </w:tcBorders>
            <w:shd w:fill="F1F6F4"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Vente déclarée</w:t>
            </w:r>
          </w:p>
        </w:tc>
        <w:tc>
          <w:tcPr>
            <w:tcW w:type="dxa" w:w="7100"/>
            <w:tcBorders>
              <w:top w:val="single" w:color="D7E0DD" w:sz="3"/>
              <w:left w:val="single" w:color="D7E0DD" w:sz="3"/>
              <w:bottom w:val="single" w:color="D7E0DD" w:sz="3"/>
              <w:right w:val="single" w:color="D7E0DD" w:sz="3"/>
            </w:tcBorders>
            <w:shd w:fill="F1F6F4"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Information rapportée volontairement; pas nécessairement vérifiée</w:t>
            </w:r>
          </w:p>
        </w:tc>
      </w:tr>
    </w:tbl>
    <w:p>
      <w:pPr>
        <w:spacing w:after="55" w:line="260"/>
      </w:pPr>
      <w:r>
        <w:rPr>
          <w:rFonts w:ascii="Arial" w:cs="Arial" w:eastAsia="Arial" w:hAnsi="Arial"/>
          <w:b w:val="false"/>
          <w:bCs w:val="false"/>
          <w:i w:val="false"/>
          <w:iCs w:val="false"/>
          <w:color w:val="26353A"/>
          <w:sz w:val="18"/>
          <w:szCs w:val="18"/>
        </w:rPr>
        <w:t xml:space="preserve">Les commandes et paiements confirmés sur la plateforme seraient distingués des transactions conclues directement entre acheteur et vendeur. Les données de personnes seraient minimisées; les exports nominatifs et les campagnes co-marquées nécessiteraient une base légale et une autorisation appropriée.</w:t>
      </w:r>
    </w:p>
    <w:p>
      <w:pPr>
        <w:keepNext/>
        <w:shd w:fill="F1F6F4" w:val="clear"/>
        <w:spacing w:after="70" w:before="100"/>
      </w:pPr>
      <w:r>
        <w:rPr>
          <w:rFonts w:ascii="Arial" w:cs="Arial" w:eastAsia="Arial" w:hAnsi="Arial"/>
          <w:b/>
          <w:bCs/>
          <w:i w:val="false"/>
          <w:iCs w:val="false"/>
          <w:color w:val="203239"/>
          <w:sz w:val="24"/>
          <w:szCs w:val="24"/>
        </w:rPr>
        <w:t xml:space="preserve">5. Mise en œuvre et responsabilités</w:t>
      </w:r>
    </w:p>
    <w:p>
      <w:pPr>
        <w:spacing w:after="55" w:line="260"/>
      </w:pPr>
      <w:r>
        <w:rPr>
          <w:rFonts w:ascii="Arial" w:cs="Arial" w:eastAsia="Arial" w:hAnsi="Arial"/>
          <w:b w:val="false"/>
          <w:bCs w:val="false"/>
          <w:i w:val="false"/>
          <w:iCs w:val="false"/>
          <w:color w:val="26353A"/>
          <w:sz w:val="18"/>
          <w:szCs w:val="18"/>
        </w:rPr>
        <w:t xml:space="preserve">ArtisanConnect pourrait, après accord sur le périmètre, mettre à disposition les profils et parcours existants, accompagner les vendeurs, traiter les incidents relevant de la plateforme et fournir un bilan agrégé.</w:t>
      </w:r>
    </w:p>
    <w:p>
      <w:pPr>
        <w:spacing w:after="55" w:line="260"/>
      </w:pPr>
      <w:r>
        <w:rPr>
          <w:rFonts w:ascii="Arial" w:cs="Arial" w:eastAsia="Arial" w:hAnsi="Arial"/>
          <w:b w:val="false"/>
          <w:bCs w:val="false"/>
          <w:i w:val="false"/>
          <w:iCs w:val="false"/>
          <w:color w:val="26353A"/>
          <w:sz w:val="18"/>
          <w:szCs w:val="18"/>
        </w:rPr>
        <w:t xml:space="preserve">Le MINCOMMERCE pourrait, s'il le juge opportun et suivant ses procédures, orienter vers le service compétent, partager des critères de présentation commerciale, et indiquer les événements ou réseaux pertinents. Aucune contribution du Ministère n'est présumée.</w:t>
      </w:r>
    </w:p>
    <w:p>
      <w:pPr>
        <w:spacing w:after="55" w:line="260"/>
      </w:pPr>
      <w:r>
        <w:rPr>
          <w:rFonts w:ascii="Arial" w:cs="Arial" w:eastAsia="Arial" w:hAnsi="Arial"/>
          <w:b w:val="false"/>
          <w:bCs w:val="false"/>
          <w:i w:val="false"/>
          <w:iCs w:val="false"/>
          <w:color w:val="26353A"/>
          <w:sz w:val="18"/>
          <w:szCs w:val="18"/>
        </w:rPr>
        <w:t xml:space="preserve">Les vendeurs valideraient leurs informations, prix, disponibilité, origine déclarée et conditions de vente. Les acheteurs vérifieraient avec le vendeur les spécifications et modalités avant tout achat.</w:t>
      </w:r>
    </w:p>
    <w:p>
      <w:pPr>
        <w:spacing w:after="55" w:line="260"/>
      </w:pPr>
      <w:r>
        <w:rPr>
          <w:rFonts w:ascii="Arial" w:cs="Arial" w:eastAsia="Arial" w:hAnsi="Arial"/>
          <w:b w:val="false"/>
          <w:bCs w:val="false"/>
          <w:i w:val="false"/>
          <w:iCs w:val="false"/>
          <w:color w:val="26353A"/>
          <w:sz w:val="18"/>
          <w:szCs w:val="18"/>
        </w:rPr>
        <w:t xml:space="preserve">Les rôles, le protocole de sélection, la modération, les réclamations et les règles de protection des données seraient définis avant le test.</w:t>
      </w:r>
    </w:p>
    <w:p>
      <w:pPr>
        <w:keepNext/>
        <w:shd w:fill="F1F6F4" w:val="clear"/>
        <w:spacing w:after="70" w:before="100"/>
      </w:pPr>
      <w:r>
        <w:rPr>
          <w:rFonts w:ascii="Arial" w:cs="Arial" w:eastAsia="Arial" w:hAnsi="Arial"/>
          <w:b/>
          <w:bCs/>
          <w:i w:val="false"/>
          <w:iCs w:val="false"/>
          <w:color w:val="203239"/>
          <w:sz w:val="24"/>
          <w:szCs w:val="24"/>
        </w:rPr>
        <w:t xml:space="preserve">6. Risques et sauvegardes</w:t>
      </w:r>
    </w:p>
    <w:p>
      <w:pPr>
        <w:spacing w:after="35" w:line="250"/>
        <w:ind w:left="280" w:hanging="170"/>
      </w:pPr>
      <w:r>
        <w:rPr>
          <w:rFonts w:ascii="Arial" w:cs="Arial" w:eastAsia="Arial" w:hAnsi="Arial"/>
          <w:b w:val="false"/>
          <w:bCs w:val="false"/>
          <w:i w:val="false"/>
          <w:iCs w:val="false"/>
          <w:color w:val="26353A"/>
          <w:sz w:val="18"/>
          <w:szCs w:val="18"/>
        </w:rPr>
        <w:t xml:space="preserve">•  Information produit inexacte : validation par le vendeur, date de mise à jour et canal de signalement.</w:t>
      </w:r>
    </w:p>
    <w:p>
      <w:pPr>
        <w:spacing w:after="35" w:line="250"/>
        <w:ind w:left="280" w:hanging="170"/>
      </w:pPr>
      <w:r>
        <w:rPr>
          <w:rFonts w:ascii="Arial" w:cs="Arial" w:eastAsia="Arial" w:hAnsi="Arial"/>
          <w:b w:val="false"/>
          <w:bCs w:val="false"/>
          <w:i w:val="false"/>
          <w:iCs w:val="false"/>
          <w:color w:val="26353A"/>
          <w:sz w:val="18"/>
          <w:szCs w:val="18"/>
        </w:rPr>
        <w:t xml:space="preserve">•  Confusion avec un label : ne pas employer de label ou logo institutionnel sans autorisation écrite; distinguer l'origine déclarée d'une certification.</w:t>
      </w:r>
    </w:p>
    <w:p>
      <w:pPr>
        <w:spacing w:after="35" w:line="250"/>
        <w:ind w:left="280" w:hanging="170"/>
      </w:pPr>
      <w:r>
        <w:rPr>
          <w:rFonts w:ascii="Arial" w:cs="Arial" w:eastAsia="Arial" w:hAnsi="Arial"/>
          <w:b w:val="false"/>
          <w:bCs w:val="false"/>
          <w:i w:val="false"/>
          <w:iCs w:val="false"/>
          <w:color w:val="26353A"/>
          <w:sz w:val="18"/>
          <w:szCs w:val="18"/>
        </w:rPr>
        <w:t xml:space="preserve">•  Faible conversion : mesurer les demandes et réponses sans garantir de volume d'acheteurs ou de ventes.</w:t>
      </w:r>
    </w:p>
    <w:p>
      <w:pPr>
        <w:spacing w:after="35" w:line="250"/>
        <w:ind w:left="280" w:hanging="170"/>
      </w:pPr>
      <w:r>
        <w:rPr>
          <w:rFonts w:ascii="Arial" w:cs="Arial" w:eastAsia="Arial" w:hAnsi="Arial"/>
          <w:b w:val="false"/>
          <w:bCs w:val="false"/>
          <w:i w:val="false"/>
          <w:iCs w:val="false"/>
          <w:color w:val="26353A"/>
          <w:sz w:val="18"/>
          <w:szCs w:val="18"/>
        </w:rPr>
        <w:t xml:space="preserve">•  Exclusion numérique : accompagnement pratique et fiches lisibles sur téléphone.</w:t>
      </w:r>
    </w:p>
    <w:p>
      <w:pPr>
        <w:spacing w:after="35" w:line="250"/>
        <w:ind w:left="280" w:hanging="170"/>
      </w:pPr>
      <w:r>
        <w:rPr>
          <w:rFonts w:ascii="Arial" w:cs="Arial" w:eastAsia="Arial" w:hAnsi="Arial"/>
          <w:b w:val="false"/>
          <w:bCs w:val="false"/>
          <w:i w:val="false"/>
          <w:iCs w:val="false"/>
          <w:color w:val="26353A"/>
          <w:sz w:val="18"/>
          <w:szCs w:val="18"/>
        </w:rPr>
        <w:t xml:space="preserve">•  Données commerciales : n'utiliser que les données nécessaires; publier les résultats agrégés selon un protocole approuvé.</w:t>
      </w:r>
    </w:p>
    <w:p>
      <w:pPr>
        <w:spacing w:after="35" w:line="250"/>
        <w:ind w:left="280" w:hanging="170"/>
      </w:pPr>
      <w:r>
        <w:rPr>
          <w:rFonts w:ascii="Arial" w:cs="Arial" w:eastAsia="Arial" w:hAnsi="Arial"/>
          <w:b w:val="false"/>
          <w:bCs w:val="false"/>
          <w:i w:val="false"/>
          <w:iCs w:val="false"/>
          <w:color w:val="26353A"/>
          <w:sz w:val="18"/>
          <w:szCs w:val="18"/>
        </w:rPr>
        <w:t xml:space="preserve">•  Paiements : Mobile Money et livraison en simulation ne sont pas des transactions réelles; ne pas annoncer de paiement opérationnel non validé.</w:t>
      </w:r>
    </w:p>
    <w:p>
      <w:pPr>
        <w:keepNext/>
        <w:shd w:fill="F1F6F4" w:val="clear"/>
        <w:spacing w:after="70" w:before="100"/>
      </w:pPr>
      <w:r>
        <w:rPr>
          <w:rFonts w:ascii="Arial" w:cs="Arial" w:eastAsia="Arial" w:hAnsi="Arial"/>
          <w:b/>
          <w:bCs/>
          <w:i w:val="false"/>
          <w:iCs w:val="false"/>
          <w:color w:val="203239"/>
          <w:sz w:val="24"/>
          <w:szCs w:val="24"/>
        </w:rPr>
        <w:t xml:space="preserve">7. Ressources, budget et demande</w:t>
      </w:r>
    </w:p>
    <w:p>
      <w:pPr>
        <w:spacing w:after="55" w:line="260"/>
      </w:pPr>
      <w:r>
        <w:rPr>
          <w:rFonts w:ascii="Arial" w:cs="Arial" w:eastAsia="Arial" w:hAnsi="Arial"/>
          <w:b w:val="false"/>
          <w:bCs w:val="false"/>
          <w:i w:val="false"/>
          <w:iCs w:val="false"/>
          <w:color w:val="26353A"/>
          <w:sz w:val="18"/>
          <w:szCs w:val="18"/>
        </w:rPr>
        <w:t xml:space="preserve">Aucun montant n'est arrêté. Le chiffrage dépendra du nombre de vendeurs, des déplacements, de la formation, de la production de contenus, de la communication, du support, de l'hébergement, de la sécurité, du suivi-évaluation, de la fiscalité et des contributions en nature.</w:t>
      </w:r>
    </w:p>
    <w:p>
      <w:pPr>
        <w:spacing w:after="55" w:line="260"/>
      </w:pPr>
      <w:r>
        <w:rPr>
          <w:rFonts w:ascii="Arial" w:cs="Arial" w:eastAsia="Arial" w:hAnsi="Arial"/>
          <w:b w:val="false"/>
          <w:bCs w:val="false"/>
          <w:i w:val="false"/>
          <w:iCs w:val="false"/>
          <w:color w:val="26353A"/>
          <w:sz w:val="18"/>
          <w:szCs w:val="18"/>
        </w:rPr>
        <w:t xml:space="preserve">La décision sollicitée à ce stade est une audience de présentation et l'orientation vers le service compétent. À l'issue de l'échange, les parties pourraient décider ou non de définir un test, ses critères, ses responsabilités et son budget. La présente note ne constitue ni un devis, ni un label, ni une convention ou demande de décaissement.</w:t>
      </w:r>
    </w:p>
    <w:p>
      <w:r>
        <w:br w:type="page"/>
      </w:r>
    </w:p>
    <w:p>
      <w:pPr>
        <w:keepNext/>
        <w:shd w:fill="F1F6F4" w:val="clear"/>
        <w:spacing w:after="70" w:before="100"/>
      </w:pPr>
      <w:r>
        <w:rPr>
          <w:rFonts w:ascii="Arial" w:cs="Arial" w:eastAsia="Arial" w:hAnsi="Arial"/>
          <w:b/>
          <w:bCs/>
          <w:i w:val="false"/>
          <w:iCs w:val="false"/>
          <w:color w:val="203239"/>
          <w:sz w:val="24"/>
          <w:szCs w:val="24"/>
        </w:rPr>
        <w:t xml:space="preserve">8. Prochaines étapes possibles</w:t>
      </w:r>
    </w:p>
    <w:p>
      <w:pPr>
        <w:spacing w:after="35" w:line="250"/>
        <w:ind w:left="280" w:hanging="170"/>
      </w:pPr>
      <w:r>
        <w:rPr>
          <w:rFonts w:ascii="Arial" w:cs="Arial" w:eastAsia="Arial" w:hAnsi="Arial"/>
          <w:b w:val="false"/>
          <w:bCs w:val="false"/>
          <w:i w:val="false"/>
          <w:iCs w:val="false"/>
          <w:color w:val="26353A"/>
          <w:sz w:val="18"/>
          <w:szCs w:val="18"/>
        </w:rPr>
        <w:t xml:space="preserve">Présenter ArtisanConnect et recueillir les observations du service compétent.</w:t>
      </w:r>
    </w:p>
    <w:p>
      <w:pPr>
        <w:spacing w:after="35" w:line="250"/>
        <w:ind w:left="280" w:hanging="170"/>
      </w:pPr>
      <w:r>
        <w:rPr>
          <w:rFonts w:ascii="Arial" w:cs="Arial" w:eastAsia="Arial" w:hAnsi="Arial"/>
          <w:b w:val="false"/>
          <w:bCs w:val="false"/>
          <w:i w:val="false"/>
          <w:iCs w:val="false"/>
          <w:color w:val="26353A"/>
          <w:sz w:val="18"/>
          <w:szCs w:val="18"/>
        </w:rPr>
        <w:t xml:space="preserve">Identifier un segment de vendeurs et vérifier la disponibilité réelle des offres.</w:t>
      </w:r>
    </w:p>
    <w:p>
      <w:pPr>
        <w:spacing w:after="35" w:line="250"/>
        <w:ind w:left="280" w:hanging="170"/>
      </w:pPr>
      <w:r>
        <w:rPr>
          <w:rFonts w:ascii="Arial" w:cs="Arial" w:eastAsia="Arial" w:hAnsi="Arial"/>
          <w:b w:val="false"/>
          <w:bCs w:val="false"/>
          <w:i w:val="false"/>
          <w:iCs w:val="false"/>
          <w:color w:val="26353A"/>
          <w:sz w:val="18"/>
          <w:szCs w:val="18"/>
        </w:rPr>
        <w:t xml:space="preserve">Définir les règles de présentation, d'origine déclarée, de qualité d'information et de signalement.</w:t>
      </w:r>
    </w:p>
    <w:p>
      <w:pPr>
        <w:spacing w:after="35" w:line="250"/>
        <w:ind w:left="280" w:hanging="170"/>
      </w:pPr>
      <w:r>
        <w:rPr>
          <w:rFonts w:ascii="Arial" w:cs="Arial" w:eastAsia="Arial" w:hAnsi="Arial"/>
          <w:b w:val="false"/>
          <w:bCs w:val="false"/>
          <w:i w:val="false"/>
          <w:iCs w:val="false"/>
          <w:color w:val="26353A"/>
          <w:sz w:val="18"/>
          <w:szCs w:val="18"/>
        </w:rPr>
        <w:t xml:space="preserve">Arrêter les indicateurs, la gouvernance des données, le budget et les critères GO/NO-GO.</w:t>
      </w:r>
    </w:p>
    <w:p>
      <w:pPr>
        <w:spacing w:after="35" w:line="250"/>
        <w:ind w:left="280" w:hanging="170"/>
      </w:pPr>
      <w:r>
        <w:rPr>
          <w:rFonts w:ascii="Arial" w:cs="Arial" w:eastAsia="Arial" w:hAnsi="Arial"/>
          <w:b w:val="false"/>
          <w:bCs w:val="false"/>
          <w:i w:val="false"/>
          <w:iCs w:val="false"/>
          <w:color w:val="26353A"/>
          <w:sz w:val="18"/>
          <w:szCs w:val="18"/>
        </w:rPr>
        <w:t xml:space="preserve">Décider par écrit si le test est pertinent et autorisé.</w:t>
      </w:r>
    </w:p>
    <w:p>
      <w:pPr>
        <w:spacing w:after="55" w:line="260"/>
      </w:pPr>
      <w:r>
        <w:rPr>
          <w:rFonts w:ascii="Arial" w:cs="Arial" w:eastAsia="Arial" w:hAnsi="Arial"/>
          <w:b w:val="false"/>
          <w:bCs w:val="false"/>
          <w:i w:val="false"/>
          <w:iCs w:val="false"/>
          <w:color w:val="26353A"/>
          <w:sz w:val="18"/>
          <w:szCs w:val="18"/>
        </w:rPr>
        <w:t xml:space="preserve">Contact porteur : juvettaj@gmail.com · +33 7 82 51 05 46 Relais local proposé : Ngounou Junior · +237 691 759 881 Présence au Cameroun : du 9 octobre au 7 décembre 2026, sous réserve de confirmation de l'audience.</w:t>
      </w:r>
    </w:p>
    <w:sectPr>
      <w:pgSz w:w="11906" w:h="16838" w:orient="portrait"/>
      <w:pgMar w:top="680" w:right="680" w:bottom="680" w:left="6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pPr>
        <w:spacing w:line="26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wyenn6lgmc5kjdpullstn" Type="http://schemas.openxmlformats.org/officeDocument/2006/relationships/hyperlink" Target="https://artisanconnectcm.info" TargetMode="External"/><Relationship Id="rId7" Type="http://schemas.openxmlformats.org/officeDocument/2006/relationships/image" Target="media/c36016a2132975be8e6b11311315629d64f7d89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 conceptuelle — MINCOMMERCE</dc:title>
  <dc:subject>Note conceptuelle — MINCOMMERCE</dc:subject>
  <dc:creator>ArtisanConnect</dc:creator>
  <cp:lastModifiedBy>Un-named</cp:lastModifiedBy>
  <cp:revision>1</cp:revision>
  <dcterms:created xsi:type="dcterms:W3CDTF">2026-09-29T00:01:55.624Z</dcterms:created>
  <dcterms:modified xsi:type="dcterms:W3CDTF">2026-09-29T00:01:55.624Z</dcterms:modified>
</cp:coreProperties>
</file>

<file path=docProps/custom.xml><?xml version="1.0" encoding="utf-8"?>
<Properties xmlns="http://schemas.openxmlformats.org/officeDocument/2006/custom-properties" xmlns:vt="http://schemas.openxmlformats.org/officeDocument/2006/docPropsVTypes"/>
</file>