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77A28" w:sz="14" w:space="4"/>
        </w:pBdr>
        <w:spacing w:after="70"/>
      </w:pPr>
      <w:r>
        <w:rPr>
          <w:rFonts w:ascii="Arial" w:cs="Arial" w:eastAsia="Arial" w:hAnsi="Arial"/>
          <w:b/>
          <w:bCs/>
          <w:i w:val="false"/>
          <w:iCs w:val="false"/>
          <w:color w:val="203239"/>
          <w:sz w:val="30"/>
          <w:szCs w:val="30"/>
        </w:rPr>
        <w:t xml:space="preserve">Artisan</w:t>
      </w:r>
      <w:r>
        <w:rPr>
          <w:rFonts w:ascii="Arial" w:cs="Arial" w:eastAsia="Arial" w:hAnsi="Arial"/>
          <w:b/>
          <w:bCs/>
          <w:i w:val="false"/>
          <w:iCs w:val="false"/>
          <w:color w:val="C77A28"/>
          <w:sz w:val="30"/>
          <w:szCs w:val="30"/>
        </w:rPr>
        <w:t xml:space="preserve">Connect</w:t>
      </w:r>
      <w:r>
        <w:rPr>
          <w:rFonts w:ascii="Arial" w:cs="Arial" w:eastAsia="Arial" w:hAnsi="Arial"/>
          <w:b w:val="false"/>
          <w:bCs w:val="false"/>
          <w:i w:val="false"/>
          <w:iCs w:val="false"/>
          <w:color w:val="647378"/>
          <w:sz w:val="14"/>
          <w:szCs w:val="14"/>
        </w:rPr>
        <w:t xml:space="preserve">     DOSSIER DE DISCUSSION · 29 SEPTEMBRE 2026</w:t>
      </w:r>
    </w:p>
    <w:p>
      <w:pPr>
        <w:spacing w:after="30"/>
        <w:jc w:val="right"/>
      </w:pPr>
      <w:hyperlink w:history="1" r:id="rIdpzbb_vng6odpatgrtcezy">
        <w:r>
          <w:drawing>
            <wp:inline distT="0" distB="0" distL="0" distR="0">
              <wp:extent cx="628650" cy="628650"/>
              <wp:effectExtent t="0" r="0" b="0" l="0"/>
              <wp:docPr id="4" descr="Scanner ou cliquer pour ouvrir le site" title="QR ArtisanConnect">
                <a:hlinkClick xmlns:a="http://schemas.openxmlformats.org/drawingml/2006/main" r:id="rIdpzbb_vng6odpatgrtcezy"/>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a:hlinkClick r:id="rIdpzbb_vng6odpatgrtcezy"/>
                      </pic:cNvPr>
                      <pic:cNvPicPr>
                        <a:picLocks noChangeAspect="1" noChangeArrowheads="1"/>
                      </pic:cNvPicPr>
                    </pic:nvPicPr>
                    <pic:blipFill>
                      <a:blip r:embed="rId7" cstate="none"/>
                      <a:srcRect/>
                      <a:stretch>
                        <a:fillRect/>
                      </a:stretch>
                    </pic:blipFill>
                    <pic:spPr bwMode="auto">
                      <a:xfrm>
                        <a:off x="0" y="0"/>
                        <a:ext cx="628650" cy="628650"/>
                      </a:xfrm>
                      <a:prstGeom prst="rect">
                        <a:avLst/>
                      </a:prstGeom>
                    </pic:spPr>
                  </pic:pic>
                </a:graphicData>
              </a:graphic>
            </wp:inline>
          </w:drawing>
        </w:r>
      </w:hyperlink>
    </w:p>
    <w:p>
      <w:pPr>
        <w:keepNext/>
        <w:spacing w:after="55"/>
      </w:pPr>
      <w:r>
        <w:rPr>
          <w:rFonts w:ascii="Arial" w:cs="Arial" w:eastAsia="Arial" w:hAnsi="Arial"/>
          <w:b/>
          <w:bCs/>
          <w:i w:val="false"/>
          <w:iCs w:val="false"/>
          <w:color w:val="203239"/>
          <w:sz w:val="40"/>
          <w:szCs w:val="40"/>
        </w:rPr>
        <w:t xml:space="preserve">Démonstration — MINCOMMERCE</w:t>
      </w:r>
    </w:p>
    <w:p>
      <w:pPr>
        <w:spacing w:after="120"/>
      </w:pPr>
      <w:r>
        <w:rPr>
          <w:rFonts w:ascii="Arial" w:cs="Arial" w:eastAsia="Arial" w:hAnsi="Arial"/>
          <w:b w:val="false"/>
          <w:bCs w:val="false"/>
          <w:i w:val="false"/>
          <w:iCs w:val="false"/>
          <w:color w:val="176B5B"/>
          <w:sz w:val="20"/>
          <w:szCs w:val="20"/>
        </w:rPr>
        <w:t xml:space="preserve">Démonstration — MINCOMMERCE</w:t>
      </w:r>
    </w:p>
    <w:p>
      <w:pPr>
        <w:keepNext/>
        <w:spacing w:after="100"/>
      </w:pPr>
      <w:r>
        <w:rPr>
          <w:rFonts w:ascii="Arial" w:cs="Arial" w:eastAsia="Arial" w:hAnsi="Arial"/>
          <w:b/>
          <w:bCs/>
          <w:i w:val="false"/>
          <w:iCs w:val="false"/>
          <w:color w:val="203239"/>
          <w:sz w:val="42"/>
          <w:szCs w:val="42"/>
        </w:rPr>
        <w:t xml:space="preserve">Démonstration MINCOMMERCE — 10 minutes</w:t>
      </w:r>
    </w:p>
    <w:p>
      <w:pPr>
        <w:spacing w:after="55" w:line="260"/>
      </w:pPr>
      <w:r>
        <w:rPr>
          <w:rFonts w:ascii="Arial" w:cs="Arial" w:eastAsia="Arial" w:hAnsi="Arial"/>
          <w:b w:val="false"/>
          <w:bCs w:val="false"/>
          <w:i w:val="false"/>
          <w:iCs w:val="false"/>
          <w:color w:val="26353A"/>
          <w:sz w:val="18"/>
          <w:szCs w:val="18"/>
        </w:rPr>
        <w:t xml:space="preserve">Objectif : illustrer la découverte commerciale d'une offre et les précautions de présentation des produits. N'utiliser que des données de démonstration ou autorisées; ne revendiquer aucun label ministériel.</w:t>
      </w:r>
    </w:p>
    <w:p>
      <w:pPr>
        <w:spacing w:after="55" w:line="260"/>
      </w:pPr>
      <w:r>
        <w:rPr>
          <w:rFonts w:ascii="Arial" w:cs="Arial" w:eastAsia="Arial" w:hAnsi="Arial"/>
          <w:b w:val="false"/>
          <w:bCs w:val="false"/>
          <w:i w:val="false"/>
          <w:iCs w:val="false"/>
          <w:color w:val="26353A"/>
          <w:sz w:val="18"/>
          <w:szCs w:val="18"/>
        </w:rPr>
        <w:t xml:space="preserve">Présentateur : Juvet TAJO, président fondateur d'ArtisanConnect, résidant en France. Contact : juvettaj@gmail.com · +33 7 82 51 05 46. Relais local proposé : Ngounou Junior · +237 691 759 881. Présence au Cameroun : 9 octobre – 7 décembre 2026.</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600"/>
        <w:gridCol w:w="3900"/>
        <w:gridCol w:w="3500"/>
      </w:tblGrid>
      <w:tr>
        <w:trPr>
          <w:cantSplit/>
        </w:trPr>
        <w:tc>
          <w:tcPr>
            <w:tcW w:type="dxa" w:w="2600"/>
            <w:tcBorders>
              <w:top w:val="single" w:color="D7E0DD" w:sz="3"/>
              <w:left w:val="single" w:color="D7E0DD" w:sz="3"/>
              <w:bottom w:val="single" w:color="D7E0DD" w:sz="3"/>
              <w:right w:val="single" w:color="D7E0DD" w:sz="3"/>
            </w:tcBorders>
            <w:shd w:fill="203239" w:val="clear"/>
            <w:tcMar>
              <w:top w:type="dxa" w:w="70"/>
              <w:left w:type="dxa" w:w="85"/>
              <w:bottom w:type="dxa" w:w="70"/>
              <w:right w:type="dxa" w:w="85"/>
            </w:tcMar>
          </w:tcPr>
          <w:p>
            <w:pPr>
              <w:spacing w:after="0" w:line="225"/>
            </w:pPr>
            <w:r>
              <w:rPr>
                <w:rFonts w:ascii="Arial" w:cs="Arial" w:eastAsia="Arial" w:hAnsi="Arial"/>
                <w:b/>
                <w:bCs/>
                <w:i w:val="false"/>
                <w:iCs w:val="false"/>
                <w:color w:val="FFFFFF"/>
                <w:sz w:val="16"/>
                <w:szCs w:val="16"/>
              </w:rPr>
              <w:t xml:space="preserve">Temps</w:t>
            </w:r>
          </w:p>
        </w:tc>
        <w:tc>
          <w:tcPr>
            <w:tcW w:type="dxa" w:w="3900"/>
            <w:tcBorders>
              <w:top w:val="single" w:color="D7E0DD" w:sz="3"/>
              <w:left w:val="single" w:color="D7E0DD" w:sz="3"/>
              <w:bottom w:val="single" w:color="D7E0DD" w:sz="3"/>
              <w:right w:val="single" w:color="D7E0DD" w:sz="3"/>
            </w:tcBorders>
            <w:shd w:fill="203239" w:val="clear"/>
            <w:tcMar>
              <w:top w:type="dxa" w:w="70"/>
              <w:left w:type="dxa" w:w="85"/>
              <w:bottom w:type="dxa" w:w="70"/>
              <w:right w:type="dxa" w:w="85"/>
            </w:tcMar>
          </w:tcPr>
          <w:p>
            <w:pPr>
              <w:spacing w:after="0" w:line="225"/>
            </w:pPr>
            <w:r>
              <w:rPr>
                <w:rFonts w:ascii="Arial" w:cs="Arial" w:eastAsia="Arial" w:hAnsi="Arial"/>
                <w:b/>
                <w:bCs/>
                <w:i w:val="false"/>
                <w:iCs w:val="false"/>
                <w:color w:val="FFFFFF"/>
                <w:sz w:val="16"/>
                <w:szCs w:val="16"/>
              </w:rPr>
              <w:t xml:space="preserve">Action</w:t>
            </w:r>
          </w:p>
        </w:tc>
        <w:tc>
          <w:tcPr>
            <w:tcW w:type="dxa" w:w="3500"/>
            <w:tcBorders>
              <w:top w:val="single" w:color="D7E0DD" w:sz="3"/>
              <w:left w:val="single" w:color="D7E0DD" w:sz="3"/>
              <w:bottom w:val="single" w:color="D7E0DD" w:sz="3"/>
              <w:right w:val="single" w:color="D7E0DD" w:sz="3"/>
            </w:tcBorders>
            <w:shd w:fill="203239" w:val="clear"/>
            <w:tcMar>
              <w:top w:type="dxa" w:w="70"/>
              <w:left w:type="dxa" w:w="85"/>
              <w:bottom w:type="dxa" w:w="70"/>
              <w:right w:type="dxa" w:w="85"/>
            </w:tcMar>
          </w:tcPr>
          <w:p>
            <w:pPr>
              <w:spacing w:after="0" w:line="225"/>
            </w:pPr>
            <w:r>
              <w:rPr>
                <w:rFonts w:ascii="Arial" w:cs="Arial" w:eastAsia="Arial" w:hAnsi="Arial"/>
                <w:b/>
                <w:bCs/>
                <w:i w:val="false"/>
                <w:iCs w:val="false"/>
                <w:color w:val="FFFFFF"/>
                <w:sz w:val="16"/>
                <w:szCs w:val="16"/>
              </w:rPr>
              <w:t xml:space="preserve">Message clé</w:t>
            </w:r>
          </w:p>
        </w:tc>
      </w:tr>
      <w:tr>
        <w:trPr>
          <w:cantSplit/>
        </w:trPr>
        <w:tc>
          <w:tcPr>
            <w:tcW w:type="dxa" w:w="2600"/>
            <w:tcBorders>
              <w:top w:val="single" w:color="D7E0DD" w:sz="3"/>
              <w:left w:val="single" w:color="D7E0DD" w:sz="3"/>
              <w:bottom w:val="single" w:color="D7E0DD" w:sz="3"/>
              <w:right w:val="single" w:color="D7E0DD" w:sz="3"/>
            </w:tcBorders>
            <w:shd w:fill="FFFFFF"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0:00–1:00</w:t>
            </w:r>
          </w:p>
        </w:tc>
        <w:tc>
          <w:tcPr>
            <w:tcW w:type="dxa" w:w="3900"/>
            <w:tcBorders>
              <w:top w:val="single" w:color="D7E0DD" w:sz="3"/>
              <w:left w:val="single" w:color="D7E0DD" w:sz="3"/>
              <w:bottom w:val="single" w:color="D7E0DD" w:sz="3"/>
              <w:right w:val="single" w:color="D7E0DD" w:sz="3"/>
            </w:tcBorders>
            <w:shd w:fill="FFFFFF"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Présenter ArtisanConnect et ouvrir le site</w:t>
            </w:r>
          </w:p>
        </w:tc>
        <w:tc>
          <w:tcPr>
            <w:tcW w:type="dxa" w:w="3500"/>
            <w:tcBorders>
              <w:top w:val="single" w:color="D7E0DD" w:sz="3"/>
              <w:left w:val="single" w:color="D7E0DD" w:sz="3"/>
              <w:bottom w:val="single" w:color="D7E0DD" w:sz="3"/>
              <w:right w:val="single" w:color="D7E0DD" w:sz="3"/>
            </w:tcBorders>
            <w:shd w:fill="FFFFFF"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Une vitrine complémentaire, pas un label officiel</w:t>
            </w:r>
          </w:p>
        </w:tc>
      </w:tr>
      <w:tr>
        <w:trPr>
          <w:cantSplit/>
        </w:trPr>
        <w:tc>
          <w:tcPr>
            <w:tcW w:type="dxa" w:w="2600"/>
            <w:tcBorders>
              <w:top w:val="single" w:color="D7E0DD" w:sz="3"/>
              <w:left w:val="single" w:color="D7E0DD" w:sz="3"/>
              <w:bottom w:val="single" w:color="D7E0DD" w:sz="3"/>
              <w:right w:val="single" w:color="D7E0DD" w:sz="3"/>
            </w:tcBorders>
            <w:shd w:fill="F1F6F4"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1:00–3:00</w:t>
            </w:r>
          </w:p>
        </w:tc>
        <w:tc>
          <w:tcPr>
            <w:tcW w:type="dxa" w:w="3900"/>
            <w:tcBorders>
              <w:top w:val="single" w:color="D7E0DD" w:sz="3"/>
              <w:left w:val="single" w:color="D7E0DD" w:sz="3"/>
              <w:bottom w:val="single" w:color="D7E0DD" w:sz="3"/>
              <w:right w:val="single" w:color="D7E0DD" w:sz="3"/>
            </w:tcBorders>
            <w:shd w:fill="F1F6F4"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Rechercher une catégorie et une ville; ouvrir une fiche</w:t>
            </w:r>
          </w:p>
        </w:tc>
        <w:tc>
          <w:tcPr>
            <w:tcW w:type="dxa" w:w="3500"/>
            <w:tcBorders>
              <w:top w:val="single" w:color="D7E0DD" w:sz="3"/>
              <w:left w:val="single" w:color="D7E0DD" w:sz="3"/>
              <w:bottom w:val="single" w:color="D7E0DD" w:sz="3"/>
              <w:right w:val="single" w:color="D7E0DD" w:sz="3"/>
            </w:tcBorders>
            <w:shd w:fill="F1F6F4"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Informations, photos, prix et disponibilité doivent être confirmés par le vendeur</w:t>
            </w:r>
          </w:p>
        </w:tc>
      </w:tr>
      <w:tr>
        <w:trPr>
          <w:cantSplit/>
        </w:trPr>
        <w:tc>
          <w:tcPr>
            <w:tcW w:type="dxa" w:w="2600"/>
            <w:tcBorders>
              <w:top w:val="single" w:color="D7E0DD" w:sz="3"/>
              <w:left w:val="single" w:color="D7E0DD" w:sz="3"/>
              <w:bottom w:val="single" w:color="D7E0DD" w:sz="3"/>
              <w:right w:val="single" w:color="D7E0DD" w:sz="3"/>
            </w:tcBorders>
            <w:shd w:fill="FFFFFF"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3:00–4:30</w:t>
            </w:r>
          </w:p>
        </w:tc>
        <w:tc>
          <w:tcPr>
            <w:tcW w:type="dxa" w:w="3900"/>
            <w:tcBorders>
              <w:top w:val="single" w:color="D7E0DD" w:sz="3"/>
              <w:left w:val="single" w:color="D7E0DD" w:sz="3"/>
              <w:bottom w:val="single" w:color="D7E0DD" w:sz="3"/>
              <w:right w:val="single" w:color="D7E0DD" w:sz="3"/>
            </w:tcBorders>
            <w:shd w:fill="FFFFFF"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Examiner une fiche produit</w:t>
            </w:r>
          </w:p>
        </w:tc>
        <w:tc>
          <w:tcPr>
            <w:tcW w:type="dxa" w:w="3500"/>
            <w:tcBorders>
              <w:top w:val="single" w:color="D7E0DD" w:sz="3"/>
              <w:left w:val="single" w:color="D7E0DD" w:sz="3"/>
              <w:bottom w:val="single" w:color="D7E0DD" w:sz="3"/>
              <w:right w:val="single" w:color="D7E0DD" w:sz="3"/>
            </w:tcBorders>
            <w:shd w:fill="FFFFFF"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L'origine déclarée n'est pas une certification; aucun logo officiel sans autorisation</w:t>
            </w:r>
          </w:p>
        </w:tc>
      </w:tr>
      <w:tr>
        <w:trPr>
          <w:cantSplit/>
        </w:trPr>
        <w:tc>
          <w:tcPr>
            <w:tcW w:type="dxa" w:w="2600"/>
            <w:tcBorders>
              <w:top w:val="single" w:color="D7E0DD" w:sz="3"/>
              <w:left w:val="single" w:color="D7E0DD" w:sz="3"/>
              <w:bottom w:val="single" w:color="D7E0DD" w:sz="3"/>
              <w:right w:val="single" w:color="D7E0DD" w:sz="3"/>
            </w:tcBorders>
            <w:shd w:fill="F1F6F4"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4:30–6:00</w:t>
            </w:r>
          </w:p>
        </w:tc>
        <w:tc>
          <w:tcPr>
            <w:tcW w:type="dxa" w:w="3900"/>
            <w:tcBorders>
              <w:top w:val="single" w:color="D7E0DD" w:sz="3"/>
              <w:left w:val="single" w:color="D7E0DD" w:sz="3"/>
              <w:bottom w:val="single" w:color="D7E0DD" w:sz="3"/>
              <w:right w:val="single" w:color="D7E0DD" w:sz="3"/>
            </w:tcBorders>
            <w:shd w:fill="F1F6F4"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Démarrer une demande de devis de démonstration</w:t>
            </w:r>
          </w:p>
        </w:tc>
        <w:tc>
          <w:tcPr>
            <w:tcW w:type="dxa" w:w="3500"/>
            <w:tcBorders>
              <w:top w:val="single" w:color="D7E0DD" w:sz="3"/>
              <w:left w:val="single" w:color="D7E0DD" w:sz="3"/>
              <w:bottom w:val="single" w:color="D7E0DD" w:sz="3"/>
              <w:right w:val="single" w:color="D7E0DD" w:sz="3"/>
            </w:tcBorders>
            <w:shd w:fill="F1F6F4"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La plateforme facilite une demande; elle ne garantit pas une transaction</w:t>
            </w:r>
          </w:p>
        </w:tc>
      </w:tr>
      <w:tr>
        <w:trPr>
          <w:cantSplit/>
        </w:trPr>
        <w:tc>
          <w:tcPr>
            <w:tcW w:type="dxa" w:w="2600"/>
            <w:tcBorders>
              <w:top w:val="single" w:color="D7E0DD" w:sz="3"/>
              <w:left w:val="single" w:color="D7E0DD" w:sz="3"/>
              <w:bottom w:val="single" w:color="D7E0DD" w:sz="3"/>
              <w:right w:val="single" w:color="D7E0DD" w:sz="3"/>
            </w:tcBorders>
            <w:shd w:fill="FFFFFF"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6:00–7:30</w:t>
            </w:r>
          </w:p>
        </w:tc>
        <w:tc>
          <w:tcPr>
            <w:tcW w:type="dxa" w:w="3900"/>
            <w:tcBorders>
              <w:top w:val="single" w:color="D7E0DD" w:sz="3"/>
              <w:left w:val="single" w:color="D7E0DD" w:sz="3"/>
              <w:bottom w:val="single" w:color="D7E0DD" w:sz="3"/>
              <w:right w:val="single" w:color="D7E0DD" w:sz="3"/>
            </w:tcBorders>
            <w:shd w:fill="FFFFFF"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Montrer un brief professionnel et la sélection admin</w:t>
            </w:r>
          </w:p>
        </w:tc>
        <w:tc>
          <w:tcPr>
            <w:tcW w:type="dxa" w:w="3500"/>
            <w:tcBorders>
              <w:top w:val="single" w:color="D7E0DD" w:sz="3"/>
              <w:left w:val="single" w:color="D7E0DD" w:sz="3"/>
              <w:bottom w:val="single" w:color="D7E0DD" w:sz="3"/>
              <w:right w:val="single" w:color="D7E0DD" w:sz="3"/>
            </w:tcBorders>
            <w:shd w:fill="FFFFFF"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Revue humaine; seul un groupe choisi reçoit le brief</w:t>
            </w:r>
          </w:p>
        </w:tc>
      </w:tr>
      <w:tr>
        <w:trPr>
          <w:cantSplit/>
        </w:trPr>
        <w:tc>
          <w:tcPr>
            <w:tcW w:type="dxa" w:w="2600"/>
            <w:tcBorders>
              <w:top w:val="single" w:color="D7E0DD" w:sz="3"/>
              <w:left w:val="single" w:color="D7E0DD" w:sz="3"/>
              <w:bottom w:val="single" w:color="D7E0DD" w:sz="3"/>
              <w:right w:val="single" w:color="D7E0DD" w:sz="3"/>
            </w:tcBorders>
            <w:shd w:fill="F1F6F4"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7:30–8:30</w:t>
            </w:r>
          </w:p>
        </w:tc>
        <w:tc>
          <w:tcPr>
            <w:tcW w:type="dxa" w:w="3900"/>
            <w:tcBorders>
              <w:top w:val="single" w:color="D7E0DD" w:sz="3"/>
              <w:left w:val="single" w:color="D7E0DD" w:sz="3"/>
              <w:bottom w:val="single" w:color="D7E0DD" w:sz="3"/>
              <w:right w:val="single" w:color="D7E0DD" w:sz="3"/>
            </w:tcBorders>
            <w:shd w:fill="F1F6F4"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Montrer le contact WhatsApp</w:t>
            </w:r>
          </w:p>
        </w:tc>
        <w:tc>
          <w:tcPr>
            <w:tcW w:type="dxa" w:w="3500"/>
            <w:tcBorders>
              <w:top w:val="single" w:color="D7E0DD" w:sz="3"/>
              <w:left w:val="single" w:color="D7E0DD" w:sz="3"/>
              <w:bottom w:val="single" w:color="D7E0DD" w:sz="3"/>
              <w:right w:val="single" w:color="D7E0DD" w:sz="3"/>
            </w:tcBorders>
            <w:shd w:fill="F1F6F4"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Un clic signifie mise en relation, pas vente</w:t>
            </w:r>
          </w:p>
        </w:tc>
      </w:tr>
      <w:tr>
        <w:trPr>
          <w:cantSplit/>
        </w:trPr>
        <w:tc>
          <w:tcPr>
            <w:tcW w:type="dxa" w:w="2600"/>
            <w:tcBorders>
              <w:top w:val="single" w:color="D7E0DD" w:sz="3"/>
              <w:left w:val="single" w:color="D7E0DD" w:sz="3"/>
              <w:bottom w:val="single" w:color="D7E0DD" w:sz="3"/>
              <w:right w:val="single" w:color="D7E0DD" w:sz="3"/>
            </w:tcBorders>
            <w:shd w:fill="FFFFFF"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8:30–9:15</w:t>
            </w:r>
          </w:p>
        </w:tc>
        <w:tc>
          <w:tcPr>
            <w:tcW w:type="dxa" w:w="3900"/>
            <w:tcBorders>
              <w:top w:val="single" w:color="D7E0DD" w:sz="3"/>
              <w:left w:val="single" w:color="D7E0DD" w:sz="3"/>
              <w:bottom w:val="single" w:color="D7E0DD" w:sz="3"/>
              <w:right w:val="single" w:color="D7E0DD" w:sz="3"/>
            </w:tcBorders>
            <w:shd w:fill="FFFFFF"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Montrer les indicateurs agrégés</w:t>
            </w:r>
          </w:p>
        </w:tc>
        <w:tc>
          <w:tcPr>
            <w:tcW w:type="dxa" w:w="3500"/>
            <w:tcBorders>
              <w:top w:val="single" w:color="D7E0DD" w:sz="3"/>
              <w:left w:val="single" w:color="D7E0DD" w:sz="3"/>
              <w:bottom w:val="single" w:color="D7E0DD" w:sz="3"/>
              <w:right w:val="single" w:color="D7E0DD" w:sz="3"/>
            </w:tcBorders>
            <w:shd w:fill="FFFFFF"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Consultations, demandes, réponses et ventes déclarées sont des mesures distinctes</w:t>
            </w:r>
          </w:p>
        </w:tc>
      </w:tr>
      <w:tr>
        <w:trPr>
          <w:cantSplit/>
        </w:trPr>
        <w:tc>
          <w:tcPr>
            <w:tcW w:type="dxa" w:w="2600"/>
            <w:tcBorders>
              <w:top w:val="single" w:color="D7E0DD" w:sz="3"/>
              <w:left w:val="single" w:color="D7E0DD" w:sz="3"/>
              <w:bottom w:val="single" w:color="D7E0DD" w:sz="3"/>
              <w:right w:val="single" w:color="D7E0DD" w:sz="3"/>
            </w:tcBorders>
            <w:shd w:fill="F1F6F4"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9:15–10:00</w:t>
            </w:r>
          </w:p>
        </w:tc>
        <w:tc>
          <w:tcPr>
            <w:tcW w:type="dxa" w:w="3900"/>
            <w:tcBorders>
              <w:top w:val="single" w:color="D7E0DD" w:sz="3"/>
              <w:left w:val="single" w:color="D7E0DD" w:sz="3"/>
              <w:bottom w:val="single" w:color="D7E0DD" w:sz="3"/>
              <w:right w:val="single" w:color="D7E0DD" w:sz="3"/>
            </w:tcBorders>
            <w:shd w:fill="F1F6F4"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Conclure et demander une orientation</w:t>
            </w:r>
          </w:p>
        </w:tc>
        <w:tc>
          <w:tcPr>
            <w:tcW w:type="dxa" w:w="3500"/>
            <w:tcBorders>
              <w:top w:val="single" w:color="D7E0DD" w:sz="3"/>
              <w:left w:val="single" w:color="D7E0DD" w:sz="3"/>
              <w:bottom w:val="single" w:color="D7E0DD" w:sz="3"/>
              <w:right w:val="single" w:color="D7E0DD" w:sz="3"/>
            </w:tcBorders>
            <w:shd w:fill="F1F6F4"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Étudier un test limité, ses critères, son budget et ses autorisations</w:t>
            </w:r>
          </w:p>
        </w:tc>
      </w:tr>
    </w:tbl>
    <w:p>
      <w:pPr>
        <w:spacing w:after="55" w:line="260"/>
      </w:pPr>
      <w:r>
        <w:rPr>
          <w:rFonts w:ascii="Arial" w:cs="Arial" w:eastAsia="Arial" w:hAnsi="Arial"/>
          <w:b w:val="false"/>
          <w:bCs w:val="false"/>
          <w:i w:val="false"/>
          <w:iCs w:val="false"/>
          <w:color w:val="26353A"/>
          <w:sz w:val="18"/>
          <w:szCs w:val="18"/>
        </w:rPr>
        <w:t xml:space="preserve">Clôture proposée : « Nous sollicitons une audience de présentation et votre orientation vers le service compétent. Si un test est jugé pertinent, nous en définirons conjointement le périmètre, les règles de présentation commerciale, les responsabilités et le budget avant tout engagement. »</w:t>
      </w:r>
    </w:p>
    <w:sectPr>
      <w:pgSz w:w="16838" w:h="11906" w:orient="landscape"/>
      <w:pgMar w:top="680" w:right="680" w:bottom="680" w:left="6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pPr>
        <w:spacing w:line="26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pzbb_vng6odpatgrtcezy" Type="http://schemas.openxmlformats.org/officeDocument/2006/relationships/hyperlink" Target="https://artisanconnectcm.info" TargetMode="External"/><Relationship Id="rId7" Type="http://schemas.openxmlformats.org/officeDocument/2006/relationships/image" Target="media/c36016a2132975be8e6b11311315629d64f7d89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Démonstration — MINCOMMERCE</dc:title>
  <dc:subject>Démonstration — MINCOMMERCE</dc:subject>
  <dc:creator>ArtisanConnect</dc:creator>
  <cp:lastModifiedBy>Un-named</cp:lastModifiedBy>
  <cp:revision>1</cp:revision>
  <dcterms:created xsi:type="dcterms:W3CDTF">2026-09-29T00:01:55.871Z</dcterms:created>
  <dcterms:modified xsi:type="dcterms:W3CDTF">2026-09-29T00:01:55.871Z</dcterms:modified>
</cp:coreProperties>
</file>

<file path=docProps/custom.xml><?xml version="1.0" encoding="utf-8"?>
<Properties xmlns="http://schemas.openxmlformats.org/officeDocument/2006/custom-properties" xmlns:vt="http://schemas.openxmlformats.org/officeDocument/2006/docPropsVTypes"/>
</file>