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00.0" w:type="dxa"/>
        <w:jc w:val="left"/>
        <w:tblLayout w:type="fixed"/>
        <w:tblLook w:val="0600"/>
      </w:tblPr>
      <w:tblGrid>
        <w:gridCol w:w="1725"/>
        <w:gridCol w:w="4425"/>
        <w:gridCol w:w="3990"/>
        <w:gridCol w:w="3960"/>
        <w:tblGridChange w:id="0">
          <w:tblGrid>
            <w:gridCol w:w="1725"/>
            <w:gridCol w:w="4425"/>
            <w:gridCol w:w="3990"/>
            <w:gridCol w:w="3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before="380" w:line="411.42960000000005" w:lineRule="auto"/>
              <w:jc w:val="center"/>
              <w:rPr>
                <w:rFonts w:ascii="Poppins" w:cs="Poppins" w:eastAsia="Poppins" w:hAnsi="Poppins"/>
                <w:b w:val="1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74151"/>
                <w:sz w:val="11"/>
                <w:szCs w:val="11"/>
                <w:rtl w:val="0"/>
              </w:rPr>
              <w:t xml:space="preserve">Sistema Gestor de Bases de Datos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before="380" w:line="411.42960000000005" w:lineRule="auto"/>
              <w:jc w:val="center"/>
              <w:rPr>
                <w:rFonts w:ascii="Poppins" w:cs="Poppins" w:eastAsia="Poppins" w:hAnsi="Poppins"/>
                <w:b w:val="1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74151"/>
                <w:sz w:val="11"/>
                <w:szCs w:val="11"/>
                <w:rtl w:val="0"/>
              </w:rPr>
              <w:t xml:space="preserve">Características de Integración de XML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before="380" w:line="411.42960000000005" w:lineRule="auto"/>
              <w:jc w:val="center"/>
              <w:rPr>
                <w:rFonts w:ascii="Poppins" w:cs="Poppins" w:eastAsia="Poppins" w:hAnsi="Poppins"/>
                <w:b w:val="1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74151"/>
                <w:sz w:val="11"/>
                <w:szCs w:val="11"/>
                <w:rtl w:val="0"/>
              </w:rPr>
              <w:t xml:space="preserve">Ventajas de Integración de XML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before="380" w:line="411.42960000000005" w:lineRule="auto"/>
              <w:jc w:val="center"/>
              <w:rPr>
                <w:rFonts w:ascii="Poppins" w:cs="Poppins" w:eastAsia="Poppins" w:hAnsi="Poppins"/>
                <w:b w:val="1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74151"/>
                <w:sz w:val="11"/>
                <w:szCs w:val="11"/>
                <w:rtl w:val="0"/>
              </w:rPr>
              <w:t xml:space="preserve">Desventajas de Integración de XML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- Soporte nativo para almacenamiento y procesamiento de documentos XML - XML DB para gestión de documentos XML - Soporte para XPath, XQuery, y XSLT - Integración con Java y .NET - Soporte para XML Schema y validación de documentos XML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- Capacidad de almacenar y consultar datos XML - Facilidad de integración con aplicaciones Java y .NET - Soporte para estándares XML - Potente motor de búsqueda y análisis de documentos XML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- Requiere conocimientos especializados para la configuración y administración - Mayor complejidad en la gestión de datos relacionales y XML en la misma base de datos - Limitaciones en el soporte de algunos estándares XML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PostgreSQL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- Soporte nativo para almacenamiento y procesamiento de documentos XML - Soporte para XPath y XQuery - Integración con lenguajes de programación como Python y Java - Soporte para XML Schema y validación de documentos XML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- Capacidad de almacenar y consultar datos XML - Facilidad de integración con aplicaciones Python y Java - Soporte para estándares XML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- Limitaciones en el soporte de algunos estándares XML - Requiere conocimientos especializados para la configuración y administración - Menor rendimiento en la gestión de datos XML en comparación con datos relacionales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Microsoft SQL Server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- Soporte nativo para almacenamiento y procesamiento de documentos XML - XML Data Type para gestión de documentos XML - Soporte para XPath, XQuery y XSLT - Integración con .NET y Visual Studio - Soporte para XML Schema y validación de documentos XML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- Capacidad de almacenar y consultar datos XML - Facilidad de integración con aplicaciones .NET - Soporte para estándares XML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- Requiere conocimientos especializados para la configuración y administración - Limitaciones en el soporte de algunos estándares XML - Mayor complejidad en la gestión de datos relacionales y XML en la misma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IBM Db2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- Soporte nativo para almacenamiento y procesamiento de documentos XML - Soporte para XPath y XQuery - Integración con Java y .NET - Soporte para XML Schema y validación de documentos XML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- Capacidad de almacenar y consultar datos XML - Facilidad de integración con aplicaciones Java y .NET - Soporte para estándares XML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before="380" w:line="411.42960000000005" w:lineRule="auto"/>
              <w:rPr>
                <w:rFonts w:ascii="Poppins Light" w:cs="Poppins Light" w:eastAsia="Poppins Light" w:hAnsi="Poppins Light"/>
                <w:color w:val="374151"/>
                <w:sz w:val="11"/>
                <w:szCs w:val="11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374151"/>
                <w:sz w:val="11"/>
                <w:szCs w:val="11"/>
                <w:rtl w:val="0"/>
              </w:rPr>
              <w:t xml:space="preserve">- Requiere conocimientos especializados para la configuración y administración - Limitaciones en el soporte de algunos estándares XML - Mayor complejidad en la gestión de datos relacionales y XML en la misma base de datos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Light-regular.ttf"/><Relationship Id="rId6" Type="http://schemas.openxmlformats.org/officeDocument/2006/relationships/font" Target="fonts/PoppinsLight-bold.ttf"/><Relationship Id="rId7" Type="http://schemas.openxmlformats.org/officeDocument/2006/relationships/font" Target="fonts/PoppinsLight-italic.ttf"/><Relationship Id="rId8" Type="http://schemas.openxmlformats.org/officeDocument/2006/relationships/font" Target="fonts/Poppi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