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Sitemap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Registro / Inicio de sesión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Inicio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Crear / editar subasta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Subasta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fa8dc"/>
          <w:rtl w:val="0"/>
        </w:rPr>
        <w:t xml:space="preserve">Juanda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Edición del perfil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Centro de notificaciones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Contacto soporte técnico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fa8dc"/>
          <w:rtl w:val="0"/>
        </w:rPr>
        <w:t xml:space="preserve">Juanda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Ingreso / retirada / códigos promocionales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f6b26b"/>
          <w:rtl w:val="0"/>
        </w:rPr>
        <w:t xml:space="preserve">Gabi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Historial de subastas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Estadísticas de subasta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Estadísticas personales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aa84f"/>
          <w:rtl w:val="0"/>
        </w:rPr>
        <w:t xml:space="preserve">Alex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Personalización bot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d9eeb"/>
          <w:rtl w:val="0"/>
        </w:rPr>
        <w:t xml:space="preserve">Juanda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Panel administrador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6d9eeb"/>
          <w:rtl w:val="0"/>
        </w:rPr>
        <w:t xml:space="preserve">Juanda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Información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usuarios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códigos promocionales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calendario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subastas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categorías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Gestion de valoraciones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Gestión de notificaciones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