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微软雅黑" w:eastAsia="微软雅黑" w:hAnsi="微软雅黑"/>
          <w:sz w:val="32"/>
          <w:szCs w:val="32"/>
        </w:rPr>
        <w:t>融资申请流程调整</w:t>
      </w:r>
    </w:p>
    <w:p>
      <w:pPr>
        <w:pStyle w:val="style0"/>
        <w:jc w:val="left"/>
      </w:pPr>
      <w:r>
        <w:rPr>
          <w:rFonts w:ascii="微软雅黑" w:eastAsia="微软雅黑" w:hAnsi="微软雅黑"/>
          <w:sz w:val="28"/>
          <w:szCs w:val="28"/>
        </w:rPr>
      </w:r>
    </w:p>
    <w:tbl>
      <w:tblPr>
        <w:jc w:val="left"/>
        <w:tblInd w:type="dxa" w:w="-108"/>
        <w:tblBorders/>
      </w:tblPr>
      <w:tblGrid>
        <w:gridCol w:w="11447"/>
        <w:gridCol w:w="1843"/>
      </w:tblGrid>
      <w:tr>
        <w:trPr>
          <w:cantSplit w:val="false"/>
        </w:trPr>
        <w:tc>
          <w:tcPr>
            <w:tcW w:type="dxa" w:w="11447"/>
            <w:tcBorders/>
            <w:shd w:fill="BFBFBF" w:val="clear"/>
            <w:tcMar>
              <w:top w:type="dxa" w:w="0"/>
              <w:left w:type="dxa" w:w="108"/>
              <w:bottom w:type="dxa" w:w="0"/>
              <w:right w:type="dxa" w:w="108"/>
            </w:tcMar>
            <w:vAlign w:val="center"/>
          </w:tcPr>
          <w:p>
            <w:pPr>
              <w:pStyle w:val="style24"/>
              <w:ind w:hanging="0" w:left="0" w:right="0"/>
            </w:pPr>
            <w:r>
              <w:rPr>
                <w:rFonts w:ascii="微软雅黑" w:eastAsia="微软雅黑" w:hAnsi="微软雅黑"/>
                <w:sz w:val="28"/>
                <w:szCs w:val="28"/>
              </w:rPr>
              <w:t>调整内容</w:t>
            </w:r>
          </w:p>
        </w:tc>
        <w:tc>
          <w:tcPr>
            <w:tcW w:type="dxa" w:w="1843"/>
            <w:tcBorders/>
            <w:shd w:fill="BFBFBF"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优先级</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color w:val="800000"/>
                <w:sz w:val="21"/>
                <w:shd w:fill="auto" w:val="clear"/>
              </w:rPr>
              <w:commentReference w:id="0"/>
            </w:r>
            <w:r>
              <w:rPr>
                <w:rFonts w:ascii="微软雅黑" w:eastAsia="微软雅黑" w:hAnsi="微软雅黑"/>
                <w:color w:val="800000"/>
                <w:sz w:val="21"/>
                <w:shd w:fill="auto" w:val="clear"/>
              </w:rPr>
              <w:t>为餐饮基金介绍页设置二级域名（重点项目提供二级域名，重定向到此页面）</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低</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bookmarkStart w:id="0" w:name="_GoBack"/>
            <w:bookmarkEnd w:id="0"/>
            <w:r>
              <w:rPr>
                <w:rFonts w:ascii="微软雅黑" w:eastAsia="微软雅黑" w:hAnsi="微软雅黑"/>
              </w:rPr>
              <w:t>注册时验证邮件可重新发送，</w:t>
            </w:r>
            <w:r>
              <w:rPr>
                <w:rFonts w:ascii="微软雅黑" w:eastAsia="微软雅黑" w:hAnsi="微软雅黑"/>
              </w:rPr>
              <w:t>1</w:t>
            </w:r>
            <w:r>
              <w:rPr>
                <w:rFonts w:ascii="微软雅黑" w:eastAsia="微软雅黑" w:hAnsi="微软雅黑"/>
              </w:rPr>
              <w:t>分钟内重发</w:t>
            </w:r>
            <w:r>
              <w:rPr>
                <w:rFonts w:ascii="微软雅黑" w:eastAsia="微软雅黑" w:hAnsi="微软雅黑"/>
              </w:rPr>
              <w:t>1</w:t>
            </w:r>
            <w:r>
              <w:rPr>
                <w:rFonts w:ascii="微软雅黑" w:eastAsia="微软雅黑" w:hAnsi="微软雅黑"/>
              </w:rPr>
              <w:t>次；优化用户中心会员修改注册信息的验证功能</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
            </w:r>
            <w:r>
              <w:rPr>
                <w:rFonts w:ascii="微软雅黑" w:eastAsia="微软雅黑" w:hAnsi="微软雅黑"/>
              </w:rPr>
              <w:t>点击邮件地址直接新页面打开该邮箱服务器地址</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低</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2"/>
            </w:r>
            <w:r>
              <w:rPr>
                <w:rFonts w:ascii="微软雅黑" w:eastAsia="微软雅黑" w:hAnsi="微软雅黑"/>
              </w:rPr>
              <w:t>按照原型选择用户类型页面重新制作</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3"/>
            </w:r>
            <w:r>
              <w:rPr>
                <w:rFonts w:ascii="微软雅黑" w:eastAsia="微软雅黑" w:hAnsi="微软雅黑"/>
              </w:rPr>
              <w:t>企业行业分类调整排序，常用的排在前面</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中</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4"/>
            </w:r>
            <w:r>
              <w:rPr>
                <w:rFonts w:ascii="微软雅黑" w:eastAsia="微软雅黑" w:hAnsi="微软雅黑"/>
              </w:rPr>
              <w:t>用户中心添加最近查看产品，方便用户注册后直接申请</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5"/>
            </w:r>
            <w:r>
              <w:rPr>
                <w:rFonts w:ascii="微软雅黑" w:eastAsia="微软雅黑" w:hAnsi="微软雅黑"/>
              </w:rPr>
              <w:t>企业经营贷款申请第一步完善企业详细信息时，所有下拉选择都需默认显示请选择，如为必选项则提示要选择具体选项</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6"/>
            </w:r>
            <w:r>
              <w:rPr>
                <w:rFonts w:ascii="微软雅黑" w:eastAsia="微软雅黑" w:hAnsi="微软雅黑"/>
              </w:rPr>
              <w:t>企业经营贷款申请第二步中的企业经营信息排序变更（营业额排首位），文字表达调整由上月上年改为自动取具体月份及年份，移除后</w:t>
            </w:r>
            <w:r>
              <w:rPr>
                <w:rFonts w:ascii="微软雅黑" w:eastAsia="微软雅黑" w:hAnsi="微软雅黑"/>
              </w:rPr>
              <w:t>4</w:t>
            </w:r>
            <w:r>
              <w:rPr>
                <w:rFonts w:ascii="微软雅黑" w:eastAsia="微软雅黑" w:hAnsi="微软雅黑"/>
              </w:rPr>
              <w:t>项</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7"/>
            </w:r>
            <w:r>
              <w:rPr>
                <w:rFonts w:ascii="微软雅黑" w:eastAsia="微软雅黑" w:hAnsi="微软雅黑"/>
              </w:rPr>
              <w:t>企业经营贷款申请第一步下方按键从保存改为下一步</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8"/>
            </w:r>
            <w:r>
              <w:rPr>
                <w:rFonts w:ascii="微软雅黑" w:eastAsia="微软雅黑" w:hAnsi="微软雅黑"/>
              </w:rPr>
              <w:t>企业经营贷款申请第二步中选择贷款用途时选择其他时显示文本框可输入自定义用途</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9"/>
            </w:r>
            <w:r>
              <w:rPr>
                <w:rFonts w:ascii="微软雅黑" w:eastAsia="微软雅黑" w:hAnsi="微软雅黑"/>
              </w:rPr>
              <w:t>系统后台申请单状态变动提醒（邮件和短信发给验证过的地址），在申请单列表中添加标示</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0"/>
            </w:r>
            <w:r>
              <w:rPr>
                <w:rFonts w:ascii="微软雅黑" w:eastAsia="微软雅黑" w:hAnsi="微软雅黑"/>
              </w:rPr>
              <w:t>融资申请单显示完整，将所有信息集中显示在一个页面中（优先级高），可按部分展开收起（优先级低）</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1"/>
            </w:r>
            <w:r>
              <w:rPr>
                <w:rFonts w:ascii="微软雅黑" w:eastAsia="微软雅黑" w:hAnsi="微软雅黑"/>
              </w:rPr>
              <w:t>融资申请单可导出、打印、导出时格式为表格格式（能够输出</w:t>
            </w:r>
            <w:r>
              <w:rPr>
                <w:rFonts w:ascii="微软雅黑" w:eastAsia="微软雅黑" w:hAnsi="微软雅黑"/>
              </w:rPr>
              <w:t>PDF/</w:t>
            </w:r>
            <w:r>
              <w:rPr>
                <w:rFonts w:ascii="微软雅黑" w:eastAsia="微软雅黑" w:hAnsi="微软雅黑"/>
              </w:rPr>
              <w:t>或者</w:t>
            </w:r>
            <w:r>
              <w:rPr>
                <w:rFonts w:ascii="微软雅黑" w:eastAsia="微软雅黑" w:hAnsi="微软雅黑"/>
              </w:rPr>
              <w:t>Office</w:t>
            </w:r>
            <w:r>
              <w:rPr>
                <w:rFonts w:ascii="微软雅黑" w:eastAsia="微软雅黑" w:hAnsi="微软雅黑"/>
              </w:rPr>
              <w:t>格式）</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中</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2"/>
            </w:r>
            <w:r>
              <w:rPr>
                <w:rFonts w:ascii="微软雅黑" w:eastAsia="微软雅黑" w:hAnsi="微软雅黑"/>
              </w:rPr>
              <w:t>申请单中申贷资料新上传提示，并显示上传数量与所需数量比 如已上传资料：</w:t>
            </w:r>
            <w:r>
              <w:rPr>
                <w:rFonts w:ascii="微软雅黑" w:eastAsia="微软雅黑" w:hAnsi="微软雅黑"/>
              </w:rPr>
              <w:t>3/10</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trHeight w:hRule="atLeast" w:val="587"/>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3"/>
            </w:r>
            <w:r>
              <w:rPr>
                <w:rFonts w:ascii="微软雅黑" w:eastAsia="微软雅黑" w:hAnsi="微软雅黑"/>
              </w:rPr>
              <w:t>系统后台融资申请单详情增加日志</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4"/>
            </w:r>
            <w:r>
              <w:rPr>
                <w:rFonts w:ascii="微软雅黑" w:eastAsia="微软雅黑" w:hAnsi="微软雅黑"/>
              </w:rPr>
              <w:t>信息快捷发布机器人（网站后台可模拟会员登录功能）</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i/>
                <w:iCs/>
                <w:szCs w:val="21"/>
              </w:rPr>
              <w:t>申请时不判断数据真实性 在系统后台增加自动计算功能，提示填写的信息不准确（网站后改的预审功能，支持自动审核订单，结合人工审核订单。需要策划后再实现）</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中</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5"/>
            </w:r>
            <w:r>
              <w:rPr>
                <w:rFonts w:ascii="微软雅黑" w:eastAsia="微软雅黑" w:hAnsi="微软雅黑"/>
              </w:rPr>
              <w:t>要求补充材料时可一次添加多条，并且添加时可修改</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6"/>
            </w:r>
            <w:r>
              <w:rPr>
                <w:rFonts w:ascii="微软雅黑" w:eastAsia="微软雅黑" w:hAnsi="微软雅黑"/>
              </w:rPr>
              <w:t>下载文件时可在线打开查看</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i/>
                <w:iCs/>
              </w:rPr>
              <w:commentReference w:id="17"/>
            </w:r>
            <w:r>
              <w:rPr>
                <w:rFonts w:ascii="微软雅黑" w:eastAsia="微软雅黑" w:hAnsi="微软雅黑"/>
                <w:i/>
                <w:iCs/>
              </w:rPr>
              <w:t>资金方确认收到（审核）后的文件不允许再次上传</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8"/>
            </w:r>
            <w:r>
              <w:rPr>
                <w:rFonts w:ascii="微软雅黑" w:eastAsia="微软雅黑" w:hAnsi="微软雅黑"/>
              </w:rPr>
              <w:t>资金方及系统后台改变申请单状态时可填写说明，显示在日志中</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19"/>
            </w:r>
            <w:r>
              <w:rPr>
                <w:rFonts w:ascii="微软雅黑" w:eastAsia="微软雅黑" w:hAnsi="微软雅黑"/>
              </w:rPr>
              <w:t>日志默认显示最新一条信息 点击详情展开（类似淘宝之类电商的“查看物流”功能）</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commentReference w:id="20"/>
            </w:r>
            <w:r>
              <w:rPr>
                <w:rFonts w:ascii="微软雅黑" w:eastAsia="微软雅黑" w:hAnsi="微软雅黑"/>
              </w:rPr>
              <w:t>状态文字调整 审核失败改为审核未通过并且分为资金网审核（或者预审）未通过及资金方审核未通过（资金网的审核都修改为“预审”，和资金方的“审核”区分）</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t>申请单状态后退功能，并不直接驳回申请只是令其返回上一步修改后可重新提交（具体实现请讨论后确定）</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numPr>
                <w:ilvl w:val="0"/>
                <w:numId w:val="1"/>
              </w:numPr>
            </w:pPr>
            <w:r>
              <w:rPr>
                <w:rFonts w:ascii="微软雅黑" w:eastAsia="微软雅黑" w:hAnsi="微软雅黑"/>
              </w:rPr>
              <w:t>美化资金方的“用户中心”的界面，优化用户使用体验</w:t>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Fonts w:ascii="微软雅黑" w:eastAsia="微软雅黑" w:hAnsi="微软雅黑"/>
                <w:sz w:val="28"/>
                <w:szCs w:val="28"/>
              </w:rPr>
              <w:t>高</w:t>
            </w:r>
          </w:p>
        </w:tc>
      </w:tr>
      <w:tr>
        <w:trPr>
          <w:cantSplit w:val="false"/>
        </w:trPr>
        <w:tc>
          <w:tcPr>
            <w:tcW w:type="dxa" w:w="11447"/>
            <w:tcBorders/>
            <w:shd w:fill="auto" w:val="clear"/>
            <w:tcMar>
              <w:top w:type="dxa" w:w="0"/>
              <w:left w:type="dxa" w:w="108"/>
              <w:bottom w:type="dxa" w:w="0"/>
              <w:right w:type="dxa" w:w="108"/>
            </w:tcMar>
            <w:vAlign w:val="center"/>
          </w:tcPr>
          <w:p>
            <w:pPr>
              <w:pStyle w:val="style24"/>
              <w:ind w:hanging="0" w:left="0" w:right="0"/>
            </w:pPr>
            <w:r>
              <w:rPr/>
              <w:t>…</w:t>
            </w:r>
          </w:p>
          <w:p>
            <w:pPr>
              <w:pStyle w:val="style24"/>
              <w:numPr>
                <w:ilvl w:val="0"/>
                <w:numId w:val="1"/>
              </w:numPr>
              <w:ind w:hanging="0" w:left="0" w:right="0"/>
            </w:pPr>
            <w:r>
              <w:rPr/>
            </w:r>
          </w:p>
        </w:tc>
        <w:tc>
          <w:tcPr>
            <w:tcW w:type="dxa" w:w="1843"/>
            <w:tcBorders/>
            <w:shd w:fill="auto" w:val="clear"/>
            <w:tcMar>
              <w:top w:type="dxa" w:w="0"/>
              <w:left w:type="dxa" w:w="108"/>
              <w:bottom w:type="dxa" w:w="0"/>
              <w:right w:type="dxa" w:w="108"/>
            </w:tcMar>
            <w:vAlign w:val="center"/>
          </w:tcPr>
          <w:p>
            <w:pPr>
              <w:pStyle w:val="style24"/>
              <w:ind w:hanging="0" w:left="0" w:right="0"/>
              <w:jc w:val="center"/>
            </w:pPr>
            <w:r>
              <w:rPr/>
            </w:r>
          </w:p>
        </w:tc>
      </w:tr>
    </w:tbl>
    <w:p>
      <w:pPr>
        <w:pStyle w:val="style24"/>
        <w:ind w:hanging="0" w:left="720" w:right="0"/>
        <w:jc w:val="left"/>
      </w:pPr>
      <w:r>
        <w:rPr/>
      </w:r>
    </w:p>
    <w:sectPr>
      <w:type w:val="nextPage"/>
      <w:pgSz w:h="23811" w:w="16838"/>
      <w:pgMar w:bottom="1440" w:footer="0" w:gutter="0" w:header="0" w:left="1800" w:right="1800" w:top="1440"/>
      <w:pgNumType w:fmt="decimal"/>
      <w:formProt w:val="false"/>
      <w:textDirection w:val="lrTb"/>
      <w:docGrid w:charSpace="6143" w:linePitch="312" w:type="lines"/>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Tony Ju" w:date="2012-09-20T13:23:35Z" w:id="0">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zh-CN" w:val="en-US"/>
        </w:rPr>
        <w:t>?</w:t>
      </w:r>
    </w:p>
    <w:p>
      <w:r>
        <w:rPr/>
      </w:r>
    </w:p>
  </w:comment>
  <w:comment w:author="Tony Ju" w:date="2012-09-20T13:48:41Z" w:id="1">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可能要收集主流网站的Email服务器的网页地址...</w:t>
      </w:r>
    </w:p>
  </w:comment>
  <w:comment w:author="Tony Ju" w:date="2012-09-20T13:48:06Z" w:id="2">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原型的地址是什么？</w:t>
      </w:r>
    </w:p>
  </w:comment>
  <w:comment w:author="Tony Ju" w:date="2012-09-20T13:26:58Z" w:id="3">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需要记录行业选择次数，或者统计行业所使用的累计值。</w:t>
      </w:r>
    </w:p>
  </w:comment>
  <w:comment w:author="Tony Ju" w:date="2012-09-20T13:27:49Z" w:id="4">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记录浏览历史</w:t>
      </w:r>
    </w:p>
  </w:comment>
  <w:comment w:author="Tony Ju" w:date="2012-09-20T13:28:13Z" w:id="5">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企业信息编辑功能调整</w:t>
      </w:r>
    </w:p>
  </w:comment>
  <w:comment w:author="Tony Ju" w:date="2012-09-20T13:29:07Z" w:id="6">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融资申请修改</w:t>
      </w:r>
    </w:p>
  </w:comment>
  <w:comment w:author="Tony Ju" w:date="2012-09-20T13:29:25Z" w:id="7">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微小改动...</w:t>
      </w:r>
    </w:p>
  </w:comment>
  <w:comment w:author="Tony Ju" w:date="2012-09-20T13:29:59Z" w:id="8">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自定义贷款用途</w:t>
      </w:r>
    </w:p>
  </w:comment>
  <w:comment w:author="Tony Ju" w:date="2012-09-20T13:30:52Z" w:id="9">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如何进行标识？提醒信息需要与具体单据关联...</w:t>
      </w:r>
    </w:p>
  </w:comment>
  <w:comment w:author="Tony Ju" w:date="2012-09-20T13:31:37Z" w:id="10">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界面结构的调整，可隐藏部分内容</w:t>
      </w:r>
    </w:p>
  </w:comment>
  <w:comment w:author="Tony Ju" w:date="2012-09-20T13:32:21Z" w:id="11">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请提供样式文档， Office 样式有哪几种类型？</w:t>
      </w:r>
    </w:p>
  </w:comment>
  <w:comment w:author="Tony Ju" w:date="2012-09-20T13:33:20Z" w:id="12">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增加进度条及百分比...</w:t>
      </w:r>
    </w:p>
  </w:comment>
  <w:comment w:author="Tony Ju" w:date="2012-09-20T13:33:49Z" w:id="13">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日志记录什么？</w:t>
      </w:r>
    </w:p>
  </w:comment>
  <w:comment w:author="Tony Ju" w:date="2012-09-20T13:34:24Z" w:id="14">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在同一时间点，只模拟一位用户登录吗？</w:t>
      </w:r>
    </w:p>
    <w:p>
      <w:r>
        <w:rPr/>
      </w:r>
    </w:p>
  </w:comment>
  <w:comment w:author="Tony Ju" w:date="2012-09-20T13:35:25Z" w:id="15">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多数编辑</w:t>
      </w:r>
    </w:p>
  </w:comment>
  <w:comment w:author="Tony Ju" w:date="2012-09-20T13:35:49Z" w:id="16">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是否只是增加在线查看功能？下载只是另一个动作？</w:t>
      </w:r>
    </w:p>
  </w:comment>
  <w:comment w:author="Tony Ju" w:date="2012-09-20T13:50:05Z" w:id="17">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不允许谁不能上传文件？</w:t>
      </w:r>
    </w:p>
  </w:comment>
  <w:comment w:author="Tony Ju" w:date="2012-09-20T13:51:02Z" w:id="18">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申请单修改记录的跟踪</w:t>
      </w:r>
    </w:p>
    <w:p>
      <w:r>
        <w:rPr/>
      </w:r>
    </w:p>
  </w:comment>
  <w:comment w:author="Tony Ju" w:date="2012-09-20T13:51:44Z" w:id="19">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当前情况下有日志记录吗？记录了些什么东西？</w:t>
      </w:r>
    </w:p>
  </w:comment>
  <w:comment w:author="Tony Ju" w:date="2012-09-20T13:52:38Z" w:id="20">
    <w:p>
      <w:r>
        <w:rPr>
          <w:rFonts w:ascii="Ubuntu" w:cs="" w:eastAsia="WenQuanYi Zen Hei" w:hAnsi="Ubuntu"/>
          <w:b w:val="false"/>
          <w:bCs w:val="false"/>
          <w:i w:val="false"/>
          <w:iCs w:val="false"/>
          <w:strike w:val="false"/>
          <w:dstrike w:val="false"/>
          <w:outline w:val="false"/>
          <w:shadow w:val="false"/>
          <w:emboss w:val="false"/>
          <w:imprint w:val="false"/>
          <w:color w:val="auto"/>
          <w:spacing w:val="0"/>
          <w:w w:val="100"/>
          <w:position w:val="0"/>
          <w:sz w:val="20"/>
          <w:sz w:val="21"/>
          <w:szCs w:val="22"/>
          <w:u w:val="none"/>
          <w:vertAlign w:val="baseline"/>
          <w:em w:val="none"/>
          <w:lang w:bidi="ar-SA" w:eastAsia="zh-CN" w:val="en-US"/>
        </w:rPr>
        <w:t>审核过程与审核结果分开...</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Zen Hei" w:hAnsi="Calibri"/>
      <w:color w:val="auto"/>
      <w:sz w:val="21"/>
      <w:szCs w:val="22"/>
      <w:lang w:bidi="ar-SA" w:eastAsia="zh-CN" w:val="en-US"/>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批注框文本 Char"/>
    <w:basedOn w:val="style15"/>
    <w:next w:val="style18"/>
    <w:rPr>
      <w:sz w:val="18"/>
      <w:szCs w:val="18"/>
    </w:rPr>
  </w:style>
  <w:style w:styleId="style19" w:type="paragraph">
    <w:name w:val="Heading"/>
    <w:basedOn w:val="style0"/>
    <w:next w:val="style20"/>
    <w:pPr>
      <w:keepNext/>
      <w:spacing w:after="120" w:before="240"/>
    </w:pPr>
    <w:rPr>
      <w:rFonts w:ascii="Liberation Sans" w:cs="Lohit Hindi" w:eastAsia="WenQuanYi Zen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firstLine="420" w:left="0" w:right="0"/>
    </w:pPr>
    <w:rPr/>
  </w:style>
  <w:style w:styleId="style25" w:type="paragraph">
    <w:name w:val="Header"/>
    <w:basedOn w:val="style0"/>
    <w:next w:val="style25"/>
    <w:pPr>
      <w:suppressLineNumbers/>
      <w:pBdr>
        <w:bottom w:color="00000A" w:space="0" w:sz="6" w:val="single"/>
      </w:pBdr>
      <w:tabs>
        <w:tab w:leader="none" w:pos="4153" w:val="center"/>
        <w:tab w:leader="none" w:pos="8306" w:val="right"/>
      </w:tabs>
      <w:jc w:val="center"/>
    </w:pPr>
    <w:rPr>
      <w:sz w:val="18"/>
      <w:szCs w:val="18"/>
    </w:rPr>
  </w:style>
  <w:style w:styleId="style26" w:type="paragraph">
    <w:name w:val="Footer"/>
    <w:basedOn w:val="style0"/>
    <w:next w:val="style26"/>
    <w:pPr>
      <w:suppressLineNumbers/>
      <w:tabs>
        <w:tab w:leader="none" w:pos="4153" w:val="center"/>
        <w:tab w:leader="none" w:pos="8306" w:val="right"/>
      </w:tabs>
      <w:jc w:val="left"/>
    </w:pPr>
    <w:rPr>
      <w:sz w:val="18"/>
      <w:szCs w:val="18"/>
    </w:rPr>
  </w:style>
  <w:style w:styleId="style27" w:type="paragraph">
    <w:name w:val="Balloon Text"/>
    <w:basedOn w:val="style0"/>
    <w:next w:val="style27"/>
    <w:pPr/>
    <w:rPr>
      <w:sz w:val="18"/>
      <w:szCs w:val="18"/>
    </w:rPr>
  </w:style>
  <w:style w:styleId="style28" w:type="paragraph">
    <w:name w:val="Table Contents"/>
    <w:basedOn w:val="style0"/>
    <w:next w:val="style28"/>
    <w:pPr>
      <w:suppressLineNumbers/>
    </w:pPr>
    <w:rPr/>
  </w:style>
  <w:style w:styleId="style29" w:type="paragraph">
    <w:name w:val="Table Heading"/>
    <w:basedOn w:val="style28"/>
    <w:next w:val="style2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2012-09-20T03:33:00.00Z</dcterms:created>
  <dc:creator>Eric</dc:creator>
  <cp:lastModifiedBy>Eric</cp:lastModifiedBy>
  <dcterms:modified xsi:type="dcterms:W3CDTF">2012-09-20T03:33:00.00Z</dcterms:modified>
  <cp:revision>2</cp:revision>
</cp:coreProperties>
</file>