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Conservative Spacecraft Lagrangian Neural Networks</w:t>
      </w:r>
    </w:p>
    <w:p>
      <w:pPr>
        <w:pStyle w:val="Subtitle"/>
      </w:pPr>
      <w:r>
        <w:t>Reference validation and training progress</w:t>
      </w:r>
    </w:p>
    <w:p>
      <w:r>
        <w:t>JunXi Wu</w:t>
        <w:br/>
        <w:t>October 12 2026 at 17:33 Phoenix time</w:t>
      </w:r>
    </w:p>
    <w:p>
      <w:pPr>
        <w:pStyle w:val="Heading1"/>
      </w:pPr>
      <w:r>
        <w:t>Scope and present conclusion</w:t>
      </w:r>
    </w:p>
    <w:p>
      <w:r>
        <w:t>This study tests whether a generic scalar Lagrangian neural network can learn conservative spacecraft dynamics from acceleration labels. It compares a translation-only relativistic model with a single coupled model containing translation, attitude, elastic tether motion and rotor spin. The present report documents the implemented equations, numerical checks, training protocol and evidence available at the stated cutoff.</w:t>
      </w:r>
    </w:p>
    <w:p>
      <w:r>
        <w:t>The translation reference passes its analytical and numerical checks. The coupled implementation passes several mechanics and differentiation checks, but remains an effective mathematical benchmark because its high-speed time and field conventions are unresolved. The completed 1,000-update smoke runs do not satisfy the scientific accuracy targets. No complete five-seed result is available.</w:t>
      </w:r>
    </w:p>
    <w:tbl>
      <w:tblPr>
        <w:tblW w:type="auto" w:w="0"/>
        <w:jc w:val="center"/>
        <w:tblLayout w:type="fixed"/>
        <w:tblLook w:firstColumn="1" w:firstRow="1" w:lastColumn="0" w:lastRow="0" w:noHBand="0" w:noVBand="1" w:val="04A0"/>
      </w:tblPr>
      <w:tblGrid>
        <w:gridCol w:w="2952"/>
        <w:gridCol w:w="6926"/>
      </w:tblGrid>
      <w:tr>
        <w:trPr>
          <w:tblHeade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Experiment</w:t>
            </w:r>
          </w:p>
        </w:tc>
        <w:tc>
          <w:tcPr>
            <w:tcW w:type="dxa" w:w="69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State at report cutoff</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Notebook source control</w:t>
            </w:r>
          </w:p>
        </w:tc>
        <w:tc>
          <w:tcPr>
            <w:tcW w:type="dxa" w:w="69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42,400 of 300,000 updates recorded; training continues</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spacecraft LNN</w:t>
            </w:r>
          </w:p>
        </w:tc>
        <w:tc>
          <w:tcPr>
            <w:tcW w:type="dxa" w:w="69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Reference validated; 1,000-update smoke completed; five main seeds queued behind the source gate</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Coupled spacecraft LNN</w:t>
            </w:r>
          </w:p>
        </w:tc>
        <w:tc>
          <w:tcPr>
            <w:tcW w:type="dxa" w:w="69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Nine-coordinate action implemented; five-update profile completed; physical long training gated</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Matched baselines and extrapolation</w:t>
            </w:r>
          </w:p>
        </w:tc>
        <w:tc>
          <w:tcPr>
            <w:tcW w:type="dxa" w:w="69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runs queued; coupled study remains pending</w:t>
            </w:r>
          </w:p>
        </w:tc>
      </w:tr>
    </w:tbl>
    <w:p>
      <w:pPr>
        <w:spacing w:after="0"/>
      </w:pPr>
    </w:p>
    <w:p>
      <w:pPr>
        <w:pStyle w:val="Heading2"/>
      </w:pPr>
      <w:r>
        <w:t>Research interpretation</w:t>
      </w:r>
    </w:p>
    <w:p>
      <w:r>
        <w:t>Known thrust enters the equations as an external generalized force. The modeled environment is conservative and mass is fixed. Engine work can change the mechanical energy, so the relevant diagnostic is energy change minus integrated work. Conservation of a learned energy alone does not establish physical trajectory accuracy.</w:t>
      </w:r>
    </w:p>
    <w:p>
      <w:r>
        <w:t>The coupled model uses one learned action for all nine coordinates. Its validation cannot be inferred from separate translation, attitude or centrifuge networks. The evidence in this report concerns the current implementation and training plan only.</w:t>
      </w:r>
    </w:p>
    <w:p>
      <w:r>
        <w:br w:type="page"/>
      </w:r>
    </w:p>
    <w:p>
      <w:pPr>
        <w:pStyle w:val="Heading1"/>
      </w:pPr>
      <w:r>
        <w:t>Relativistic translation and the source control</w:t>
      </w:r>
    </w:p>
    <w:p>
      <w:r>
        <w:t>The incomplete model has one position coordinate x and velocity v. With fixed total mass M and prescribed axial force F, the action differs from the usual relativistic free-particle action only by an additive rest-energy constant.</w:t>
      </w:r>
    </w:p>
    <w:p>
      <w:pPr>
        <w:spacing w:before="60" w:after="180"/>
        <w:jc w:val="center"/>
      </w:pPr>
      <m:oMathPara>
        <m:oMath>
          <m:sSub>
            <m:e>
              <m:r>
                <w:rPr>
                  <w:rFonts w:ascii="Cambria Math" w:hAnsi="Cambria Math"/>
                  <w:sz w:val="22"/>
                </w:rPr>
                <m:t xml:space="preserve">L</m:t>
              </m:r>
            </m:e>
            <m:sub>
              <m:r>
                <m:rPr>
                  <m:nor m:val="1"/>
                </m:rPr>
                <w:rPr>
                  <w:rFonts w:ascii="Cambria Math" w:hAnsi="Cambria Math"/>
                  <w:sz w:val="22"/>
                </w:rPr>
                <m:t xml:space="preserve">inc</m:t>
              </m:r>
            </m:sub>
          </m:sSub>
          <m:r>
            <w:rPr>
              <w:rFonts w:ascii="Cambria Math" w:hAnsi="Cambria Math"/>
              <w:sz w:val="22"/>
            </w:rPr>
            <m:t xml:space="preserve"> = </m:t>
          </m:r>
          <m:sSup>
            <m:e>
              <m:r>
                <m:rPr>
                  <m:nor m:val="1"/>
                </m:rPr>
                <w:rPr>
                  <w:rFonts w:ascii="Cambria Math" w:hAnsi="Cambria Math"/>
                  <w:sz w:val="22"/>
                </w:rPr>
                <m:t xml:space="preserve">Mc</m:t>
              </m:r>
            </m:e>
            <m:sup>
              <m:r>
                <w:rPr>
                  <w:rFonts w:ascii="Cambria Math" w:hAnsi="Cambria Math"/>
                  <w:sz w:val="22"/>
                </w:rPr>
                <m:t xml:space="preserve">2</m:t>
              </m:r>
            </m:sup>
          </m:sSup>
          <m:r>
            <w:rPr>
              <w:rFonts w:ascii="Cambria Math" w:hAnsi="Cambria Math"/>
              <w:sz w:val="22"/>
            </w:rPr>
            <m:t xml:space="preserve">(1 − </m:t>
          </m:r>
          <m:rad>
            <m:radPr>
              <m:degHide m:val="1"/>
            </m:radPr>
            <m:deg/>
            <m:e>
              <m:r>
                <w:rPr>
                  <w:rFonts w:ascii="Cambria Math" w:hAnsi="Cambria Math"/>
                  <w:sz w:val="22"/>
                </w:rPr>
                <m:t xml:space="preserve">1 − </m:t>
              </m:r>
              <m:f>
                <m:num>
                  <m:sSup>
                    <m:e>
                      <m:r>
                        <w:rPr>
                          <w:rFonts w:ascii="Cambria Math" w:hAnsi="Cambria Math"/>
                          <w:sz w:val="22"/>
                        </w:rPr>
                        <m:t xml:space="preserve">v</m:t>
                      </m:r>
                    </m:e>
                    <m:sup>
                      <m:r>
                        <w:rPr>
                          <w:rFonts w:ascii="Cambria Math" w:hAnsi="Cambria Math"/>
                          <w:sz w:val="22"/>
                        </w:rPr>
                        <m:t xml:space="preserve">2</m:t>
                      </m:r>
                    </m:sup>
                  </m:sSup>
                </m:num>
                <m:den>
                  <m:sSup>
                    <m:e>
                      <m:r>
                        <w:rPr>
                          <w:rFonts w:ascii="Cambria Math" w:hAnsi="Cambria Math"/>
                          <w:sz w:val="22"/>
                        </w:rPr>
                        <m:t xml:space="preserve">c</m:t>
                      </m:r>
                    </m:e>
                    <m:sup>
                      <m:r>
                        <w:rPr>
                          <w:rFonts w:ascii="Cambria Math" w:hAnsi="Cambria Math"/>
                          <w:sz w:val="22"/>
                        </w:rPr>
                        <m:t xml:space="preserve">2</m:t>
                      </m:r>
                    </m:sup>
                  </m:sSup>
                </m:den>
              </m:f>
            </m:e>
          </m:rad>
          <m:r>
            <w:rPr>
              <w:rFonts w:ascii="Cambria Math" w:hAnsi="Cambria Math"/>
              <w:sz w:val="22"/>
            </w:rPr>
            <m:t xml:space="preserve">)</m:t>
          </m:r>
        </m:oMath>
      </m:oMathPara>
    </w:p>
    <w:p>
      <w:r>
        <w:t>Let a = 15 m/s² be the mission acceleration scale, q = ax/c², s = at/c, β = v/c and g = F/(Ma). In these coordinates the dimensionless action and exact acceleration are</w:t>
      </w:r>
    </w:p>
    <w:p>
      <w:pPr>
        <w:spacing w:before="60" w:after="180"/>
        <w:jc w:val="center"/>
      </w:pPr>
      <m:oMathPara>
        <m:oMath>
          <m:r>
            <w:rPr>
              <w:rFonts w:ascii="Cambria Math" w:hAnsi="Cambria Math"/>
              <w:sz w:val="22"/>
            </w:rPr>
            <m:t xml:space="preserve">ℓ(q, β) = 1 − </m:t>
          </m:r>
          <m:rad>
            <m:radPr>
              <m:degHide m:val="1"/>
            </m:radPr>
            <m:deg/>
            <m:e>
              <m:r>
                <w:rPr>
                  <w:rFonts w:ascii="Cambria Math" w:hAnsi="Cambria Math"/>
                  <w:sz w:val="22"/>
                </w:rPr>
                <m:t xml:space="preserve">1 − </m:t>
              </m:r>
              <m:sSup>
                <m:e>
                  <m:r>
                    <w:rPr>
                      <w:rFonts w:ascii="Cambria Math" w:hAnsi="Cambria Math"/>
                      <w:sz w:val="22"/>
                    </w:rPr>
                    <m:t xml:space="preserve">β</m:t>
                  </m:r>
                </m:e>
                <m:sup>
                  <m:r>
                    <w:rPr>
                      <w:rFonts w:ascii="Cambria Math" w:hAnsi="Cambria Math"/>
                      <w:sz w:val="22"/>
                    </w:rPr>
                    <m:t xml:space="preserve">2</m:t>
                  </m:r>
                </m:sup>
              </m:sSup>
            </m:e>
          </m:rad>
          <m:r>
            <w:rPr>
              <w:rFonts w:ascii="Cambria Math" w:hAnsi="Cambria Math"/>
              <w:sz w:val="22"/>
            </w:rPr>
            <m:t xml:space="preserve"> ; </m:t>
          </m:r>
          <m:f>
            <m:num>
              <m:r>
                <m:rPr>
                  <m:nor m:val="1"/>
                </m:rPr>
                <w:rPr>
                  <w:rFonts w:ascii="Cambria Math" w:hAnsi="Cambria Math"/>
                  <w:sz w:val="22"/>
                </w:rPr>
                <m:t xml:space="preserve">dβ</m:t>
              </m:r>
            </m:num>
            <m:den>
              <m:r>
                <m:rPr>
                  <m:nor m:val="1"/>
                </m:rPr>
                <w:rPr>
                  <w:rFonts w:ascii="Cambria Math" w:hAnsi="Cambria Math"/>
                  <w:sz w:val="22"/>
                </w:rPr>
                <m:t xml:space="preserve">ds</m:t>
              </m:r>
            </m:den>
          </m:f>
          <m:r>
            <w:rPr>
              <w:rFonts w:ascii="Cambria Math" w:hAnsi="Cambria Math"/>
              <w:sz w:val="22"/>
            </w:rPr>
            <m:t xml:space="preserve"> = g</m:t>
          </m:r>
          <m:sSup>
            <m:e>
              <m:r>
                <w:rPr>
                  <w:rFonts w:ascii="Cambria Math" w:hAnsi="Cambria Math"/>
                  <w:sz w:val="22"/>
                </w:rPr>
                <m:t xml:space="preserve">(1 − </m:t>
              </m:r>
              <m:sSup>
                <m:e>
                  <m:r>
                    <w:rPr>
                      <w:rFonts w:ascii="Cambria Math" w:hAnsi="Cambria Math"/>
                      <w:sz w:val="22"/>
                    </w:rPr>
                    <m:t xml:space="preserve">β</m:t>
                  </m:r>
                </m:e>
                <m:sup>
                  <m:r>
                    <w:rPr>
                      <w:rFonts w:ascii="Cambria Math" w:hAnsi="Cambria Math"/>
                      <w:sz w:val="22"/>
                    </w:rPr>
                    <m:t xml:space="preserve">2</m:t>
                  </m:r>
                </m:sup>
              </m:sSup>
              <m:r>
                <w:rPr>
                  <w:rFonts w:ascii="Cambria Math" w:hAnsi="Cambria Math"/>
                  <w:sz w:val="22"/>
                </w:rPr>
                <m:t xml:space="preserve">)</m:t>
              </m:r>
            </m:e>
            <m:sup>
              <m:f>
                <m:num>
                  <m:r>
                    <w:rPr>
                      <w:rFonts w:ascii="Cambria Math" w:hAnsi="Cambria Math"/>
                      <w:sz w:val="22"/>
                    </w:rPr>
                    <m:t xml:space="preserve">3</m:t>
                  </m:r>
                </m:num>
                <m:den>
                  <m:r>
                    <w:rPr>
                      <w:rFonts w:ascii="Cambria Math" w:hAnsi="Cambria Math"/>
                      <w:sz w:val="22"/>
                    </w:rPr>
                    <m:t xml:space="preserve">2</m:t>
                  </m:r>
                </m:den>
              </m:f>
            </m:sup>
          </m:sSup>
        </m:oMath>
      </m:oMathPara>
    </w:p>
    <w:p>
      <w:r>
        <w:t>The sampled force is independent of the neural action input. The network sees q and β; its Hessian and mixed derivatives determine the response to each supplied force. This keeps the known drive outside the learned conservative law.</w:t>
      </w:r>
    </w:p>
    <w:p>
      <w:pPr>
        <w:pStyle w:val="Heading2"/>
      </w:pPr>
      <w:r>
        <w:t>Independent constant force reference</w:t>
      </w:r>
    </w:p>
    <w:p>
      <w:r>
        <w:t>For initial velocity β₀, define dimensionless momentum p₀ = β₀/√(1 − β₀²). At constant g the exact solution below provides an independent check on numerical integration. The rationalized position expression is continuous at g = 0 and avoids subtracting nearly equal energies.</w:t>
      </w:r>
    </w:p>
    <w:p>
      <w:pPr>
        <w:spacing w:before="60" w:after="180"/>
        <w:jc w:val="center"/>
      </w:pPr>
      <m:oMathPara>
        <m:oMath>
          <m:sSub>
            <m:e>
              <m:r>
                <w:rPr>
                  <w:rFonts w:ascii="Cambria Math" w:hAnsi="Cambria Math"/>
                  <w:sz w:val="22"/>
                </w:rPr>
                <m:t xml:space="preserve">p</m:t>
              </m:r>
            </m:e>
            <m:sub>
              <m:r>
                <w:rPr>
                  <w:rFonts w:ascii="Cambria Math" w:hAnsi="Cambria Math"/>
                  <w:sz w:val="22"/>
                </w:rPr>
                <m:t xml:space="preserve">s</m:t>
              </m:r>
            </m:sub>
          </m:sSub>
          <m:r>
            <w:rPr>
              <w:rFonts w:ascii="Cambria Math" w:hAnsi="Cambria Math"/>
              <w:sz w:val="22"/>
            </w:rPr>
            <m:t xml:space="preserve"> = </m:t>
          </m:r>
          <m:sSub>
            <m:e>
              <m:r>
                <w:rPr>
                  <w:rFonts w:ascii="Cambria Math" w:hAnsi="Cambria Math"/>
                  <w:sz w:val="22"/>
                </w:rPr>
                <m:t xml:space="preserve">p</m:t>
              </m:r>
            </m:e>
            <m:sub>
              <m:r>
                <w:rPr>
                  <w:rFonts w:ascii="Cambria Math" w:hAnsi="Cambria Math"/>
                  <w:sz w:val="22"/>
                </w:rPr>
                <m:t xml:space="preserve">0</m:t>
              </m:r>
            </m:sub>
          </m:sSub>
          <m:r>
            <w:rPr>
              <w:rFonts w:ascii="Cambria Math" w:hAnsi="Cambria Math"/>
              <w:sz w:val="22"/>
            </w:rPr>
            <m:t xml:space="preserve"> + gs ; β(s) = </m:t>
          </m:r>
          <m:f>
            <m:num>
              <m:sSub>
                <m:e>
                  <m:r>
                    <w:rPr>
                      <w:rFonts w:ascii="Cambria Math" w:hAnsi="Cambria Math"/>
                      <w:sz w:val="22"/>
                    </w:rPr>
                    <m:t xml:space="preserve">p</m:t>
                  </m:r>
                </m:e>
                <m:sub>
                  <m:r>
                    <w:rPr>
                      <w:rFonts w:ascii="Cambria Math" w:hAnsi="Cambria Math"/>
                      <w:sz w:val="22"/>
                    </w:rPr>
                    <m:t xml:space="preserve">s</m:t>
                  </m:r>
                </m:sub>
              </m:sSub>
            </m:num>
            <m:den>
              <m:rad>
                <m:radPr>
                  <m:degHide m:val="1"/>
                </m:radPr>
                <m:deg/>
                <m:e>
                  <m:r>
                    <w:rPr>
                      <w:rFonts w:ascii="Cambria Math" w:hAnsi="Cambria Math"/>
                      <w:sz w:val="22"/>
                    </w:rPr>
                    <m:t xml:space="preserve">1 + </m:t>
                  </m:r>
                  <m:sSup>
                    <m:e>
                      <m:sSub>
                        <m:e>
                          <m:r>
                            <w:rPr>
                              <w:rFonts w:ascii="Cambria Math" w:hAnsi="Cambria Math"/>
                              <w:sz w:val="22"/>
                            </w:rPr>
                            <m:t xml:space="preserve">p</m:t>
                          </m:r>
                        </m:e>
                        <m:sub>
                          <m:r>
                            <w:rPr>
                              <w:rFonts w:ascii="Cambria Math" w:hAnsi="Cambria Math"/>
                              <w:sz w:val="22"/>
                            </w:rPr>
                            <m:t xml:space="preserve">s</m:t>
                          </m:r>
                        </m:sub>
                      </m:sSub>
                    </m:e>
                    <m:sup>
                      <m:r>
                        <w:rPr>
                          <w:rFonts w:ascii="Cambria Math" w:hAnsi="Cambria Math"/>
                          <w:sz w:val="22"/>
                        </w:rPr>
                        <m:t xml:space="preserve">2</m:t>
                      </m:r>
                    </m:sup>
                  </m:sSup>
                </m:e>
              </m:rad>
            </m:den>
          </m:f>
        </m:oMath>
      </m:oMathPara>
    </w:p>
    <w:p>
      <w:pPr>
        <w:spacing w:before="60" w:after="180"/>
        <w:jc w:val="center"/>
      </w:pPr>
      <m:oMathPara>
        <m:oMath>
          <m:r>
            <w:rPr>
              <w:rFonts w:ascii="Cambria Math" w:hAnsi="Cambria Math"/>
              <w:sz w:val="22"/>
            </w:rPr>
            <m:t xml:space="preserve">q(s) = </m:t>
          </m:r>
          <m:sSub>
            <m:e>
              <m:r>
                <w:rPr>
                  <w:rFonts w:ascii="Cambria Math" w:hAnsi="Cambria Math"/>
                  <w:sz w:val="22"/>
                </w:rPr>
                <m:t xml:space="preserve">q</m:t>
              </m:r>
            </m:e>
            <m:sub>
              <m:r>
                <w:rPr>
                  <w:rFonts w:ascii="Cambria Math" w:hAnsi="Cambria Math"/>
                  <w:sz w:val="22"/>
                </w:rPr>
                <m:t xml:space="preserve">0</m:t>
              </m:r>
            </m:sub>
          </m:sSub>
          <m:r>
            <w:rPr>
              <w:rFonts w:ascii="Cambria Math" w:hAnsi="Cambria Math"/>
              <w:sz w:val="22"/>
            </w:rPr>
            <m:t xml:space="preserve"> + </m:t>
          </m:r>
          <m:f>
            <m:num>
              <m:r>
                <w:rPr>
                  <w:rFonts w:ascii="Cambria Math" w:hAnsi="Cambria Math"/>
                  <w:sz w:val="22"/>
                </w:rPr>
                <m:t xml:space="preserve">s(</m:t>
              </m:r>
              <m:sSub>
                <m:e>
                  <m:r>
                    <w:rPr>
                      <w:rFonts w:ascii="Cambria Math" w:hAnsi="Cambria Math"/>
                      <w:sz w:val="22"/>
                    </w:rPr>
                    <m:t xml:space="preserve">p</m:t>
                  </m:r>
                </m:e>
                <m:sub>
                  <m:r>
                    <w:rPr>
                      <w:rFonts w:ascii="Cambria Math" w:hAnsi="Cambria Math"/>
                      <w:sz w:val="22"/>
                    </w:rPr>
                    <m:t xml:space="preserve">s</m:t>
                  </m:r>
                </m:sub>
              </m:sSub>
              <m:r>
                <w:rPr>
                  <w:rFonts w:ascii="Cambria Math" w:hAnsi="Cambria Math"/>
                  <w:sz w:val="22"/>
                </w:rPr>
                <m:t xml:space="preserve"> + </m:t>
              </m:r>
              <m:sSub>
                <m:e>
                  <m:r>
                    <w:rPr>
                      <w:rFonts w:ascii="Cambria Math" w:hAnsi="Cambria Math"/>
                      <w:sz w:val="22"/>
                    </w:rPr>
                    <m:t xml:space="preserve">p</m:t>
                  </m:r>
                </m:e>
                <m:sub>
                  <m:r>
                    <w:rPr>
                      <w:rFonts w:ascii="Cambria Math" w:hAnsi="Cambria Math"/>
                      <w:sz w:val="22"/>
                    </w:rPr>
                    <m:t xml:space="preserve">0</m:t>
                  </m:r>
                </m:sub>
              </m:sSub>
              <m:r>
                <w:rPr>
                  <w:rFonts w:ascii="Cambria Math" w:hAnsi="Cambria Math"/>
                  <w:sz w:val="22"/>
                </w:rPr>
                <m:t xml:space="preserve">)</m:t>
              </m:r>
            </m:num>
            <m:den>
              <m:rad>
                <m:radPr>
                  <m:degHide m:val="1"/>
                </m:radPr>
                <m:deg/>
                <m:e>
                  <m:r>
                    <w:rPr>
                      <w:rFonts w:ascii="Cambria Math" w:hAnsi="Cambria Math"/>
                      <w:sz w:val="22"/>
                    </w:rPr>
                    <m:t xml:space="preserve">1 + </m:t>
                  </m:r>
                  <m:sSup>
                    <m:e>
                      <m:sSub>
                        <m:e>
                          <m:r>
                            <w:rPr>
                              <w:rFonts w:ascii="Cambria Math" w:hAnsi="Cambria Math"/>
                              <w:sz w:val="22"/>
                            </w:rPr>
                            <m:t xml:space="preserve">p</m:t>
                          </m:r>
                        </m:e>
                        <m:sub>
                          <m:r>
                            <w:rPr>
                              <w:rFonts w:ascii="Cambria Math" w:hAnsi="Cambria Math"/>
                              <w:sz w:val="22"/>
                            </w:rPr>
                            <m:t xml:space="preserve">s</m:t>
                          </m:r>
                        </m:sub>
                      </m:sSub>
                    </m:e>
                    <m:sup>
                      <m:r>
                        <w:rPr>
                          <w:rFonts w:ascii="Cambria Math" w:hAnsi="Cambria Math"/>
                          <w:sz w:val="22"/>
                        </w:rPr>
                        <m:t xml:space="preserve">2</m:t>
                      </m:r>
                    </m:sup>
                  </m:sSup>
                </m:e>
              </m:rad>
              <m:r>
                <w:rPr>
                  <w:rFonts w:ascii="Cambria Math" w:hAnsi="Cambria Math"/>
                  <w:sz w:val="22"/>
                </w:rPr>
                <m:t xml:space="preserve"> + </m:t>
              </m:r>
              <m:rad>
                <m:radPr>
                  <m:degHide m:val="1"/>
                </m:radPr>
                <m:deg/>
                <m:e>
                  <m:r>
                    <w:rPr>
                      <w:rFonts w:ascii="Cambria Math" w:hAnsi="Cambria Math"/>
                      <w:sz w:val="22"/>
                    </w:rPr>
                    <m:t xml:space="preserve">1 + </m:t>
                  </m:r>
                  <m:sSup>
                    <m:e>
                      <m:sSub>
                        <m:e>
                          <m:r>
                            <w:rPr>
                              <w:rFonts w:ascii="Cambria Math" w:hAnsi="Cambria Math"/>
                              <w:sz w:val="22"/>
                            </w:rPr>
                            <m:t xml:space="preserve">p</m:t>
                          </m:r>
                        </m:e>
                        <m:sub>
                          <m:r>
                            <w:rPr>
                              <w:rFonts w:ascii="Cambria Math" w:hAnsi="Cambria Math"/>
                              <w:sz w:val="22"/>
                            </w:rPr>
                            <m:t xml:space="preserve">0</m:t>
                          </m:r>
                        </m:sub>
                      </m:sSub>
                    </m:e>
                    <m:sup>
                      <m:r>
                        <w:rPr>
                          <w:rFonts w:ascii="Cambria Math" w:hAnsi="Cambria Math"/>
                          <w:sz w:val="22"/>
                        </w:rPr>
                        <m:t xml:space="preserve">2</m:t>
                      </m:r>
                    </m:sup>
                  </m:sSup>
                </m:e>
              </m:rad>
            </m:den>
          </m:f>
        </m:oMath>
      </m:oMathPara>
    </w:p>
    <w:p>
      <w:pPr>
        <w:pStyle w:val="Heading2"/>
      </w:pPr>
      <w:r>
        <w:t>Separate notebook target</w:t>
      </w:r>
    </w:p>
    <w:p>
      <w:r>
        <w:t>The pinned SpecialRelativity notebook supplies a control with a different acceleration target. Its target is retained for source verification and is not substituted for the spacecraft equation.</w:t>
      </w:r>
    </w:p>
    <w:p>
      <w:pPr>
        <w:spacing w:before="60" w:after="180"/>
        <w:jc w:val="center"/>
      </w:pPr>
      <m:oMathPara>
        <m:oMath>
          <m:sSub>
            <m:e>
              <m:r>
                <w:rPr>
                  <w:rFonts w:ascii="Cambria Math" w:hAnsi="Cambria Math"/>
                  <w:sz w:val="22"/>
                </w:rPr>
                <m:t xml:space="preserve">a</m:t>
              </m:r>
            </m:e>
            <m:sub>
              <m:r>
                <m:rPr>
                  <m:nor m:val="1"/>
                </m:rPr>
                <w:rPr>
                  <w:rFonts w:ascii="Cambria Math" w:hAnsi="Cambria Math"/>
                  <w:sz w:val="22"/>
                </w:rPr>
                <m:t xml:space="preserve">source</m:t>
              </m:r>
            </m:sub>
          </m:sSub>
          <m:r>
            <w:rPr>
              <w:rFonts w:ascii="Cambria Math" w:hAnsi="Cambria Math"/>
              <w:sz w:val="22"/>
            </w:rPr>
            <m:t xml:space="preserve"> = </m:t>
          </m:r>
          <m:f>
            <m:num>
              <m:r>
                <w:rPr>
                  <w:rFonts w:ascii="Cambria Math" w:hAnsi="Cambria Math"/>
                  <w:sz w:val="22"/>
                </w:rPr>
                <m:t xml:space="preserve">g</m:t>
              </m:r>
              <m:sSup>
                <m:e>
                  <m:r>
                    <w:rPr>
                      <w:rFonts w:ascii="Cambria Math" w:hAnsi="Cambria Math"/>
                      <w:sz w:val="22"/>
                    </w:rPr>
                    <m:t xml:space="preserve">(1 − </m:t>
                  </m:r>
                  <m:sSup>
                    <m:e>
                      <m:r>
                        <w:rPr>
                          <w:rFonts w:ascii="Cambria Math" w:hAnsi="Cambria Math"/>
                          <w:sz w:val="22"/>
                        </w:rPr>
                        <m:t xml:space="preserve">β</m:t>
                      </m:r>
                    </m:e>
                    <m:sup>
                      <m:r>
                        <w:rPr>
                          <w:rFonts w:ascii="Cambria Math" w:hAnsi="Cambria Math"/>
                          <w:sz w:val="22"/>
                        </w:rPr>
                        <m:t xml:space="preserve">2</m:t>
                      </m:r>
                    </m:sup>
                  </m:sSup>
                  <m:r>
                    <w:rPr>
                      <w:rFonts w:ascii="Cambria Math" w:hAnsi="Cambria Math"/>
                      <w:sz w:val="22"/>
                    </w:rPr>
                    <m:t xml:space="preserve">)</m:t>
                  </m:r>
                </m:e>
                <m:sup>
                  <m:f>
                    <m:num>
                      <m:r>
                        <w:rPr>
                          <w:rFonts w:ascii="Cambria Math" w:hAnsi="Cambria Math"/>
                          <w:sz w:val="22"/>
                        </w:rPr>
                        <m:t xml:space="preserve">5</m:t>
                      </m:r>
                    </m:num>
                    <m:den>
                      <m:r>
                        <w:rPr>
                          <w:rFonts w:ascii="Cambria Math" w:hAnsi="Cambria Math"/>
                          <w:sz w:val="22"/>
                        </w:rPr>
                        <m:t xml:space="preserve">2</m:t>
                      </m:r>
                    </m:den>
                  </m:f>
                </m:sup>
              </m:sSup>
            </m:num>
            <m:den>
              <m:r>
                <w:rPr>
                  <w:rFonts w:ascii="Cambria Math" w:hAnsi="Cambria Math"/>
                  <w:sz w:val="22"/>
                </w:rPr>
                <m:t xml:space="preserve">1 + 2</m:t>
              </m:r>
              <m:sSup>
                <m:e>
                  <m:r>
                    <w:rPr>
                      <w:rFonts w:ascii="Cambria Math" w:hAnsi="Cambria Math"/>
                      <w:sz w:val="22"/>
                    </w:rPr>
                    <m:t xml:space="preserve">β</m:t>
                  </m:r>
                </m:e>
                <m:sup>
                  <m:r>
                    <w:rPr>
                      <w:rFonts w:ascii="Cambria Math" w:hAnsi="Cambria Math"/>
                      <w:sz w:val="22"/>
                    </w:rPr>
                    <m:t xml:space="preserve">2</m:t>
                  </m:r>
                </m:sup>
              </m:sSup>
            </m:den>
          </m:f>
        </m:oMath>
      </m:oMathPara>
    </w:p>
    <w:p>
      <w:r>
        <w:t>The control preserves the source float32 precision, repeated epoch velocity key, fractional Adam index and wrapper scaling of q and g. The spacecraft experiments use float64, independent random streams and integer optimizer steps. The control is a modern JAX port of the archived training cells, not a complete historical notebook execution.</w:t>
      </w:r>
    </w:p>
    <w:p>
      <w:r>
        <w:br w:type="page"/>
      </w:r>
    </w:p>
    <w:p>
      <w:pPr>
        <w:pStyle w:val="Heading1"/>
      </w:pPr>
      <w:r>
        <w:t>A single coupled action and its geometry</w:t>
      </w:r>
    </w:p>
    <w:p>
      <w:r>
        <w:t>The coupled state has nine generalized coordinates: three center-of-mass position components r, three local ZYX attitude angles a, habitat and counterweight extensions eₕ and e꜀, and relative rotor angle θ. One scalar network learns L(q, q̇). No independent potential networks are substituted for its internal coordinates.</w:t>
      </w:r>
    </w:p>
    <w:p>
      <w:pPr>
        <w:spacing w:before="60" w:after="180"/>
        <w:jc w:val="center"/>
      </w:pPr>
      <m:oMathPara>
        <m:oMath>
          <m:r>
            <w:rPr>
              <w:rFonts w:ascii="Cambria Math" w:hAnsi="Cambria Math"/>
              <w:sz w:val="22"/>
            </w:rPr>
            <m:t xml:space="preserve">q = (r, φ, ϑ, ψ, </m:t>
          </m:r>
          <m:sSub>
            <m:e>
              <m:r>
                <w:rPr>
                  <w:rFonts w:ascii="Cambria Math" w:hAnsi="Cambria Math"/>
                  <w:sz w:val="22"/>
                </w:rPr>
                <m:t xml:space="preserve">e</m:t>
              </m:r>
            </m:e>
            <m:sub>
              <m:r>
                <w:rPr>
                  <w:rFonts w:ascii="Cambria Math" w:hAnsi="Cambria Math"/>
                  <w:sz w:val="22"/>
                </w:rPr>
                <m:t xml:space="preserve">h</m:t>
              </m:r>
            </m:sub>
          </m:sSub>
          <m:r>
            <w:rPr>
              <w:rFonts w:ascii="Cambria Math" w:hAnsi="Cambria Math"/>
              <w:sz w:val="22"/>
            </w:rPr>
            <m:t xml:space="preserve">, </m:t>
          </m:r>
          <m:sSub>
            <m:e>
              <m:r>
                <w:rPr>
                  <w:rFonts w:ascii="Cambria Math" w:hAnsi="Cambria Math"/>
                  <w:sz w:val="22"/>
                </w:rPr>
                <m:t xml:space="preserve">e</m:t>
              </m:r>
            </m:e>
            <m:sub>
              <m:r>
                <w:rPr>
                  <w:rFonts w:ascii="Cambria Math" w:hAnsi="Cambria Math"/>
                  <w:sz w:val="22"/>
                </w:rPr>
                <m:t xml:space="preserve">c</m:t>
              </m:r>
            </m:sub>
          </m:sSub>
          <m:r>
            <w:rPr>
              <w:rFonts w:ascii="Cambria Math" w:hAnsi="Cambria Math"/>
              <w:sz w:val="22"/>
            </w:rPr>
            <m:t xml:space="preserve">, θ) ; R = </m:t>
          </m:r>
          <m:sSub>
            <m:e>
              <m:r>
                <w:rPr>
                  <w:rFonts w:ascii="Cambria Math" w:hAnsi="Cambria Math"/>
                  <w:sz w:val="22"/>
                </w:rPr>
                <m:t xml:space="preserve">R</m:t>
              </m:r>
            </m:e>
            <m:sub>
              <m:r>
                <w:rPr>
                  <w:rFonts w:ascii="Cambria Math" w:hAnsi="Cambria Math"/>
                  <w:sz w:val="22"/>
                </w:rPr>
                <m:t xml:space="preserve">z</m:t>
              </m:r>
            </m:sub>
          </m:sSub>
          <m:r>
            <w:rPr>
              <w:rFonts w:ascii="Cambria Math" w:hAnsi="Cambria Math"/>
              <w:sz w:val="22"/>
            </w:rPr>
            <m:t xml:space="preserve">(ψ)</m:t>
          </m:r>
          <m:sSub>
            <m:e>
              <m:r>
                <w:rPr>
                  <w:rFonts w:ascii="Cambria Math" w:hAnsi="Cambria Math"/>
                  <w:sz w:val="22"/>
                </w:rPr>
                <m:t xml:space="preserve">R</m:t>
              </m:r>
            </m:e>
            <m:sub>
              <m:r>
                <w:rPr>
                  <w:rFonts w:ascii="Cambria Math" w:hAnsi="Cambria Math"/>
                  <w:sz w:val="22"/>
                </w:rPr>
                <m:t xml:space="preserve">y</m:t>
              </m:r>
            </m:sub>
          </m:sSub>
          <m:r>
            <w:rPr>
              <w:rFonts w:ascii="Cambria Math" w:hAnsi="Cambria Math"/>
              <w:sz w:val="22"/>
            </w:rPr>
            <m:t xml:space="preserve">(ϑ)</m:t>
          </m:r>
          <m:sSub>
            <m:e>
              <m:r>
                <w:rPr>
                  <w:rFonts w:ascii="Cambria Math" w:hAnsi="Cambria Math"/>
                  <w:sz w:val="22"/>
                </w:rPr>
                <m:t xml:space="preserve">R</m:t>
              </m:r>
            </m:e>
            <m:sub>
              <m:r>
                <w:rPr>
                  <w:rFonts w:ascii="Cambria Math" w:hAnsi="Cambria Math"/>
                  <w:sz w:val="22"/>
                </w:rPr>
                <m:t xml:space="preserve">x</m:t>
              </m:r>
            </m:sub>
          </m:sSub>
          <m:r>
            <w:rPr>
              <w:rFonts w:ascii="Cambria Math" w:hAnsi="Cambria Math"/>
              <w:sz w:val="22"/>
            </w:rPr>
            <m:t xml:space="preserve">(φ)</m:t>
          </m:r>
        </m:oMath>
      </m:oMathPara>
    </w:p>
    <w:p>
      <w:r>
        <w:t>Attitude coordinate rates are converted to body angular velocity through the ZYX rate map. They are not treated directly as angular-velocity components. The bounded attitude chart avoids its pitch singularity; it does not support a claim about unrestricted rotations.</w:t>
      </w:r>
    </w:p>
    <w:p>
      <w:pPr>
        <w:pStyle w:val="Heading2"/>
      </w:pPr>
      <w:r>
        <w:t>Finite hub and center of mass</w:t>
      </w:r>
    </w:p>
    <w:p>
      <w:r>
        <w:t>The rotor plane is transverse to the hub axis. Raw body-frame locations are a stationary hub location and two opposing arms with extended radii. Each location is then shifted by the mass-weighted center. The hub consequently recoils when the arms move asymmetrically.</w:t>
      </w:r>
    </w:p>
    <w:p>
      <w:pPr>
        <w:spacing w:before="60" w:after="180"/>
        <w:jc w:val="center"/>
      </w:pPr>
      <m:oMathPara>
        <m:oMath>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 = </m:t>
          </m:r>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 − </m:t>
          </m:r>
          <m:f>
            <m:num>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j</m:t>
                  </m:r>
                </m:sub>
              </m:sSub>
              <m:sSub>
                <m:e>
                  <m:r>
                    <w:rPr>
                      <w:rFonts w:ascii="Cambria Math" w:hAnsi="Cambria Math"/>
                      <w:sz w:val="22"/>
                    </w:rPr>
                    <m:t xml:space="preserve">ρ̃</m:t>
                  </m:r>
                </m:e>
                <m:sub>
                  <m:r>
                    <w:rPr>
                      <w:rFonts w:ascii="Cambria Math" w:hAnsi="Cambria Math"/>
                      <w:sz w:val="22"/>
                    </w:rPr>
                    <m:t xml:space="preserve">j</m:t>
                  </m:r>
                </m:sub>
              </m:sSub>
            </m:num>
            <m:den>
              <m:r>
                <w:rPr>
                  <w:rFonts w:ascii="Cambria Math" w:hAnsi="Cambria Math"/>
                  <w:sz w:val="22"/>
                </w:rPr>
                <m:t xml:space="preserve">M</m:t>
              </m:r>
            </m:den>
          </m:f>
          <m:r>
            <w:rPr>
              <w:rFonts w:ascii="Cambria Math" w:hAnsi="Cambria Math"/>
              <w:sz w:val="22"/>
            </w:rPr>
            <m:t xml:space="preserve"> ; ∑ </m:t>
          </m:r>
          <m:sSub>
            <m:e>
              <m:r>
                <w:rPr>
                  <w:rFonts w:ascii="Cambria Math" w:hAnsi="Cambria Math"/>
                  <w:sz w:val="22"/>
                </w:rPr>
                <m:t xml:space="preserve">m</m:t>
              </m:r>
            </m:e>
            <m:sub>
              <m:r>
                <w:rPr>
                  <w:rFonts w:ascii="Cambria Math" w:hAnsi="Cambria Math"/>
                  <w:sz w:val="22"/>
                </w:rPr>
                <m:t xml:space="preserve">i</m:t>
              </m:r>
            </m:sub>
          </m:sSub>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 = 0</m:t>
          </m:r>
        </m:oMath>
      </m:oMathPara>
    </w:p>
    <w:p>
      <w:pPr>
        <w:spacing w:before="60" w:after="180"/>
        <w:jc w:val="center"/>
      </w:pPr>
      <m:oMathPara>
        <m:oMath>
          <m:sSub>
            <m:e>
              <m:r>
                <w:rPr>
                  <w:rFonts w:ascii="Cambria Math" w:hAnsi="Cambria Math"/>
                  <w:sz w:val="22"/>
                </w:rPr>
                <m:t xml:space="preserve">T</m:t>
              </m:r>
            </m:e>
            <m:sub>
              <m:r>
                <m:rPr>
                  <m:nor m:val="1"/>
                </m:rPr>
                <w:rPr>
                  <w:rFonts w:ascii="Cambria Math" w:hAnsi="Cambria Math"/>
                  <w:sz w:val="22"/>
                </w:rPr>
                <m:t xml:space="preserve">int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p>
            <m:e>
              <m:r>
                <w:rPr>
                  <w:rFonts w:ascii="Cambria Math" w:hAnsi="Cambria Math"/>
                  <w:sz w:val="22"/>
                </w:rPr>
                <m:t xml:space="preserve">ω</m:t>
              </m:r>
            </m:e>
            <m:sup>
              <m:r>
                <w:rPr>
                  <w:rFonts w:ascii="Cambria Math" w:hAnsi="Cambria Math"/>
                  <w:sz w:val="22"/>
                </w:rPr>
                <m:t xml:space="preserve">T</m:t>
              </m:r>
            </m:sup>
          </m:sSup>
          <m:sSub>
            <m:e>
              <m:r>
                <w:rPr>
                  <w:rFonts w:ascii="Cambria Math" w:hAnsi="Cambria Math"/>
                  <w:sz w:val="22"/>
                </w:rPr>
                <m:t xml:space="preserve">I</m:t>
              </m:r>
            </m:e>
            <m:sub>
              <m:r>
                <m:rPr>
                  <m:nor m:val="1"/>
                </m:rPr>
                <w:rPr>
                  <w:rFonts w:ascii="Cambria Math" w:hAnsi="Cambria Math"/>
                  <w:sz w:val="22"/>
                </w:rPr>
                <m:t xml:space="preserve">hub</m:t>
              </m:r>
            </m:sub>
          </m:sSub>
          <m:r>
            <w:rPr>
              <w:rFonts w:ascii="Cambria Math" w:hAnsi="Cambria Math"/>
              <w:sz w:val="22"/>
            </w:rPr>
            <m:t xml:space="preserve">ω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i</m:t>
              </m:r>
            </m:sub>
          </m:sSub>
          <m:sSup>
            <m:e>
              <m:r>
                <w:rPr>
                  <w:rFonts w:ascii="Cambria Math" w:hAnsi="Cambria Math"/>
                  <w:sz w:val="22"/>
                </w:rPr>
                <m:t xml:space="preserve">|ω × </m:t>
              </m:r>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 + </m:t>
              </m:r>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m:t>
              </m:r>
            </m:e>
            <m:sup>
              <m:r>
                <w:rPr>
                  <w:rFonts w:ascii="Cambria Math" w:hAnsi="Cambria Math"/>
                  <w:sz w:val="22"/>
                </w:rPr>
                <m:t xml:space="preserve">2</m:t>
              </m:r>
            </m:sup>
          </m:sSup>
        </m:oMath>
      </m:oMathPara>
    </w:p>
    <w:p>
      <w:r>
        <w:t>The velocity sum retains hub–rotor and angular–radial cross terms. The hub cylinder inertia is added once; habitat and counterweight inertia are supplied by their point-mass locations. This avoids double counting rotor mass in the hub tensor.</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spring</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m:t>
          </m:r>
          <m:sSub>
            <m:e>
              <m:r>
                <w:rPr>
                  <w:rFonts w:ascii="Cambria Math" w:hAnsi="Cambria Math"/>
                  <w:sz w:val="22"/>
                </w:rPr>
                <m:t xml:space="preserve">k</m:t>
              </m:r>
            </m:e>
            <m:sub>
              <m:r>
                <w:rPr>
                  <w:rFonts w:ascii="Cambria Math" w:hAnsi="Cambria Math"/>
                  <w:sz w:val="22"/>
                </w:rPr>
                <m:t xml:space="preserve">h</m:t>
              </m:r>
            </m:sub>
          </m:sSub>
          <m:sSup>
            <m:e>
              <m:sSub>
                <m:e>
                  <m:r>
                    <w:rPr>
                      <w:rFonts w:ascii="Cambria Math" w:hAnsi="Cambria Math"/>
                      <w:sz w:val="22"/>
                    </w:rPr>
                    <m:t xml:space="preserve">e</m:t>
                  </m:r>
                </m:e>
                <m:sub>
                  <m:r>
                    <w:rPr>
                      <w:rFonts w:ascii="Cambria Math" w:hAnsi="Cambria Math"/>
                      <w:sz w:val="22"/>
                    </w:rPr>
                    <m:t xml:space="preserve">h</m:t>
                  </m:r>
                </m:sub>
              </m:sSub>
            </m:e>
            <m:sup>
              <m:r>
                <w:rPr>
                  <w:rFonts w:ascii="Cambria Math" w:hAnsi="Cambria Math"/>
                  <w:sz w:val="22"/>
                </w:rPr>
                <m:t xml:space="preserve">2</m:t>
              </m:r>
            </m:sup>
          </m:sSup>
          <m:r>
            <w:rPr>
              <w:rFonts w:ascii="Cambria Math" w:hAnsi="Cambria Math"/>
              <w:sz w:val="22"/>
            </w:rPr>
            <m:t xml:space="preserve"> + </m:t>
          </m:r>
          <m:sSub>
            <m:e>
              <m:r>
                <w:rPr>
                  <w:rFonts w:ascii="Cambria Math" w:hAnsi="Cambria Math"/>
                  <w:sz w:val="22"/>
                </w:rPr>
                <m:t xml:space="preserve">k</m:t>
              </m:r>
            </m:e>
            <m:sub>
              <m:r>
                <w:rPr>
                  <w:rFonts w:ascii="Cambria Math" w:hAnsi="Cambria Math"/>
                  <w:sz w:val="22"/>
                </w:rPr>
                <m:t xml:space="preserve">c</m:t>
              </m:r>
            </m:sub>
          </m:sSub>
          <m:sSup>
            <m:e>
              <m:sSub>
                <m:e>
                  <m:r>
                    <w:rPr>
                      <w:rFonts w:ascii="Cambria Math" w:hAnsi="Cambria Math"/>
                      <w:sz w:val="22"/>
                    </w:rPr>
                    <m:t xml:space="preserve">e</m:t>
                  </m:r>
                </m:e>
                <m:sub>
                  <m:r>
                    <w:rPr>
                      <w:rFonts w:ascii="Cambria Math" w:hAnsi="Cambria Math"/>
                      <w:sz w:val="22"/>
                    </w:rPr>
                    <m:t xml:space="preserve">c</m:t>
                  </m:r>
                </m:sub>
              </m:sSub>
            </m:e>
            <m:sup>
              <m:r>
                <w:rPr>
                  <w:rFonts w:ascii="Cambria Math" w:hAnsi="Cambria Math"/>
                  <w:sz w:val="22"/>
                </w:rPr>
                <m:t xml:space="preserve">2</m:t>
              </m:r>
            </m:sup>
          </m:sSup>
          <m:r>
            <w:rPr>
              <w:rFonts w:ascii="Cambria Math" w:hAnsi="Cambria Math"/>
              <w:sz w:val="22"/>
            </w:rPr>
            <m:t xml:space="preserve">)</m:t>
          </m:r>
        </m:oMath>
      </m:oMathPara>
    </w:p>
    <w:p>
      <w:pPr>
        <w:pStyle w:val="Heading2"/>
      </w:pPr>
      <w:r>
        <w:t>Action and forced equations</w:t>
      </w:r>
    </w:p>
    <w:p>
      <w:pPr>
        <w:spacing w:before="60" w:after="180"/>
        <w:jc w:val="center"/>
      </w:pPr>
      <m:oMathPara>
        <m:oMath>
          <m:sSub>
            <m:e>
              <m:r>
                <w:rPr>
                  <w:rFonts w:ascii="Cambria Math" w:hAnsi="Cambria Math"/>
                  <w:sz w:val="22"/>
                </w:rPr>
                <m:t xml:space="preserve">L</m:t>
              </m:r>
            </m:e>
            <m:sub>
              <m:r>
                <m:rPr>
                  <m:nor m:val="1"/>
                </m:rPr>
                <w:rPr>
                  <w:rFonts w:ascii="Cambria Math" w:hAnsi="Cambria Math"/>
                  <w:sz w:val="22"/>
                </w:rPr>
                <m:t xml:space="preserve">eff</m:t>
              </m:r>
            </m:sub>
          </m:sSub>
          <m:r>
            <w:rPr>
              <w:rFonts w:ascii="Cambria Math" w:hAnsi="Cambria Math"/>
              <w:sz w:val="22"/>
            </w:rPr>
            <m:t xml:space="preserve"> = </m:t>
          </m:r>
          <m:sSub>
            <m:e>
              <m:r>
                <w:rPr>
                  <w:rFonts w:ascii="Cambria Math" w:hAnsi="Cambria Math"/>
                  <w:sz w:val="22"/>
                </w:rPr>
                <m:t xml:space="preserve">L</m:t>
              </m:r>
            </m:e>
            <m:sub>
              <m:r>
                <m:rPr>
                  <m:nor m:val="1"/>
                </m:rPr>
                <w:rPr>
                  <w:rFonts w:ascii="Cambria Math" w:hAnsi="Cambria Math"/>
                  <w:sz w:val="22"/>
                </w:rPr>
                <m:t xml:space="preserve">rel</m:t>
              </m:r>
            </m:sub>
          </m:sSub>
          <m:r>
            <w:rPr>
              <w:rFonts w:ascii="Cambria Math" w:hAnsi="Cambria Math"/>
              <w:sz w:val="22"/>
            </w:rPr>
            <m:t xml:space="preserve"> + </m:t>
          </m:r>
          <m:sSub>
            <m:e>
              <m:r>
                <w:rPr>
                  <w:rFonts w:ascii="Cambria Math" w:hAnsi="Cambria Math"/>
                  <w:sz w:val="22"/>
                </w:rPr>
                <m:t xml:space="preserve">T</m:t>
              </m:r>
            </m:e>
            <m:sub>
              <m:r>
                <m:rPr>
                  <m:nor m:val="1"/>
                </m:rPr>
                <w:rPr>
                  <w:rFonts w:ascii="Cambria Math" w:hAnsi="Cambria Math"/>
                  <w:sz w:val="22"/>
                </w:rPr>
                <m:t xml:space="preserve">int</m:t>
              </m:r>
            </m:sub>
          </m:sSub>
          <m:r>
            <w:rPr>
              <w:rFonts w:ascii="Cambria Math" w:hAnsi="Cambria Math"/>
              <w:sz w:val="22"/>
            </w:rPr>
            <m:t xml:space="preserve"> − </m:t>
          </m:r>
          <m:sSub>
            <m:e>
              <m:r>
                <w:rPr>
                  <w:rFonts w:ascii="Cambria Math" w:hAnsi="Cambria Math"/>
                  <w:sz w:val="22"/>
                </w:rPr>
                <m:t xml:space="preserve">U</m:t>
              </m:r>
            </m:e>
            <m:sub>
              <m:r>
                <m:rPr>
                  <m:nor m:val="1"/>
                </m:rPr>
                <w:rPr>
                  <w:rFonts w:ascii="Cambria Math" w:hAnsi="Cambria Math"/>
                  <w:sz w:val="22"/>
                </w:rPr>
                <m:t xml:space="preserve">spring</m:t>
              </m:r>
            </m:sub>
          </m:sSub>
          <m:r>
            <w:rPr>
              <w:rFonts w:ascii="Cambria Math" w:hAnsi="Cambria Math"/>
              <w:sz w:val="22"/>
            </w:rPr>
            <m:t xml:space="preserve"> + </m:t>
          </m:r>
          <m:sSub>
            <m:e>
              <m:r>
                <w:rPr>
                  <w:rFonts w:ascii="Cambria Math" w:hAnsi="Cambria Math"/>
                  <w:sz w:val="22"/>
                </w:rPr>
                <m:t xml:space="preserve">L</m:t>
              </m:r>
            </m:e>
            <m:sub>
              <m:r>
                <m:rPr>
                  <m:nor m:val="1"/>
                </m:rPr>
                <w:rPr>
                  <w:rFonts w:ascii="Cambria Math" w:hAnsi="Cambria Math"/>
                  <w:sz w:val="22"/>
                </w:rPr>
                <m:t xml:space="preserve">fields</m:t>
              </m:r>
            </m:sub>
          </m:sSub>
          <m:r>
            <w:rPr>
              <w:rFonts w:ascii="Cambria Math" w:hAnsi="Cambria Math"/>
              <w:sz w:val="22"/>
            </w:rPr>
            <m:t xml:space="preserve"> − </m:t>
          </m:r>
          <m:sSub>
            <m:e>
              <m:r>
                <w:rPr>
                  <w:rFonts w:ascii="Cambria Math" w:hAnsi="Cambria Math"/>
                  <w:sz w:val="22"/>
                </w:rPr>
                <m:t xml:space="preserve">U</m:t>
              </m:r>
            </m:e>
            <m:sub>
              <m:r>
                <m:rPr>
                  <m:nor m:val="1"/>
                </m:rPr>
                <w:rPr>
                  <w:rFonts w:ascii="Cambria Math" w:hAnsi="Cambria Math"/>
                  <w:sz w:val="22"/>
                </w:rPr>
                <m:t xml:space="preserve">gg</m:t>
              </m:r>
            </m:sub>
          </m:sSub>
        </m:oMath>
      </m:oMathPara>
    </w:p>
    <w:p>
      <w:pPr>
        <w:spacing w:before="60" w:after="180"/>
        <w:jc w:val="center"/>
      </w:pPr>
      <m:oMathPara>
        <m:oMath>
          <m:r>
            <w:rPr>
              <w:rFonts w:ascii="Cambria Math" w:hAnsi="Cambria Math"/>
              <w:sz w:val="22"/>
            </w:rPr>
            <m:t xml:space="preserve">H = </m:t>
          </m:r>
          <m:sSub>
            <m:e>
              <m:r>
                <w:rPr>
                  <w:rFonts w:ascii="Cambria Math" w:hAnsi="Cambria Math"/>
                  <w:sz w:val="22"/>
                </w:rPr>
                <m:t xml:space="preserve">L</m:t>
              </m:r>
            </m:e>
            <m:sub>
              <m:r>
                <w:rPr>
                  <w:rFonts w:ascii="Cambria Math" w:hAnsi="Cambria Math"/>
                  <w:sz w:val="22"/>
                </w:rPr>
                <m:t xml:space="preserve">q̇q̇</m:t>
              </m:r>
            </m:sub>
          </m:sSub>
          <m:r>
            <w:rPr>
              <w:rFonts w:ascii="Cambria Math" w:hAnsi="Cambria Math"/>
              <w:sz w:val="22"/>
            </w:rPr>
            <m:t xml:space="preserve"> ; C = </m:t>
          </m:r>
          <m:sSub>
            <m:e>
              <m:r>
                <w:rPr>
                  <w:rFonts w:ascii="Cambria Math" w:hAnsi="Cambria Math"/>
                  <w:sz w:val="22"/>
                </w:rPr>
                <m:t xml:space="preserve">L</m:t>
              </m:r>
            </m:e>
            <m:sub>
              <m:r>
                <w:rPr>
                  <w:rFonts w:ascii="Cambria Math" w:hAnsi="Cambria Math"/>
                  <w:sz w:val="22"/>
                </w:rPr>
                <m:t xml:space="preserve">q̇q</m:t>
              </m:r>
            </m:sub>
          </m:sSub>
          <m:r>
            <w:rPr>
              <w:rFonts w:ascii="Cambria Math" w:hAnsi="Cambria Math"/>
              <w:sz w:val="22"/>
            </w:rPr>
            <m:t xml:space="preserve"> ; q̈ = </m:t>
          </m:r>
          <m:sSup>
            <m:e>
              <m:r>
                <w:rPr>
                  <w:rFonts w:ascii="Cambria Math" w:hAnsi="Cambria Math"/>
                  <w:sz w:val="22"/>
                </w:rPr>
                <m:t xml:space="preserve">H</m:t>
              </m:r>
            </m:e>
            <m:sup>
              <m:r>
                <w:rPr>
                  <w:rFonts w:ascii="Cambria Math" w:hAnsi="Cambria Math"/>
                  <w:sz w:val="22"/>
                </w:rPr>
                <m:t xml:space="preserve">+</m:t>
              </m:r>
            </m:sup>
          </m:sSup>
          <m:r>
            <w:rPr>
              <w:rFonts w:ascii="Cambria Math" w:hAnsi="Cambria Math"/>
              <w:sz w:val="22"/>
            </w:rPr>
            <m:t xml:space="preserve">(</m:t>
          </m:r>
          <m:sSub>
            <m:e>
              <m:r>
                <w:rPr>
                  <w:rFonts w:ascii="Cambria Math" w:hAnsi="Cambria Math"/>
                  <w:sz w:val="22"/>
                </w:rPr>
                <m:t xml:space="preserve">L</m:t>
              </m:r>
            </m:e>
            <m:sub>
              <m:r>
                <w:rPr>
                  <w:rFonts w:ascii="Cambria Math" w:hAnsi="Cambria Math"/>
                  <w:sz w:val="22"/>
                </w:rPr>
                <m:t xml:space="preserve">q</m:t>
              </m:r>
            </m:sub>
          </m:sSub>
          <m:r>
            <w:rPr>
              <w:rFonts w:ascii="Cambria Math" w:hAnsi="Cambria Math"/>
              <w:sz w:val="22"/>
            </w:rPr>
            <m:t xml:space="preserve"> + F − Cq̇)</m:t>
          </m:r>
        </m:oMath>
      </m:oMathPara>
    </w:p>
    <w:p>
      <w:r>
        <w:t>Automatic differentiation forms the velocity Hessian H and mixed derivative C. The generic neural model retains the source pseudoinverse. Labels use an independently preconditioned exact solve of the same analytic action. Agreement between these paths is checked after coordinate balancing.</w:t>
      </w:r>
    </w:p>
    <w:p>
      <w:r>
        <w:t>With stationary fields, the Legendre energy is E = q̇ · Lq̇ − L and its time derivative is F · q̇. The exact and learned energies are evaluated separately. Differentiation checks establish properties of the implemented benchmark; they do not resolve its relativistic physical interpretation.</w:t>
      </w:r>
    </w:p>
    <w:p>
      <w:r>
        <w:br w:type="page"/>
      </w:r>
    </w:p>
    <w:p>
      <w:pPr>
        <w:pStyle w:val="Heading1"/>
      </w:pPr>
      <w:r>
        <w:t>Environmental terms and the physical gate</w:t>
      </w:r>
    </w:p>
    <w:p>
      <w:r>
        <w:t>The translation action uses the magnitude of the three-dimensional center-of-mass velocity in the relativistic square root. For each star, dⱼ is its distance from that center, μⱼ is its gravitational parameter and κⱼ is the adopted radiation coefficient. Uniform fields use A(r) = ½ B × r and Φ(r) = −E · r. The body dipole rotates through R.</w:t>
      </w:r>
    </w:p>
    <w:p>
      <w:pPr>
        <w:spacing w:before="60" w:after="180"/>
        <w:jc w:val="center"/>
      </w:pPr>
      <m:oMathPara>
        <m:oMath>
          <m:sSub>
            <m:e>
              <m:r>
                <w:rPr>
                  <w:rFonts w:ascii="Cambria Math" w:hAnsi="Cambria Math"/>
                  <w:sz w:val="22"/>
                </w:rPr>
                <m:t xml:space="preserve">L</m:t>
              </m:r>
            </m:e>
            <m:sub>
              <m:r>
                <m:rPr>
                  <m:nor m:val="1"/>
                </m:rPr>
                <w:rPr>
                  <w:rFonts w:ascii="Cambria Math" w:hAnsi="Cambria Math"/>
                  <w:sz w:val="22"/>
                </w:rPr>
                <m:t xml:space="preserve">fields</m:t>
              </m:r>
            </m:sub>
          </m:sSub>
          <m:r>
            <w:rPr>
              <w:rFonts w:ascii="Cambria Math" w:hAnsi="Cambria Math"/>
              <w:sz w:val="22"/>
            </w:rPr>
            <m:t xml:space="preserve"> = M∑ </m:t>
          </m:r>
          <m:f>
            <m:num>
              <m:sSub>
                <m:e>
                  <m:r>
                    <w:rPr>
                      <w:rFonts w:ascii="Cambria Math" w:hAnsi="Cambria Math"/>
                      <w:sz w:val="22"/>
                    </w:rPr>
                    <m:t xml:space="preserve">μ</m:t>
                  </m:r>
                </m:e>
                <m:sub>
                  <m:r>
                    <w:rPr>
                      <w:rFonts w:ascii="Cambria Math" w:hAnsi="Cambria Math"/>
                      <w:sz w:val="22"/>
                    </w:rPr>
                    <m:t xml:space="preserve">j</m:t>
                  </m:r>
                </m:sub>
              </m:sSub>
            </m:num>
            <m:den>
              <m:sSub>
                <m:e>
                  <m:r>
                    <w:rPr>
                      <w:rFonts w:ascii="Cambria Math" w:hAnsi="Cambria Math"/>
                      <w:sz w:val="22"/>
                    </w:rPr>
                    <m:t xml:space="preserve">d</m:t>
                  </m:r>
                </m:e>
                <m:sub>
                  <m:r>
                    <w:rPr>
                      <w:rFonts w:ascii="Cambria Math" w:hAnsi="Cambria Math"/>
                      <w:sz w:val="22"/>
                    </w:rPr>
                    <m:t xml:space="preserve">j</m:t>
                  </m:r>
                </m:sub>
              </m:sSub>
            </m:den>
          </m:f>
          <m:r>
            <w:rPr>
              <w:rFonts w:ascii="Cambria Math" w:hAnsi="Cambria Math"/>
              <w:sz w:val="22"/>
            </w:rPr>
            <m:t xml:space="preserve"> − ∑ </m:t>
          </m:r>
          <m:f>
            <m:num>
              <m:sSub>
                <m:e>
                  <m:r>
                    <w:rPr>
                      <w:rFonts w:ascii="Cambria Math" w:hAnsi="Cambria Math"/>
                      <w:sz w:val="22"/>
                    </w:rPr>
                    <m:t xml:space="preserve">κ</m:t>
                  </m:r>
                </m:e>
                <m:sub>
                  <m:r>
                    <w:rPr>
                      <w:rFonts w:ascii="Cambria Math" w:hAnsi="Cambria Math"/>
                      <w:sz w:val="22"/>
                    </w:rPr>
                    <m:t xml:space="preserve">j</m:t>
                  </m:r>
                </m:sub>
              </m:sSub>
            </m:num>
            <m:den>
              <m:sSub>
                <m:e>
                  <m:r>
                    <w:rPr>
                      <w:rFonts w:ascii="Cambria Math" w:hAnsi="Cambria Math"/>
                      <w:sz w:val="22"/>
                    </w:rPr>
                    <m:t xml:space="preserve">d</m:t>
                  </m:r>
                </m:e>
                <m:sub>
                  <m:r>
                    <w:rPr>
                      <w:rFonts w:ascii="Cambria Math" w:hAnsi="Cambria Math"/>
                      <w:sz w:val="22"/>
                    </w:rPr>
                    <m:t xml:space="preserve">j</m:t>
                  </m:r>
                </m:sub>
              </m:sSub>
            </m:den>
          </m:f>
          <m:r>
            <w:rPr>
              <w:rFonts w:ascii="Cambria Math" w:hAnsi="Cambria Math"/>
              <w:sz w:val="22"/>
            </w:rPr>
            <m:t xml:space="preserve"> + Q(A · v − Φ) + (R</m:t>
          </m:r>
          <m:sSub>
            <m:e>
              <m:r>
                <w:rPr>
                  <w:rFonts w:ascii="Cambria Math" w:hAnsi="Cambria Math"/>
                  <w:sz w:val="22"/>
                </w:rPr>
                <m:t xml:space="preserve">m</m:t>
              </m:r>
            </m:e>
            <m:sub>
              <m:r>
                <w:rPr>
                  <w:rFonts w:ascii="Cambria Math" w:hAnsi="Cambria Math"/>
                  <w:sz w:val="22"/>
                </w:rPr>
                <m:t xml:space="preserve">b</m:t>
              </m:r>
            </m:sub>
          </m:sSub>
          <m:r>
            <w:rPr>
              <w:rFonts w:ascii="Cambria Math" w:hAnsi="Cambria Math"/>
              <w:sz w:val="22"/>
            </w:rPr>
            <m:t xml:space="preserve">) · B</m:t>
          </m:r>
        </m:oMath>
      </m:oMathPara>
    </w:p>
    <w:p>
      <w:r>
        <w:t>Gravity attracts the ship toward each star; the adopted radiation term gives an outward force. The vector-potential derivative produces the magnetic Lorentz force. A uniform magnetic field produces dipole torque but no dipole-gradient translational force.</w:t>
      </w:r>
    </w:p>
    <w:p>
      <w:r>
        <w:t>The stationary radiation coefficient is stellar luminosity times projected area divided by 4πc, with area π(2 m)². Relativistic aberration, Doppler shifts, heating and re-emission are omitted. Newtonian stellar potentials are combined with special-relativistic translation as an effective weak-field model.</w:t>
      </w:r>
    </w:p>
    <w:p>
      <w:pPr>
        <w:pStyle w:val="Heading2"/>
      </w:pPr>
      <w:r>
        <w:t>Position dependent gravity gradient</w:t>
      </w:r>
    </w:p>
    <w:p>
      <w:r>
        <w:t>The instantaneous inertia tensor includes the recentered rotor point masses. The unit star direction nⱼ is expressed in body coordinates, and 1 denotes the identity tensor below. Retaining dependence on position, attitude, extensions and rotor angle preserves the reciprocal couplings of the tidal potential.</w:t>
      </w:r>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tot</m:t>
              </m:r>
            </m:sub>
          </m:sSub>
          <m:r>
            <w:rPr>
              <w:rFonts w:ascii="Cambria Math" w:hAnsi="Cambria Math"/>
              <w:sz w:val="22"/>
            </w:rPr>
            <m:t xml:space="preserve"> = </m:t>
          </m:r>
          <m:sSub>
            <m:e>
              <m:r>
                <w:rPr>
                  <w:rFonts w:ascii="Cambria Math" w:hAnsi="Cambria Math"/>
                  <w:sz w:val="22"/>
                </w:rPr>
                <m:t xml:space="preserve">I</m:t>
              </m:r>
            </m:e>
            <m:sub>
              <m:r>
                <m:rPr>
                  <m:nor m:val="1"/>
                </m:rPr>
                <w:rPr>
                  <w:rFonts w:ascii="Cambria Math" w:hAnsi="Cambria Math"/>
                  <w:sz w:val="22"/>
                </w:rPr>
                <m:t xml:space="preserve">hub</m:t>
              </m:r>
            </m:sub>
          </m:sSub>
          <m:r>
            <w:rPr>
              <w:rFonts w:ascii="Cambria Math" w:hAnsi="Cambria Math"/>
              <w:sz w:val="22"/>
            </w:rPr>
            <m:t xml:space="preserve"> + ∑ </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p>
            <m:e>
              <m:r>
                <w:rPr>
                  <w:rFonts w:ascii="Cambria Math" w:hAnsi="Cambria Math"/>
                  <w:sz w:val="22"/>
                </w:rPr>
                <m:t xml:space="preserve">|</m:t>
              </m:r>
              <m:sSub>
                <m:e>
                  <m:r>
                    <w:rPr>
                      <w:rFonts w:ascii="Cambria Math" w:hAnsi="Cambria Math"/>
                      <w:sz w:val="22"/>
                    </w:rPr>
                    <m:t xml:space="preserve">ρ</m:t>
                  </m:r>
                </m:e>
                <m:sub>
                  <m:r>
                    <w:rPr>
                      <w:rFonts w:ascii="Cambria Math" w:hAnsi="Cambria Math"/>
                      <w:sz w:val="22"/>
                    </w:rPr>
                    <m:t xml:space="preserve">i</m:t>
                  </m:r>
                </m:sub>
              </m:sSub>
              <m:r>
                <w:rPr>
                  <w:rFonts w:ascii="Cambria Math" w:hAnsi="Cambria Math"/>
                  <w:sz w:val="22"/>
                </w:rPr>
                <m:t xml:space="preserve">|</m:t>
              </m:r>
            </m:e>
            <m:sup>
              <m:r>
                <w:rPr>
                  <w:rFonts w:ascii="Cambria Math" w:hAnsi="Cambria Math"/>
                  <w:sz w:val="22"/>
                </w:rPr>
                <m:t xml:space="preserve">2</m:t>
              </m:r>
            </m:sup>
          </m:sSup>
          <m:r>
            <w:rPr>
              <w:rFonts w:ascii="Cambria Math" w:hAnsi="Cambria Math"/>
              <w:sz w:val="22"/>
            </w:rPr>
            <m:t xml:space="preserve">1 − </m:t>
          </m:r>
          <m:sSub>
            <m:e>
              <m:r>
                <w:rPr>
                  <w:rFonts w:ascii="Cambria Math" w:hAnsi="Cambria Math"/>
                  <w:sz w:val="22"/>
                </w:rPr>
                <m:t xml:space="preserve">ρ</m:t>
              </m:r>
            </m:e>
            <m:sub>
              <m:r>
                <w:rPr>
                  <w:rFonts w:ascii="Cambria Math" w:hAnsi="Cambria Math"/>
                  <w:sz w:val="22"/>
                </w:rPr>
                <m:t xml:space="preserve">i</m:t>
              </m:r>
            </m:sub>
          </m:sSub>
          <m:sSup>
            <m:e>
              <m:sSub>
                <m:e>
                  <m:r>
                    <w:rPr>
                      <w:rFonts w:ascii="Cambria Math" w:hAnsi="Cambria Math"/>
                      <w:sz w:val="22"/>
                    </w:rPr>
                    <m:t xml:space="preserve">ρ</m:t>
                  </m:r>
                </m:e>
                <m:sub>
                  <m:r>
                    <w:rPr>
                      <w:rFonts w:ascii="Cambria Math" w:hAnsi="Cambria Math"/>
                      <w:sz w:val="22"/>
                    </w:rPr>
                    <m:t xml:space="preserve">i</m:t>
                  </m:r>
                </m:sub>
              </m:sSub>
            </m:e>
            <m:sup>
              <m:r>
                <w:rPr>
                  <w:rFonts w:ascii="Cambria Math" w:hAnsi="Cambria Math"/>
                  <w:sz w:val="22"/>
                </w:rPr>
                <m:t xml:space="preserve">T</m:t>
              </m:r>
            </m:sup>
          </m:sSup>
          <m:r>
            <w:rPr>
              <w:rFonts w:ascii="Cambria Math" w:hAnsi="Cambria Math"/>
              <w:sz w:val="22"/>
            </w:rPr>
            <m:t xml:space="preserve">)</m:t>
          </m:r>
        </m:oMath>
      </m:oMathPara>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gg</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μ</m:t>
                  </m:r>
                </m:e>
                <m:sub>
                  <m:r>
                    <w:rPr>
                      <w:rFonts w:ascii="Cambria Math" w:hAnsi="Cambria Math"/>
                      <w:sz w:val="22"/>
                    </w:rPr>
                    <m:t xml:space="preserve">j</m:t>
                  </m:r>
                </m:sub>
              </m:sSub>
            </m:num>
            <m:den>
              <m:sSup>
                <m:e>
                  <m:sSub>
                    <m:e>
                      <m:r>
                        <w:rPr>
                          <w:rFonts w:ascii="Cambria Math" w:hAnsi="Cambria Math"/>
                          <w:sz w:val="22"/>
                        </w:rPr>
                        <m:t xml:space="preserve">d</m:t>
                      </m:r>
                    </m:e>
                    <m:sub>
                      <m:r>
                        <w:rPr>
                          <w:rFonts w:ascii="Cambria Math" w:hAnsi="Cambria Math"/>
                          <w:sz w:val="22"/>
                        </w:rPr>
                        <m:t xml:space="preserve">j</m:t>
                      </m:r>
                    </m:sub>
                  </m:sSub>
                </m:e>
                <m:sup>
                  <m:r>
                    <w:rPr>
                      <w:rFonts w:ascii="Cambria Math" w:hAnsi="Cambria Math"/>
                      <w:sz w:val="22"/>
                    </w:rPr>
                    <m:t xml:space="preserve">3</m:t>
                  </m:r>
                </m:sup>
              </m:sSup>
            </m:den>
          </m:f>
          <m:r>
            <w:rPr>
              <w:rFonts w:ascii="Cambria Math" w:hAnsi="Cambria Math"/>
              <w:sz w:val="22"/>
            </w:rPr>
            <m:t xml:space="preserve">(tr I − 3</m:t>
          </m:r>
          <m:sSup>
            <m:e>
              <m:sSub>
                <m:e>
                  <m:r>
                    <w:rPr>
                      <w:rFonts w:ascii="Cambria Math" w:hAnsi="Cambria Math"/>
                      <w:sz w:val="22"/>
                    </w:rPr>
                    <m:t xml:space="preserve">n</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I</m:t>
          </m:r>
          <m:sSub>
            <m:e>
              <m:r>
                <w:rPr>
                  <w:rFonts w:ascii="Cambria Math" w:hAnsi="Cambria Math"/>
                  <w:sz w:val="22"/>
                </w:rPr>
                <m:t xml:space="preserve">n</m:t>
              </m:r>
            </m:e>
            <m:sub>
              <m:r>
                <w:rPr>
                  <w:rFonts w:ascii="Cambria Math" w:hAnsi="Cambria Math"/>
                  <w:sz w:val="22"/>
                </w:rPr>
                <m:t xml:space="preserve">j</m:t>
              </m:r>
            </m:sub>
          </m:sSub>
          <m:r>
            <w:rPr>
              <w:rFonts w:ascii="Cambria Math" w:hAnsi="Cambria Math"/>
              <w:sz w:val="22"/>
            </w:rPr>
            <m:t xml:space="preserve">)</m:t>
          </m:r>
        </m:oMath>
      </m:oMathPara>
    </w:p>
    <w:p>
      <w:r>
        <w:t>Virtual work verifies the printed torque direction: 3μⱼ/dⱼ³ times nⱼ × (I nⱼ). The current audit confirms that this torque and the differentiated potential agree. The position–attitude mixed derivatives are nonzero and reciprocal in the tested state.</w:t>
      </w:r>
    </w:p>
    <w:p>
      <w:pPr>
        <w:pStyle w:val="Heading2"/>
      </w:pPr>
      <w:r>
        <w:t>Why physical long training remains gated</w:t>
      </w:r>
    </w:p>
    <w:p>
      <w:r>
        <w:t>The benchmark sums relativistic center-of-mass translation and classical internal mechanics using one SI coordinate time. The supplied derivation does not establish how internal proper-time mechanics, field transformations and attitude transport combine into a consistent high-speed flexible-body action. Passing algebraic tests for that sum cannot establish physical artificial gravity at 0.995c.</w:t>
      </w:r>
    </w:p>
    <w:p>
      <w:r>
        <w:t>If a proper-time internal action contains T − U and λ = dτ/dt, expressing it in coordinate time requires the appropriate velocity conversion and the measure factor λ. For a simple quadratic internal kinetic term this gives a kinetic contribution proportional to 1/λ and a potential contribution proportional to λ. The present additive benchmark does not implement that conversion.</w:t>
      </w:r>
    </w:p>
    <w:p>
      <w:r>
        <w:t>The anchored-hub limit reproduces the isolated centrifuge equations. Setting hub angular velocity to zero alone leaves finite-mass translational recoil, so it is insufficient to recover those equations generally. Cable Young modulus also does not establish yield, fatigue or allowable stress. Physical full-model long training stays gated until these issues are resolved.</w:t>
      </w:r>
    </w:p>
    <w:p>
      <w:r>
        <w:br w:type="page"/>
      </w:r>
    </w:p>
    <w:p>
      <w:pPr>
        <w:pStyle w:val="Heading1"/>
      </w:pPr>
      <w:r>
        <w:t>Design assumptions and numerical reference audit</w:t>
      </w:r>
    </w:p>
    <w:p>
      <w:r>
        <w:t>The ship parameters below define a chosen benchmark design. The two end masses are point masses; cables are massless linear springs, and the hub is a uniform cylinder. These values are model inputs rather than validated hardware specifications.</w:t>
      </w:r>
    </w:p>
    <w:tbl>
      <w:tblPr>
        <w:tblW w:type="auto" w:w="0"/>
        <w:jc w:val="center"/>
        <w:tblLayout w:type="fixed"/>
        <w:tblLook w:firstColumn="1" w:firstRow="1" w:lastColumn="0" w:lastRow="0" w:noHBand="0" w:noVBand="1" w:val="04A0"/>
      </w:tblPr>
      <w:tblGrid>
        <w:gridCol w:w="3053"/>
        <w:gridCol w:w="6826"/>
      </w:tblGrid>
      <w:tr>
        <w:trPr>
          <w:tblHeade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Quantity</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Adopted value</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Total mass and allocation</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100,000 kg; hub 50,000; habitat 20,000; counterweight 30,000</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Rest radii and hub dimensions</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30 m and 20 m; cylinder length 47 m and radius 2 m</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Hub inertia diagonal</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(100,000; 9,254,166.67; 9,254,166.67) kg m²</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Cable design and stiffness</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Four 10 mm cables; E = 120 GPa; kₕ = 1.25664 MN/m; k꜀ = 1.88496 MN/m</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One g equilibrium</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9.80665 m/s²; 5.4455819 rpm; extensions 0.1560777 m and 0.1040518 m</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Mission and field assumptions</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11.9 light-year route; a = 15 m/s²; Q = 2.2253 × 10⁻⁸ C; |E| = 10⁻⁵ V/m; |B| = 0.5 nT; body dipole 100 A m²</w:t>
            </w:r>
          </w:p>
        </w:tc>
      </w:tr>
      <w:tr>
        <w:trPr>
          <w:cantSplit/>
        </w:trPr>
        <w:tc>
          <w:tcPr>
            <w:tcW w:type="dxa" w:w="305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Stellar inputs</w:t>
            </w:r>
          </w:p>
        </w:tc>
        <w:tc>
          <w:tcPr>
            <w:tcW w:type="dxa" w:w="682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Solar μ = 1.3271244 × 10²⁰ m³/s² and luminosity 3.828 × 10²⁶ W; Tau Ceti uses 0.783 and 0.52 of these values</w:t>
            </w:r>
          </w:p>
        </w:tc>
      </w:tr>
    </w:tbl>
    <w:p>
      <w:pPr>
        <w:spacing w:after="0"/>
      </w:pPr>
    </w:p>
    <w:p>
      <w:r>
        <w:t>The equilibrium is recomputed from recentered geometry and spring balance. It happens to match the balanced design value; it was not imposed on the corrected equations. Mission thrust g = 1 means Ma and uses 15 m/s², whereas the internal one g target uses 9.80665 m/s².</w:t>
      </w:r>
    </w:p>
    <w:tbl>
      <w:tblPr>
        <w:tblW w:type="auto" w:w="0"/>
        <w:jc w:val="center"/>
        <w:tblLayout w:type="fixed"/>
        <w:tblLook w:firstColumn="1" w:firstRow="1" w:lastColumn="0" w:lastRow="0" w:noHBand="0" w:noVBand="1" w:val="04A0"/>
      </w:tblPr>
      <w:tblGrid>
        <w:gridCol w:w="5933"/>
        <w:gridCol w:w="3946"/>
      </w:tblGrid>
      <w:tr>
        <w:trPr>
          <w:tblHeade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Reference check</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Observed discrepancy</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explicit versus autodiff acceleration</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7.11 × 10⁻¹⁵ maximum</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numerical versus exact trajectory</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2.51 × 10⁻¹¹ maximum scaled state error</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true energy minus work</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4.42 × 10⁻¹⁰ maximum scaled residual</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Vector Lorentz and stellar-force limit</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7.11 × 10⁻¹⁵ m/s² maximum</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Anchored-hub centrifuge limit</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1.44 × 10⁻¹⁵ maximum</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Reduced axial and roll mechanics</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7.53 × 10⁻¹⁶ maximum</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Gravity-gradient potential versus torque</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3.97 × 10⁻²³ N m maximum</w:t>
            </w:r>
          </w:p>
        </w:tc>
      </w:tr>
      <w:tr>
        <w:trPr>
          <w:cantSplit/>
        </w:trPr>
        <w:tc>
          <w:tcPr>
            <w:tcW w:type="dxa" w:w="593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Isolated total angular momentum derivative</w:t>
            </w:r>
          </w:p>
        </w:tc>
        <w:tc>
          <w:tcPr>
            <w:tcW w:type="dxa" w:w="394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1.75 × 10⁻¹⁰ N m maximum component</w:t>
            </w:r>
          </w:p>
        </w:tc>
      </w:tr>
    </w:tbl>
    <w:p>
      <w:pPr>
        <w:spacing w:after="0"/>
      </w:pPr>
    </w:p>
    <w:p>
      <w:r>
        <w:t>These are discrepancies in the declared test states and limits, not global accuracy bounds. The isolated hub and rotor exchange nonzero, opposite angular momentum. Directional finite differences of the internal action agree to a best relative error of 4.78 × 10⁻¹¹ over the tested step sizes. The audit uses float64.</w:t>
      </w:r>
    </w:p>
    <w:p>
      <w:r>
        <w:br w:type="page"/>
      </w:r>
    </w:p>
    <w:p>
      <w:pPr>
        <w:pStyle w:val="Heading1"/>
      </w:pPr>
      <w:r>
        <w:t>Training method and numerical conditioning</w:t>
      </w:r>
    </w:p>
    <w:p>
      <w:r>
        <w:t>Both spacecraft LNNs use four hidden layers of 500 Softplus units and a scalar output. The source custom initialization is retained. Each main run has 300,000 Adam updates with logical batch size 512. The incomplete model has two inputs; the joint model has 18 state inputs. Known force is supplied to the Euler–Lagrange calculation rather than to the action network.</w:t>
      </w:r>
    </w:p>
    <w:p>
      <w:pPr>
        <w:spacing w:before="60" w:after="180"/>
        <w:jc w:val="center"/>
      </w:pPr>
      <m:oMathPara>
        <m:oMath>
          <m:r>
            <w:rPr>
              <w:rFonts w:ascii="Cambria Math" w:hAnsi="Cambria Math"/>
              <w:sz w:val="22"/>
            </w:rPr>
            <m:t xml:space="preserve">J = </m:t>
          </m:r>
          <m:f>
            <m:num>
              <m:r>
                <w:rPr>
                  <w:rFonts w:ascii="Cambria Math" w:hAnsi="Cambria Math"/>
                  <w:sz w:val="22"/>
                </w:rPr>
                <m:t xml:space="preserve">∑ </m:t>
              </m:r>
              <m:sSub>
                <m:e>
                  <m:r>
                    <w:rPr>
                      <w:rFonts w:ascii="Cambria Math" w:hAnsi="Cambria Math"/>
                      <w:sz w:val="22"/>
                    </w:rPr>
                    <m:t xml:space="preserve">w</m:t>
                  </m:r>
                </m:e>
                <m:sub>
                  <m:r>
                    <w:rPr>
                      <w:rFonts w:ascii="Cambria Math" w:hAnsi="Cambria Math"/>
                      <w:sz w:val="22"/>
                    </w:rPr>
                    <m:t xml:space="preserve">n</m:t>
                  </m:r>
                </m:sub>
              </m:sSub>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d</m:t>
                  </m:r>
                </m:den>
              </m:f>
              <m:r>
                <w:rPr>
                  <w:rFonts w:ascii="Cambria Math" w:hAnsi="Cambria Math"/>
                  <w:sz w:val="22"/>
                </w:rPr>
                <m:t xml:space="preserve">∑ </m:t>
              </m:r>
              <m:f>
                <m:num>
                  <m:r>
                    <w:rPr>
                      <w:rFonts w:ascii="Cambria Math" w:hAnsi="Cambria Math"/>
                      <w:sz w:val="22"/>
                    </w:rPr>
                    <m:t xml:space="preserve">|</m:t>
                  </m:r>
                  <m:sSub>
                    <m:e>
                      <m:r>
                        <w:rPr>
                          <w:rFonts w:ascii="Cambria Math" w:hAnsi="Cambria Math"/>
                          <w:sz w:val="22"/>
                        </w:rPr>
                        <m:t xml:space="preserve">â</m:t>
                      </m:r>
                    </m:e>
                    <m:sub>
                      <m:r>
                        <m:rPr>
                          <m:nor m:val="1"/>
                        </m:rPr>
                        <w:rPr>
                          <w:rFonts w:ascii="Cambria Math" w:hAnsi="Cambria Math"/>
                          <w:sz w:val="22"/>
                        </w:rPr>
                        <m:t xml:space="preserve">nj</m:t>
                      </m:r>
                    </m:sub>
                  </m:sSub>
                  <m:r>
                    <w:rPr>
                      <w:rFonts w:ascii="Cambria Math" w:hAnsi="Cambria Math"/>
                      <w:sz w:val="22"/>
                    </w:rPr>
                    <m:t xml:space="preserve"> − </m:t>
                  </m:r>
                  <m:sSub>
                    <m:e>
                      <m:r>
                        <w:rPr>
                          <w:rFonts w:ascii="Cambria Math" w:hAnsi="Cambria Math"/>
                          <w:sz w:val="22"/>
                        </w:rPr>
                        <m:t xml:space="preserve">a</m:t>
                      </m:r>
                    </m:e>
                    <m:sub>
                      <m:r>
                        <m:rPr>
                          <m:nor m:val="1"/>
                        </m:rPr>
                        <w:rPr>
                          <w:rFonts w:ascii="Cambria Math" w:hAnsi="Cambria Math"/>
                          <w:sz w:val="22"/>
                        </w:rPr>
                        <m:t xml:space="preserve">nj</m:t>
                      </m:r>
                    </m:sub>
                  </m:sSub>
                  <m:r>
                    <w:rPr>
                      <w:rFonts w:ascii="Cambria Math" w:hAnsi="Cambria Math"/>
                      <w:sz w:val="22"/>
                    </w:rPr>
                    <m:t xml:space="preserve">|</m:t>
                  </m:r>
                </m:num>
                <m:den>
                  <m:sSub>
                    <m:e>
                      <m:r>
                        <w:rPr>
                          <w:rFonts w:ascii="Cambria Math" w:hAnsi="Cambria Math"/>
                          <w:sz w:val="22"/>
                        </w:rPr>
                        <m:t xml:space="preserve">σ</m:t>
                      </m:r>
                    </m:e>
                    <m:sub>
                      <m:r>
                        <w:rPr>
                          <w:rFonts w:ascii="Cambria Math" w:hAnsi="Cambria Math"/>
                          <w:sz w:val="22"/>
                        </w:rPr>
                        <m:t xml:space="preserve">j</m:t>
                      </m:r>
                    </m:sub>
                  </m:sSub>
                </m:den>
              </m:f>
              <m:r>
                <w:rPr>
                  <w:rFonts w:ascii="Cambria Math" w:hAnsi="Cambria Math"/>
                  <w:sz w:val="22"/>
                </w:rPr>
                <m:t xml:space="preserve">)</m:t>
              </m:r>
            </m:num>
            <m:den>
              <m:r>
                <w:rPr>
                  <w:rFonts w:ascii="Cambria Math" w:hAnsi="Cambria Math"/>
                  <w:sz w:val="22"/>
                </w:rPr>
                <m:t xml:space="preserve">∑ </m:t>
              </m:r>
              <m:sSub>
                <m:e>
                  <m:r>
                    <w:rPr>
                      <w:rFonts w:ascii="Cambria Math" w:hAnsi="Cambria Math"/>
                      <w:sz w:val="22"/>
                    </w:rPr>
                    <m:t xml:space="preserve">w</m:t>
                  </m:r>
                </m:e>
                <m:sub>
                  <m:r>
                    <w:rPr>
                      <w:rFonts w:ascii="Cambria Math" w:hAnsi="Cambria Math"/>
                      <w:sz w:val="22"/>
                    </w:rPr>
                    <m:t xml:space="preserve">n</m:t>
                  </m:r>
                </m:sub>
              </m:sSub>
            </m:den>
          </m:f>
          <m:r>
            <w:rPr>
              <w:rFonts w:ascii="Cambria Math" w:hAnsi="Cambria Math"/>
              <w:sz w:val="22"/>
            </w:rPr>
            <m:t xml:space="preserve"> ; </m:t>
          </m:r>
          <m:sSub>
            <m:e>
              <m:r>
                <w:rPr>
                  <w:rFonts w:ascii="Cambria Math" w:hAnsi="Cambria Math"/>
                  <w:sz w:val="22"/>
                </w:rPr>
                <m:t xml:space="preserve">w</m:t>
              </m:r>
            </m:e>
            <m:sub>
              <m:r>
                <w:rPr>
                  <w:rFonts w:ascii="Cambria Math" w:hAnsi="Cambria Math"/>
                  <w:sz w:val="22"/>
                </w:rPr>
                <m:t xml:space="preserve">n</m:t>
              </m:r>
            </m:sub>
          </m:sSub>
          <m:r>
            <w:rPr>
              <w:rFonts w:ascii="Cambria Math" w:hAnsi="Cambria Math"/>
              <w:sz w:val="22"/>
            </w:rPr>
            <m:t xml:space="preserve"> = 1 + </m:t>
          </m:r>
          <m:sSub>
            <m:e>
              <m:r>
                <w:rPr>
                  <w:rFonts w:ascii="Cambria Math" w:hAnsi="Cambria Math"/>
                  <w:sz w:val="22"/>
                </w:rPr>
                <m:t xml:space="preserve">γ</m:t>
              </m:r>
            </m:e>
            <m:sub>
              <m:r>
                <w:rPr>
                  <w:rFonts w:ascii="Cambria Math" w:hAnsi="Cambria Math"/>
                  <w:sz w:val="22"/>
                </w:rPr>
                <m:t xml:space="preserve">n</m:t>
              </m:r>
            </m:sub>
          </m:sSub>
        </m:oMath>
      </m:oMathPara>
    </w:p>
    <w:p>
      <w:r>
        <w:t>Here d is 1 or 9, γ is computed from center-of-mass speed and σⱼ is a fixed acceleration scale. The incomplete dimensionless scale is 1. Joint scales are frozen before neural training from a separate 512-state reference pilot with seed 999 and recorded in the run configuration, with a numerical floor of 10⁻¹⁵. They are not adapted to neural predictions.</w:t>
      </w:r>
    </w:p>
    <w:p>
      <w:pPr>
        <w:spacing w:before="60" w:after="180"/>
        <w:jc w:val="center"/>
      </w:pPr>
      <m:oMathPara>
        <m:oMath>
          <m:r>
            <w:rPr>
              <w:rFonts w:ascii="Cambria Math" w:hAnsi="Cambria Math"/>
              <w:sz w:val="22"/>
            </w:rPr>
            <m:t xml:space="preserve">η(p) = </m:t>
          </m:r>
          <m:sSup>
            <m:e>
              <m:r>
                <w:rPr>
                  <w:rFonts w:ascii="Cambria Math" w:hAnsi="Cambria Math"/>
                  <w:sz w:val="22"/>
                </w:rPr>
                <m:t xml:space="preserve">10</m:t>
              </m:r>
            </m:e>
            <m:sup>
              <m:r>
                <w:rPr>
                  <w:rFonts w:ascii="Cambria Math" w:hAnsi="Cambria Math"/>
                  <w:sz w:val="22"/>
                </w:rPr>
                <m:t xml:space="preserve">−7</m:t>
              </m:r>
            </m:sup>
          </m:sSup>
          <m:r>
            <w:rPr>
              <w:rFonts w:ascii="Cambria Math" w:hAnsi="Cambria Math"/>
              <w:sz w:val="22"/>
            </w:rPr>
            <m:t xml:space="preserve"> + (</m:t>
          </m:r>
          <m:sSup>
            <m:e>
              <m:r>
                <w:rPr>
                  <w:rFonts w:ascii="Cambria Math" w:hAnsi="Cambria Math"/>
                  <w:sz w:val="22"/>
                </w:rPr>
                <m:t xml:space="preserve">10</m:t>
              </m:r>
            </m:e>
            <m:sup>
              <m:r>
                <w:rPr>
                  <w:rFonts w:ascii="Cambria Math" w:hAnsi="Cambria Math"/>
                  <w:sz w:val="22"/>
                </w:rPr>
                <m:t xml:space="preserve">−3</m:t>
              </m:r>
            </m:sup>
          </m:sSup>
          <m:r>
            <w:rPr>
              <w:rFonts w:ascii="Cambria Math" w:hAnsi="Cambria Math"/>
              <w:sz w:val="22"/>
            </w:rPr>
            <m:t xml:space="preserve"> − </m:t>
          </m:r>
          <m:sSup>
            <m:e>
              <m:r>
                <w:rPr>
                  <w:rFonts w:ascii="Cambria Math" w:hAnsi="Cambria Math"/>
                  <w:sz w:val="22"/>
                </w:rPr>
                <m:t xml:space="preserve">10</m:t>
              </m:r>
            </m:e>
            <m:sup>
              <m:r>
                <w:rPr>
                  <w:rFonts w:ascii="Cambria Math" w:hAnsi="Cambria Math"/>
                  <w:sz w:val="22"/>
                </w:rPr>
                <m:t xml:space="preserve">−7</m:t>
              </m:r>
            </m:sup>
          </m:sSup>
          <m:r>
            <w:rPr>
              <w:rFonts w:ascii="Cambria Math" w:hAnsi="Cambria Math"/>
              <w:sz w:val="22"/>
            </w:rPr>
            <m:t xml:space="preserve">)</m:t>
          </m:r>
          <m:f>
            <m:num>
              <m:r>
                <w:rPr>
                  <w:rFonts w:ascii="Cambria Math" w:hAnsi="Cambria Math"/>
                  <w:sz w:val="22"/>
                </w:rPr>
                <m:t xml:space="preserve">1 − cos(2πu)</m:t>
              </m:r>
            </m:num>
            <m:den>
              <m:r>
                <w:rPr>
                  <w:rFonts w:ascii="Cambria Math" w:hAnsi="Cambria Math"/>
                  <w:sz w:val="22"/>
                </w:rPr>
                <m:t xml:space="preserve">2</m:t>
              </m:r>
            </m:den>
          </m:f>
          <m:r>
            <w:rPr>
              <w:rFonts w:ascii="Cambria Math" w:hAnsi="Cambria Math"/>
              <w:sz w:val="22"/>
            </w:rPr>
            <m:t xml:space="preserve"> ; u = 0.3 + 0.7p</m:t>
          </m:r>
        </m:oMath>
      </m:oMathPara>
    </w:p>
    <w:p>
      <w:r>
        <w:t>For spacecraft runs p is the integer update index divided by 300,000. The schedule first rises and then falls. Smoke runs preserve this full-budget schedule. Chunks of 32 states for translation and 16 for joint debugging accumulate one weighted batch gradient before one optimizer update. A test confirms agreement with the whole-batch gradient.</w:t>
      </w:r>
    </w:p>
    <w:p>
      <w:pPr>
        <w:pStyle w:val="Heading2"/>
      </w:pPr>
      <w:r>
        <w:t>Keeping all coupled modes</w:t>
      </w:r>
    </w:p>
    <w:p>
      <w:r>
        <w:t>Natural mission and internal coordinate scales produced an exact-action Hessian condition number near 3.00 × 10¹⁷; the default pseudoinverse retained only six of nine modes in the tested low-speed state. Nominal mass-metric coordinate scales applied to the whole action reduced the tested condition number to 1,376 and retained nine modes. The maximum scaled disagreement with the independent solve was 5.71 × 10⁻¹¹ in the audit batch.</w:t>
      </w:r>
    </w:p>
    <w:p>
      <w:r>
        <w:t>The common benchmark time scale is 0.1261566 s and the energy scale is Mc². Coordinates, velocities and generalized forces are transformed consistently. No independent subsystem energy weights are introduced. Input feature normalization remains inside the differentiated neural action so the chain rule is retained.</w:t>
      </w:r>
    </w:p>
    <w:p>
      <w:pPr>
        <w:pStyle w:val="Heading2"/>
      </w:pPr>
      <w:r>
        <w:t>Checkpoint and failure discipline</w:t>
      </w:r>
    </w:p>
    <w:p>
      <w:r>
        <w:t>Runs record configuration, code hashes, package versions, random-stream position, optimizer state and actual parameter precision. Checkpoints are committed every 10,000 updates; the final and minimum-validation checkpoints are retained. Resuming a committed checkpoint was bitwise identical to an uninterrupted six-update check. No clipping, Hessian regularization, energy supervision or trajectory supervision was added. Nonfinite failures are recorded with the affected seed.</w:t>
      </w:r>
    </w:p>
    <w:p>
      <w:r>
        <w:br w:type="page"/>
      </w:r>
    </w:p>
    <w:p>
      <w:pPr>
        <w:pStyle w:val="Heading1"/>
      </w:pPr>
      <w:r>
        <w:t>Sampling and separation of experiments</w:t>
      </w:r>
    </w:p>
    <w:p>
      <w:r>
        <w:t>Spacecraft training samples are generated from independent random streams keyed by seed and integer update. The center-of-mass speed law is 0.99999 times tanh of twice a standard normal variate. For the joint benchmark, its magnitude is combined with an independently sampled isotropic direction; three independent relativistic velocity components are not sampled.</w:t>
      </w:r>
    </w:p>
    <w:tbl>
      <w:tblPr>
        <w:tblW w:type="auto" w:w="0"/>
        <w:jc w:val="center"/>
        <w:tblLayout w:type="fixed"/>
        <w:tblLook w:firstColumn="1" w:firstRow="1" w:lastColumn="0" w:lastRow="0" w:noHBand="0" w:noVBand="1" w:val="04A0"/>
      </w:tblPr>
      <w:tblGrid>
        <w:gridCol w:w="3067"/>
        <w:gridCol w:w="6811"/>
      </w:tblGrid>
      <w:tr>
        <w:trPr>
          <w:tblHeade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State or input</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Declared sampling domain</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position</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Uniform along the 11.9 light-year route</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Joint position mixture</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50% uniform route; 25% log distance near each star; transverse offsets within ±1 AU; at least 1 AU from either star</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and hub rates</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Each ZYX angle within ±π/6; each coordinate rate within ±0.02 rad/s</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Extensions and radial rates</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Equilibrium extension ±0.03 m; rates within ±0.05 m/s</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Rotor angle and spin</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Angle within ±π; spin 0.9–1.1 times equilibrium</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force</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g sampled from a zero-mean normal distribution with standard deviation 10</w:t>
            </w:r>
          </w:p>
        </w:tc>
      </w:tr>
      <w:tr>
        <w:trPr>
          <w:cantSplit/>
        </w:trPr>
        <w:tc>
          <w:tcPr>
            <w:tcW w:type="dxa" w:w="306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Joint force mixture</w:t>
            </w:r>
          </w:p>
        </w:tc>
        <w:tc>
          <w:tcPr>
            <w:tcW w:type="dxa" w:w="681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50% synthetic vector excitation; 25% zero thrust; 25% axial g = 1 mission thrust</w:t>
            </w:r>
          </w:p>
        </w:tc>
      </w:tr>
    </w:tbl>
    <w:p>
      <w:pPr>
        <w:spacing w:after="0"/>
      </w:pPr>
    </w:p>
    <w:p>
      <w:r>
        <w:t>The joint force mixture deliberately adds quiet and mission strata to expose weak internal signals. It is a spacecraft benchmark sampling choice and is reported separately from the source notebook control. Uniform magnetic and electric fields and fixed stellar parameters are used throughout each benchmark.</w:t>
      </w:r>
    </w:p>
    <w:p>
      <w:pPr>
        <w:pStyle w:val="Heading2"/>
      </w:pPr>
      <w:r>
        <w:t>Validation and tests</w:t>
      </w:r>
    </w:p>
    <w:p>
      <w:r>
        <w:t>Validation comprises 10,000 fixed states with seed 1000. The separate final test comprises 10,000 states with seed 2000 and does not select checkpoints. Spacecraft validation and tests allocate 2,500 states to each speed band: below 0.7c, 0.7–0.9c, 0.9–0.99c and 0.99–0.99999c. The source control retains its own notebook-like distribution rather than equal band counts.</w:t>
      </w:r>
    </w:p>
    <w:p>
      <w:r>
        <w:t>The completed smoke evaluations use a separate diagnostic seed 1001 and do not open the final test. Low-speed-only spacecraft models are separate runs conditioned on speed below 0.7c; their high-speed results will be reported as extrapolation. All five main seeds, 0 through 4, are needed before a robustness claim.</w:t>
      </w:r>
    </w:p>
    <w:p>
      <w:r>
        <w:t>The direct acceleration baseline uses the same hidden width, update budget and streamed data as its matched LNN. It predicts acceleration directly. A future model with exact kinetic geometry and learned potentials would be a separate structural intervention and cannot be presented as the generic scalar LNN result.</w:t>
      </w:r>
    </w:p>
    <w:p>
      <w:r>
        <w:br w:type="page"/>
      </w:r>
    </w:p>
    <w:p>
      <w:pPr>
        <w:pStyle w:val="Heading1"/>
      </w:pPr>
      <w:r>
        <w:t>Completed smoke results and ongoing training</w:t>
      </w:r>
    </w:p>
    <w:p>
      <w:r>
        <w:t>The following runs establish that parts of the pipeline execute and expose early failures. Their short budgets do not establish final model performance. Fixed-validation scores are the weighted normalized objective and are not interchangeable with physical acceleration errors.</w:t>
      </w:r>
    </w:p>
    <w:tbl>
      <w:tblPr>
        <w:tblW w:type="auto" w:w="0"/>
        <w:jc w:val="center"/>
        <w:tblLayout w:type="fixed"/>
        <w:tblLook w:firstColumn="1" w:firstRow="1" w:lastColumn="0" w:lastRow="0" w:noHBand="0" w:noVBand="1" w:val="04A0"/>
      </w:tblPr>
      <w:tblGrid>
        <w:gridCol w:w="2938"/>
        <w:gridCol w:w="922"/>
        <w:gridCol w:w="1555"/>
        <w:gridCol w:w="4464"/>
      </w:tblGrid>
      <w:tr>
        <w:trPr>
          <w:tblHeader/>
          <w:cantSplit/>
        </w:trPr>
        <w:tc>
          <w:tcPr>
            <w:tcW w:type="dxa" w:w="293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Run</w:t>
            </w:r>
          </w:p>
        </w:tc>
        <w:tc>
          <w:tcPr>
            <w:tcW w:type="dxa" w:w="92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Steps</w:t>
            </w:r>
          </w:p>
        </w:tc>
        <w:tc>
          <w:tcPr>
            <w:tcW w:type="dxa" w:w="155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Validation score</w:t>
            </w:r>
          </w:p>
        </w:tc>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Observed outcome</w:t>
            </w:r>
          </w:p>
        </w:tc>
      </w:tr>
      <w:tr>
        <w:trPr>
          <w:cantSplit/>
        </w:trPr>
        <w:tc>
          <w:tcPr>
            <w:tcW w:type="dxa" w:w="293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Faithful source control</w:t>
            </w:r>
          </w:p>
        </w:tc>
        <w:tc>
          <w:tcPr>
            <w:tcW w:type="dxa" w:w="92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1,000</w:t>
            </w:r>
          </w:p>
        </w:tc>
        <w:tc>
          <w:tcPr>
            <w:tcW w:type="dxa" w:w="155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0.419521</w:t>
            </w:r>
          </w:p>
        </w:tc>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Finite; reproduction not established</w:t>
            </w:r>
          </w:p>
        </w:tc>
      </w:tr>
      <w:tr>
        <w:trPr>
          <w:cantSplit/>
        </w:trPr>
        <w:tc>
          <w:tcPr>
            <w:tcW w:type="dxa" w:w="293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Integer Adam source diagnostic</w:t>
            </w:r>
          </w:p>
        </w:tc>
        <w:tc>
          <w:tcPr>
            <w:tcW w:type="dxa" w:w="92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1,000</w:t>
            </w:r>
          </w:p>
        </w:tc>
        <w:tc>
          <w:tcPr>
            <w:tcW w:type="dxa" w:w="155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0.423877</w:t>
            </w:r>
          </w:p>
        </w:tc>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About 1% higher score at this budget</w:t>
            </w:r>
          </w:p>
        </w:tc>
      </w:tr>
      <w:tr>
        <w:trPr>
          <w:cantSplit/>
        </w:trPr>
        <w:tc>
          <w:tcPr>
            <w:tcW w:type="dxa" w:w="293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spacecraft LNN</w:t>
            </w:r>
          </w:p>
        </w:tc>
        <w:tc>
          <w:tcPr>
            <w:tcW w:type="dxa" w:w="92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1,000</w:t>
            </w:r>
          </w:p>
        </w:tc>
        <w:tc>
          <w:tcPr>
            <w:tcW w:type="dxa" w:w="155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0.815989</w:t>
            </w:r>
          </w:p>
        </w:tc>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Accuracy targets failed; five rollout failures</w:t>
            </w:r>
          </w:p>
        </w:tc>
      </w:tr>
      <w:tr>
        <w:trPr>
          <w:cantSplit/>
        </w:trPr>
        <w:tc>
          <w:tcPr>
            <w:tcW w:type="dxa" w:w="293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Balanced coupled profile</w:t>
            </w:r>
          </w:p>
        </w:tc>
        <w:tc>
          <w:tcPr>
            <w:tcW w:type="dxa" w:w="92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5</w:t>
            </w:r>
          </w:p>
        </w:tc>
        <w:tc>
          <w:tcPr>
            <w:tcW w:type="dxa" w:w="155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Not evaluated</w:t>
            </w:r>
          </w:p>
        </w:tc>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Finite runtime profile only</w:t>
            </w:r>
          </w:p>
        </w:tc>
      </w:tr>
    </w:tbl>
    <w:p>
      <w:pPr>
        <w:spacing w:after="0"/>
      </w:pPr>
    </w:p>
    <w:p>
      <w:pPr>
        <w:pStyle w:val="Heading2"/>
      </w:pPr>
      <w:r>
        <w:t>Incomplete smoke acceleration error</w:t>
      </w:r>
    </w:p>
    <w:tbl>
      <w:tblPr>
        <w:tblW w:type="auto" w:w="0"/>
        <w:jc w:val="center"/>
        <w:tblLayout w:type="fixed"/>
        <w:tblLook w:firstColumn="1" w:firstRow="1" w:lastColumn="0" w:lastRow="0" w:noHBand="0" w:noVBand="1" w:val="04A0"/>
      </w:tblPr>
      <w:tblGrid>
        <w:gridCol w:w="2261"/>
        <w:gridCol w:w="1224"/>
        <w:gridCol w:w="2621"/>
        <w:gridCol w:w="3773"/>
      </w:tblGrid>
      <w:tr>
        <w:trPr>
          <w:tblHeader/>
          <w:cantSplit/>
        </w:trPr>
        <w:tc>
          <w:tcPr>
            <w:tcW w:type="dxa" w:w="226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Speed band</w:t>
            </w:r>
          </w:p>
        </w:tc>
        <w:tc>
          <w:tcPr>
            <w:tcW w:type="dxa" w:w="12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States</w:t>
            </w:r>
          </w:p>
        </w:tc>
        <w:tc>
          <w:tcPr>
            <w:tcW w:type="dxa" w:w="262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Normalized MAE</w:t>
            </w:r>
          </w:p>
        </w:tc>
        <w:tc>
          <w:tcPr>
            <w:tcW w:type="dxa" w:w="377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Physical MAE</w:t>
            </w:r>
          </w:p>
        </w:tc>
      </w:tr>
      <w:tr>
        <w:trPr>
          <w:cantSplit/>
        </w:trPr>
        <w:tc>
          <w:tcPr>
            <w:tcW w:type="dxa" w:w="226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0–0.7c</w:t>
            </w:r>
          </w:p>
        </w:tc>
        <w:tc>
          <w:tcPr>
            <w:tcW w:type="dxa" w:w="12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2,500</w:t>
            </w:r>
          </w:p>
        </w:tc>
        <w:tc>
          <w:tcPr>
            <w:tcW w:type="dxa" w:w="262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6.19856</w:t>
            </w:r>
          </w:p>
        </w:tc>
        <w:tc>
          <w:tcPr>
            <w:tcW w:type="dxa" w:w="377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92.9784 m/s²</w:t>
            </w:r>
          </w:p>
        </w:tc>
      </w:tr>
      <w:tr>
        <w:trPr>
          <w:cantSplit/>
        </w:trPr>
        <w:tc>
          <w:tcPr>
            <w:tcW w:type="dxa" w:w="226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0.7–0.9c</w:t>
            </w:r>
          </w:p>
        </w:tc>
        <w:tc>
          <w:tcPr>
            <w:tcW w:type="dxa" w:w="12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2,500</w:t>
            </w:r>
          </w:p>
        </w:tc>
        <w:tc>
          <w:tcPr>
            <w:tcW w:type="dxa" w:w="262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1.77422</w:t>
            </w:r>
          </w:p>
        </w:tc>
        <w:tc>
          <w:tcPr>
            <w:tcW w:type="dxa" w:w="377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26.6134 m/s²</w:t>
            </w:r>
          </w:p>
        </w:tc>
      </w:tr>
      <w:tr>
        <w:trPr>
          <w:cantSplit/>
        </w:trPr>
        <w:tc>
          <w:tcPr>
            <w:tcW w:type="dxa" w:w="226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0.9–0.99c</w:t>
            </w:r>
          </w:p>
        </w:tc>
        <w:tc>
          <w:tcPr>
            <w:tcW w:type="dxa" w:w="12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2,500</w:t>
            </w:r>
          </w:p>
        </w:tc>
        <w:tc>
          <w:tcPr>
            <w:tcW w:type="dxa" w:w="262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0.305287</w:t>
            </w:r>
          </w:p>
        </w:tc>
        <w:tc>
          <w:tcPr>
            <w:tcW w:type="dxa" w:w="377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4.57931 m/s²</w:t>
            </w:r>
          </w:p>
        </w:tc>
      </w:tr>
      <w:tr>
        <w:trPr>
          <w:cantSplit/>
        </w:trPr>
        <w:tc>
          <w:tcPr>
            <w:tcW w:type="dxa" w:w="226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0.99–0.99999c</w:t>
            </w:r>
          </w:p>
        </w:tc>
        <w:tc>
          <w:tcPr>
            <w:tcW w:type="dxa" w:w="12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2,500</w:t>
            </w:r>
          </w:p>
        </w:tc>
        <w:tc>
          <w:tcPr>
            <w:tcW w:type="dxa" w:w="262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0.0215087</w:t>
            </w:r>
          </w:p>
        </w:tc>
        <w:tc>
          <w:tcPr>
            <w:tcW w:type="dxa" w:w="377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0.322630 m/s²</w:t>
            </w:r>
          </w:p>
        </w:tc>
      </w:tr>
    </w:tbl>
    <w:p>
      <w:pPr>
        <w:spacing w:after="0"/>
      </w:pPr>
    </w:p>
    <w:p>
      <w:r>
        <w:t>Every incomplete acceleration band fails the 1% target. Five of the 41 incomplete rollout cases fail numerically or enter an invalid state and are retained in the evaluation record. In one finite held-out case, the learned work residual is about 1.08 × 10⁻¹² while the true energy–work residual is 0.3865. This demonstrates why learned conservation alone cannot certify the physical law.</w:t>
      </w:r>
    </w:p>
    <w:p>
      <w:r>
        <w:t>The source smoke has no failed integrations among its 40 held-out cases and notebook seed-4 case, but its notebook-case speed MAE is 0.21245c and overall acceptance fails. Finite integration is therefore not evidence of source reproduction. The corrected optimizer diagnostic has only a smoke budget; no full-budget optimizer comparison has completed.</w:t>
      </w:r>
    </w:p>
    <w:p>
      <w:pPr>
        <w:pStyle w:val="Heading2"/>
      </w:pPr>
      <w:r>
        <w:t>Source control at the report cutoff</w:t>
      </w:r>
    </w:p>
    <w:p>
      <w:r>
        <w:t>At 17:33 Phoenix time, 42,400 updates were recorded out of 300,000. The most recent completed validation was at 42,000 with score 0.431438; the best recorded validation was 0.358579 at 19,000. No final rollout evaluation has completed. The sampled Hessian probe at 42,000 had zero positive-definite fraction, reinforcing that intermediate losses cannot establish recovery of the intended physical curvature.</w:t>
      </w:r>
    </w:p>
    <w:p>
      <w:r>
        <w:t>CPU smoke timings project about 8.8 hours for one source run and 36.1 hours for one incomplete run. The five-update joint profile projects about 9.6 days per seed. These are update-time extrapolations, exclude substantial evaluation overhead and do not promise completion times.</w:t>
      </w:r>
    </w:p>
    <w:p>
      <w:r>
        <w:br w:type="page"/>
      </w:r>
    </w:p>
    <w:p>
      <w:pPr>
        <w:pStyle w:val="Heading1"/>
      </w:pPr>
      <w:r>
        <w:t>Acceptance criteria and remaining study</w:t>
      </w:r>
    </w:p>
    <w:p>
      <w:r>
        <w:t>The current coordinator completes the source control before launching the main spacecraft study. Its diagnostic gate requires the terminal fixed-validation weighted score below 0.5 and speed MAE below 0.05c for the notebook seed-4 rollout evaluated using the validation-selected checkpoint. These project gates are not published notebook tolerances and are less stringent than the scientific spacecraft targets.</w:t>
      </w:r>
    </w:p>
    <w:tbl>
      <w:tblPr>
        <w:tblW w:type="auto" w:w="0"/>
        <w:jc w:val="center"/>
        <w:tblLayout w:type="fixed"/>
        <w:tblLook w:firstColumn="1" w:firstRow="1" w:lastColumn="0" w:lastRow="0" w:noHBand="0" w:noVBand="1" w:val="04A0"/>
      </w:tblPr>
      <w:tblGrid>
        <w:gridCol w:w="3485"/>
        <w:gridCol w:w="6394"/>
      </w:tblGrid>
      <w:tr>
        <w:trPr>
          <w:tblHeade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Spacecraft metric</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Predeclared acceptance target</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Acceleration</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MAE divided by the fixed component scale below 1% for every component in every speed band</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Speed trajectory</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MAE below 0.001c; maximum error below 0.005c; no state at or above c</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True energy minus engine work</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Normalized maximum residual below 0.1%</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Habitat artificial gravity</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Error below 0.01g</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and extension trajectories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MAE below 1 degree; extension MAE below 1 cm</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Robustness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All five seeds meet applicable targets; failures remain in the denominator</w:t>
            </w:r>
          </w:p>
        </w:tc>
      </w:tr>
    </w:tbl>
    <w:p>
      <w:pPr>
        <w:spacing w:after="0"/>
      </w:pPr>
    </w:p>
    <w:p>
      <w:r>
        <w:t>Evaluation compares exact reference motion, neural motion and the matched baseline from common initial states and reporting times. Translation uses 40 independent rollout cases plus a mission case, with short and long horizons. The solver uses DOP853; reference tolerances are 10⁻¹¹ relative and 10⁻¹² absolute, spacecraft neural tolerances 10⁻⁹ and 10⁻¹¹, and source float32 tolerances 10⁻⁶ and 10⁻⁷. A limit of 10,000 right-hand-side calls prevents a failed rollout from running indefinitely.</w:t>
      </w:r>
    </w:p>
    <w:p>
      <w:r>
        <w:t>The first nonfinite, invalid or superluminal state stops a case and is reported as a failure with its reason and time. Successful traces do not replace failed cases. Coupled stiff or multirate rollout validation and a suitable physical reference remain outstanding.</w:t>
      </w:r>
    </w:p>
    <w:p>
      <w:pPr>
        <w:pStyle w:val="Heading2"/>
      </w:pPr>
      <w:r>
        <w:t>Work still required</w:t>
      </w:r>
    </w:p>
    <w:p>
      <w:r>
        <w:t>If the source gate passes, the queued sequence contains a 1,000-update joint benchmark smoke, five incomplete LNN runs, five matched direct acceleration runs and five low-speed-only incomplete runs. Each main run has the full 300,000-update budget. A recorded main-seed numerical failure does not silently remove that seed.</w:t>
      </w:r>
    </w:p>
    <w:p>
      <w:r>
        <w:t>The physical coupled action audit must be resolved before its five long runs, matched baselines, extrapolation and mission rollouts. The axial interaction ladder from relativistic translation through stellar gravity and radiation to electric coupling also remains to be executed. Paired interaction measurements must expose effects below numerical resolution rather than inflate nominal electromagnetic parameters.</w:t>
      </w:r>
    </w:p>
    <w:p>
      <w:r>
        <w:t>The present conclusion is limited to reference validation, numerical conditioning and incomplete early training evidence. Accurate learned spacecraft motion, successful source reproduction and robust coupled high-speed behavior have not yet been demonstrated.</w:t>
      </w:r>
    </w:p>
    <w:p>
      <w:r>
        <w:br w:type="page"/>
      </w:r>
    </w:p>
    <w:p>
      <w:pPr>
        <w:pStyle w:val="Heading1"/>
      </w:pPr>
      <w:r>
        <w:t>Provenance and evidence records</w:t>
      </w:r>
    </w:p>
    <w:p>
      <w:r>
        <w:t>The study follows the local TRAINING_PLAN.md. The executable evidence is held under conservative_training, with current physics checks in audit_complete rather than the earlier development audits. Report observations are fixed at the stated cutoff; training progress continues separately.</w:t>
      </w:r>
    </w:p>
    <w:p>
      <w:pPr>
        <w:pStyle w:val="Heading2"/>
      </w:pPr>
      <w:r>
        <w:t>Archived source implementation</w:t>
      </w:r>
    </w:p>
    <w:p>
      <w:r>
        <w:t>Miles Cranmer and collaborators’ lagrangian_nns repository is pinned to commit 3b994720c87ebcb4b32a9bae5b09994567a79c2a. SpecialRelativity.ipynb, HyperparameterSearch.py and core.py are archived locally with provenance and code-cell order records. The port preserves the selected training behavior, while auxiliary validation, checkpointing and computational chunking are added.</w:t>
      </w:r>
    </w:p>
    <w:p>
      <w:hyperlink r:id="rId11">
        <w:r>
          <w:rPr>
            <w:color w:val="264F73"/>
          </w:rPr>
          <w:t>Pinned source repository</w:t>
        </w:r>
      </w:hyperlink>
    </w:p>
    <w:p>
      <w:hyperlink r:id="rId12">
        <w:r>
          <w:rPr>
            <w:color w:val="264F73"/>
          </w:rPr>
          <w:t>Pinned SpecialRelativity notebook</w:t>
        </w:r>
      </w:hyperlink>
    </w:p>
    <w:p>
      <w:r>
        <w:t>The current environment records Python 3.14.6, JAX 0.11.2 and CPU execution. Modern imports differ from the historical environment. The notebook’s later external checkpoint load and out-of-order execution history are excluded, so the result should not be described as byte-for-byte historical reproduction.</w:t>
      </w:r>
    </w:p>
    <w:p>
      <w:pPr>
        <w:pStyle w:val="Heading2"/>
      </w:pPr>
      <w:r>
        <w:t>Local evidence paths</w:t>
      </w:r>
    </w:p>
    <w:tbl>
      <w:tblPr>
        <w:tblW w:type="auto" w:w="0"/>
        <w:jc w:val="center"/>
        <w:tblLayout w:type="fixed"/>
        <w:tblLook w:firstColumn="1" w:firstRow="1" w:lastColumn="0" w:lastRow="0" w:noHBand="0" w:noVBand="1" w:val="04A0"/>
      </w:tblPr>
      <w:tblGrid>
        <w:gridCol w:w="3312"/>
        <w:gridCol w:w="6566"/>
      </w:tblGrid>
      <w:tr>
        <w:trPr>
          <w:tblHeade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Record</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Path beneath conservative_training</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Authoritative mechanics audit</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audit_complete/physics_audit.json</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Optimizer resume check</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resume_verification.json</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Source smoke evaluation</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runs/source_float32_smoke_seed0/</w:t>
              <w:br/>
              <w:t>smoke_evaluation_source_precision/metrics.json</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Incomplete smoke evaluation</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runs/incomplete_smoke_seed0/</w:t>
              <w:br/>
              <w:t>smoke_evaluation/metrics.json</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Current source progress and validation</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runs/source_full_seed0/progress.json</w:t>
              <w:br/>
              <w:t>runs/source_full_seed0/history.jsonl</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Execution status and frozen code</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jobs/status.json</w:t>
              <w:br/>
              <w:t>jobs/execution_code/conservative_training/</w:t>
            </w:r>
          </w:p>
        </w:tc>
      </w:tr>
      <w:tr>
        <w:trPr>
          <w:cantSplit/>
        </w:trPr>
        <w:tc>
          <w:tcPr>
            <w:tcW w:type="dxa" w:w="331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Source provenance</w:t>
            </w:r>
          </w:p>
        </w:tc>
        <w:tc>
          <w:tcPr>
            <w:tcW w:type="dxa" w:w="65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provenance/source_commit.json</w:t>
              <w:br/>
              <w:t>provenance/cell_order.json</w:t>
            </w:r>
          </w:p>
        </w:tc>
      </w:tr>
    </w:tbl>
    <w:p>
      <w:pPr>
        <w:spacing w:after="0"/>
      </w:pPr>
    </w:p>
    <w:p>
      <w:r>
        <w:t>Each run directory retains configuration, manifests, immutable validation data, checkpoints, Hessian diagnostics and runtime records. The running sequence uses a frozen copy of the execution code. Development failures remain archived and are not treated as successful experiments.</w:t>
      </w:r>
    </w:p>
    <w:p>
      <w:r>
        <w:t>Numerical tables in this report come from these local records. The astronomical, material and electromagnetic values define the adopted scenario; no claim about measured spacecraft hardware, certified cable capacity or a covariant flexible-body model follows from them.</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lesCranmer/lagrangian_nns/tree/3b994720c87ebcb4b32a9bae5b09994567a79c2a" TargetMode="External"/><Relationship Id="rId12" Type="http://schemas.openxmlformats.org/officeDocument/2006/relationships/hyperlink" Target="https://github.com/MilesCranmer/lagrangian_nns/blob/3b994720c87ebcb4b32a9bae5b09994567a79c2a/notebooks/SpecialRelativity.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 Spacecraft Lagrangian Neural Networks</dc:title>
  <dc:subject>Reference validation and training progress as of October 12 2026</dc:subject>
  <dc:creator>JunXi Wu</dc:creator>
  <cp:keywords/>
  <dc:description/>
  <cp:lastModifiedBy/>
  <cp:revision>1</cp:revision>
  <dcterms:created xsi:type="dcterms:W3CDTF">2013-12-23T23:15:00Z</dcterms:created>
  <dcterms:modified xsi:type="dcterms:W3CDTF">2013-12-23T23:15:00Z</dcterms:modified>
  <cp:category/>
</cp:coreProperties>
</file>