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EA344" w14:textId="77F32455" w:rsidR="007911E7" w:rsidRPr="00B22CD4" w:rsidRDefault="007911E7" w:rsidP="00B22CD4">
      <w:pPr>
        <w:spacing w:beforeLines="50" w:before="211" w:afterLines="100" w:after="423"/>
        <w:ind w:firstLineChars="0" w:firstLine="0"/>
        <w:jc w:val="center"/>
        <w:rPr>
          <w:rFonts w:ascii="SimSun" w:eastAsia="SimSun" w:hAnsi="SimSun"/>
          <w:b/>
          <w:sz w:val="32"/>
          <w:szCs w:val="32"/>
        </w:rPr>
      </w:pPr>
      <w:hyperlink r:id="rIdHyperlink" w:history="1">
        <w:r w:rsidRPr="00B22CD4">
          <w:rPr>
            <w:rFonts w:ascii="SimSun" w:eastAsia="SimSun" w:hAnsi="SimSun" w:hint="eastAsia"/>
            <w:b/>
            <w:sz w:val="32"/>
            <w:szCs w:val="32"/>
          </w:rPr>
          <w:t>国务院办公厅关于印发新能源汽车产业发展规划（2021—2035年）的通知</w:t>
        </w:r>
      </w:hyperlink>
    </w:p>
    <w:p w14:paraId="1CE78CBD" w14:textId="77777777" w:rsidR="00E07A1C" w:rsidRPr="00C468EA" w:rsidRDefault="00E07A1C" w:rsidP="00C468EA">
      <w:pPr>
        <w:pStyle w:val="afa"/>
        <w:spacing w:before="105"/>
        <w:ind w:firstLine="420"/>
      </w:pPr>
      <w:r w:rsidRPr="00C468EA">
        <w:rPr>
          <w:rStyle w:val="sect2title1"/>
          <w:rFonts w:ascii="SimSun" w:eastAsia="SimSun" w:hAnsi="SimSun"/>
        </w:rPr>
        <w:t xml:space="preserve">时效性：  </w:t>
      </w:r>
      <w:r w:rsidR="00983AF9" w:rsidRPr="00C468EA">
        <w:rPr>
          <w:rStyle w:val="sect2title1"/>
          <w:b w:val="0"/>
        </w:rPr>
        <w:t xml:space="preserve">  </w:t>
      </w:r>
      <w:r w:rsidR="00983AF9" w:rsidRPr="00C468EA">
        <w:rPr>
          <w:rFonts w:ascii="SimSun" w:eastAsia="SimSun" w:hAnsi="SimSun"/>
        </w:rPr>
        <w:t>现行有效</w:t>
      </w:r>
    </w:p>
    <w:p w14:paraId="628E1286" w14:textId="77777777" w:rsidR="00E07A1C" w:rsidRPr="00C468EA" w:rsidRDefault="00E07A1C" w:rsidP="00C468EA">
      <w:pPr>
        <w:pStyle w:val="afa"/>
        <w:spacing w:before="105"/>
        <w:ind w:firstLine="420"/>
      </w:pPr>
      <w:r w:rsidRPr="00C468EA">
        <w:rPr>
          <w:rStyle w:val="sect2title1"/>
          <w:rFonts w:ascii="SimSun" w:eastAsia="SimSun" w:hAnsi="SimSun"/>
        </w:rPr>
        <w:t>发文机关：</w:t>
      </w:r>
      <w:r w:rsidR="00983AF9" w:rsidRPr="00C468EA">
        <w:rPr>
          <w:rStyle w:val="sect2title1"/>
          <w:b w:val="0"/>
        </w:rPr>
        <w:t xml:space="preserve">  </w:t>
      </w:r>
      <w:r w:rsidR="00EE2355" w:rsidRPr="00C468EA">
        <w:rPr>
          <w:rFonts w:ascii="SimSun" w:eastAsia="SimSun" w:hAnsi="SimSun"/>
        </w:rPr>
        <w:t>国务院办公厅</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文号：    </w:t>
      </w:r>
      <w:r w:rsidR="00983AF9" w:rsidRPr="00C468EA">
        <w:rPr>
          <w:rStyle w:val="sect2title1"/>
          <w:b w:val="0"/>
        </w:rPr>
        <w:t xml:space="preserve">  </w:t>
      </w:r>
      <w:r w:rsidR="00EE2355" w:rsidRPr="00C468EA">
        <w:rPr>
          <w:rFonts w:ascii="SimSun" w:eastAsia="SimSun" w:hAnsi="SimSun"/>
        </w:rPr>
        <w:t>国办发〔2020〕39号</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发文日期：</w:t>
      </w:r>
      <w:r w:rsidR="00983AF9" w:rsidRPr="00C468EA">
        <w:rPr>
          <w:rStyle w:val="sect2title1"/>
          <w:b w:val="0"/>
        </w:rPr>
        <w:t xml:space="preserve">  </w:t>
      </w:r>
      <w:r w:rsidR="00EE2355" w:rsidRPr="00C468EA">
        <w:rPr>
          <w:rFonts w:ascii="SimSun" w:eastAsia="SimSun" w:hAnsi="SimSun"/>
        </w:rPr>
        <w:t>2020年10月20日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施行日期：</w:t>
      </w:r>
      <w:r w:rsidR="00983AF9" w:rsidRPr="00C468EA">
        <w:rPr>
          <w:rStyle w:val="sect2title1"/>
          <w:b w:val="0"/>
        </w:rPr>
        <w:t xml:space="preserve">  </w:t>
      </w:r>
      <w:r w:rsidR="00EE2355" w:rsidRPr="00C468EA">
        <w:rPr>
          <w:rFonts w:ascii="SimSun" w:eastAsia="SimSun" w:hAnsi="SimSun"/>
        </w:rPr>
        <w:t>2020年10月20日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效力级别：</w:t>
      </w:r>
      <w:r w:rsidR="00983AF9" w:rsidRPr="00C468EA">
        <w:rPr>
          <w:rStyle w:val="sect2title1"/>
          <w:b w:val="0"/>
        </w:rPr>
        <w:t xml:space="preserve">  </w:t>
      </w:r>
      <w:r w:rsidR="00EE2355" w:rsidRPr="00C468EA">
        <w:rPr>
          <w:rFonts w:ascii="SimSun" w:eastAsia="SimSun" w:hAnsi="SimSun"/>
        </w:rPr>
        <w:t>国务院规范性文件</w:t>
      </w:r>
    </w:p>
    <!-- 目录 -->
    <!-- 一行回车 -->
    <w:p w14:paraId="17D9BCF4" w14:textId="77777777" w:rsidR="00AD59E4" w:rsidRPr="00D05BC5" w:rsidRDefault="00AD59E4">
      <w:pPr>
        <w:spacing w:beforeLines="50" w:before="211" w:afterLines="50" w:after="211"/>
        <w:rPr>
          <w:rFonts w:ascii="SimSun" w:eastAsia="SimSun" w:hAnsi="SimSun"/>
          <w:color w:val="000000"/>
          <w:kern w:val="0"/>
          <w:sz w:val="28"/>
        </w:rPr>
      </w:pPr>
    </w:p>
    <!-- 正文 -->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各省、自治区、直辖市人民政府，国务院各部委、各直属机构：</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《新能源汽车产业发展规划（2021—2035年）》已经国务院同意，现印发给你们，请认真贯彻执行。</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国务院办公厅</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2020年10月20日</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新能源汽车产业发展规划（2021—2035年）</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发展新能源汽车是我国从汽车大国迈向汽车强国的必由之路，是应对气候变化、推动绿色发展的战略举措。2012年国务院发布《节能与新能源汽车产业发展规划（2012—2020年）》以来，我国坚持纯电驱动战略取向，新能源汽车产业发展取得了巨大成就，成为世界汽车产业发展转型的重要力量之一。与此同时，我国新能源汽车发展也面临核心技术创新能力不强、质量保障体系有待完善、基础设施建设仍显滞后、产业生态尚不健全、市场竞争日益加剧等问题。为推动新能源汽车产业高质量发展，加快建设汽车强国，制定本规划。</w:t>
      </w:r>
    </w:p>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6BB33E56069CA482D622B8A786EF3E8C" w:name="_Toc6BB33E56069CA482D622B8A786EF3E8C"/>
      <w:r w:rsidRPr="009F15D3">
        <w:t>第一章　发展趋势</w:t>
      </w:r>
      <w:bookmarkEnd w:id="_Toc6BB33E56069CA482D622B8A786EF3E8C"/>
    </w:p>
    <!--正文-节-->
    <!--正文-条-->
    <!--正文-款-->
    <!--正文-更深层级-->
    <!--正文-内容-->
    <!--正文-编-->
    <!--正文-章-->
    <!--正文-节-->
    <w:p w14:paraId="6481765D" w14:textId="30172502" w:rsidR="003C10FA" w:rsidRPr="009F15D3" w:rsidRDefault="003C10FA" w:rsidP="009F15D3">
      <w:pPr>
        <w:pStyle w:val="2"/>
        <w:spacing w:beforeLines="50" w:before="211" w:afterLines="25" w:after="105"/>
      </w:pPr>
      <w:bookmarkStart w:id="_TocFD658AEEAA170BC9E2205B13A0CC6816" w:name="_TocFD658AEEAA170BC9E2205B13A0CC6816"/>
      <w:r w:rsidRPr="009F15D3">
        <w:rPr>
          <w:rStyle w:val="title1"/>
          <w:rFonts w:ascii="SimSun" w:eastAsia="SimSun" w:hAnsi="SimSun"/>
          <w:szCs w:val="32"/>
        </w:rPr>
        <w:t>第一节　新能源汽车为世界经济发展注入新动能</w:t>
      </w:r>
      <w:bookmarkEnd w:id="_TocFD658AEEAA170BC9E2205B13A0CC6816"/>
    </w:p>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当前，全球新一轮科技革命和产业变革蓬勃发展，汽车与能源、交通、信息通信等领域有关技术加速融合，电动化、网联化、智能化成为汽车产业的发展潮流和趋势。新能源汽车融汇新能源、新材料和互联网、大数据、人工智能等多种变革性技术，推动汽车从单纯交通工具向移动智能终端、储能单元和数字空间转变，带动能源、交通、信息通信基础设施改造升级，促进能源消费结构优化、交通体系和城市运行智能化水平提升，对建设清洁美丽世界、构建人类命运共同体具有重要意义。近年来，世界主要汽车大国纷纷加强战略谋划、强化政策支持，跨国汽车企业加大研发投入、完善产业布局，新能源汽车已成为全球汽车产业转型发展的主要方向和促进世界经济持续增长的重要引擎。</w:t>
      </w:r>
    </w:p>
    <!--正文-编-->
    <!--正文-章-->
    <!--正文-节-->
    <!--正文-条-->
    <!--正文-款-->
    <!--正文-更深层级-->
    <!--正文-内容-->
    <!--正文-编-->
    <!--正文-章-->
    <!--正文-节-->
    <w:p w14:paraId="6481765D" w14:textId="30172502" w:rsidR="003C10FA" w:rsidRPr="009F15D3" w:rsidRDefault="003C10FA" w:rsidP="009F15D3">
      <w:pPr>
        <w:pStyle w:val="2"/>
        <w:spacing w:beforeLines="50" w:before="211" w:afterLines="25" w:after="105"/>
      </w:pPr>
      <w:bookmarkStart w:id="_Toc37DAD63F4DACF56F8095C37A3C62093A" w:name="_Toc37DAD63F4DACF56F8095C37A3C62093A"/>
      <w:r w:rsidRPr="009F15D3">
        <w:rPr>
          <w:rStyle w:val="title1"/>
          <w:rFonts w:ascii="SimSun" w:eastAsia="SimSun" w:hAnsi="SimSun"/>
          <w:szCs w:val="32"/>
        </w:rPr>
        <w:t>第二节　我国新能源汽车进入加速发展新阶段</w:t>
      </w:r>
      <w:bookmarkEnd w:id="_Toc37DAD63F4DACF56F8095C37A3C62093A"/>
    </w:p>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汽车产品形态、交通出行模式、能源消费结构和社会运行方式正在发生深刻变革，为新能源汽车产业提供了前所未有的发展机遇。经过多年持续努力，我国新能源汽车产业技术水平显著提升、产业体系日趋完善、企业竞争力大幅增强，2015年以来产销量、保有量连续五年居世界首位，产业进入叠加交汇、融合发展新阶段。必须抢抓战略机遇，巩固良好势头，充分发挥基础设施、信息通信等领域优势，不断提升产业核心竞争力，推动新能源汽车产业高质量可持续发展。</w:t>
      </w:r>
    </w:p>
    <!--正文-编-->
    <!--正文-章-->
    <!--正文-节-->
    <!--正文-条-->
    <!--正文-款-->
    <!--正文-更深层级-->
    <!--正文-内容-->
    <!--正文-编-->
    <!--正文-章-->
    <!--正文-节-->
    <w:p w14:paraId="6481765D" w14:textId="30172502" w:rsidR="003C10FA" w:rsidRPr="009F15D3" w:rsidRDefault="003C10FA" w:rsidP="009F15D3">
      <w:pPr>
        <w:pStyle w:val="2"/>
        <w:spacing w:beforeLines="50" w:before="211" w:afterLines="25" w:after="105"/>
      </w:pPr>
      <w:bookmarkStart w:id="_Toc9AC4713737FDA3737C4F130580F57535" w:name="_Toc9AC4713737FDA3737C4F130580F57535"/>
      <w:r w:rsidRPr="009F15D3">
        <w:rPr>
          <w:rStyle w:val="title1"/>
          <w:rFonts w:ascii="SimSun" w:eastAsia="SimSun" w:hAnsi="SimSun"/>
          <w:szCs w:val="32"/>
        </w:rPr>
        <w:t>第三节　融合开放成为新能源汽车发展的新特征</w:t>
      </w:r>
      <w:bookmarkEnd w:id="_Toc9AC4713737FDA3737C4F130580F57535"/>
    </w:p>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随着汽车动力来源、生产运行方式、消费使用模式全面变革，新能源汽车产业生态正由零部件、整车研发生产及营销服务企业之间的“链式关系”，逐步演变成汽车、能源、交通、信息通信等多领域多主体参与的“网状生态”。相互赋能、协同发展成为各类市场主体发展壮大的内在需求，跨行业、跨领域融合创新和更加开放包容的国际合作成为新能源汽车产业发展的时代特征，极大地增强了产业发展动力，激发了市场活力，推动形成互融共生、合作共赢的产业发展新格局。</w:t>
      </w:r>
    </w:p>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7416CA4DA8F1620D9BBCFF90A2B6E810" w:name="_Toc7416CA4DA8F1620D9BBCFF90A2B6E810"/>
      <w:r w:rsidRPr="009F15D3">
        <w:t>第二章　总体部署</w:t>
      </w:r>
      <w:bookmarkEnd w:id="_Toc7416CA4DA8F1620D9BBCFF90A2B6E810"/>
    </w:p>
    <!--正文-节-->
    <!--正文-条-->
    <!--正文-款-->
    <!--正文-更深层级-->
    <!--正文-内容-->
    <!--正文-编-->
    <!--正文-章-->
    <!--正文-节-->
    <w:p w14:paraId="6481765D" w14:textId="30172502" w:rsidR="003C10FA" w:rsidRPr="009F15D3" w:rsidRDefault="003C10FA" w:rsidP="009F15D3">
      <w:pPr>
        <w:pStyle w:val="2"/>
        <w:spacing w:beforeLines="50" w:before="211" w:afterLines="25" w:after="105"/>
      </w:pPr>
      <w:bookmarkStart w:id="_Toc6E522198AE118CBE13C6D0E354604E59" w:name="_Toc6E522198AE118CBE13C6D0E354604E59"/>
      <w:r w:rsidRPr="009F15D3">
        <w:rPr>
          <w:rStyle w:val="title1"/>
          <w:rFonts w:ascii="SimSun" w:eastAsia="SimSun" w:hAnsi="SimSun"/>
          <w:szCs w:val="32"/>
        </w:rPr>
        <w:t>第一节　总体思路</w:t>
      </w:r>
      <w:bookmarkEnd w:id="_Toc6E522198AE118CBE13C6D0E354604E59"/>
    </w:p>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以习近平新时代中国特色社会主义思想为指引，坚持创新、协调、绿色、开放、共享的发展理念，以深化供给侧结构性改革为主线，坚持电动化、网联化、智能化发展方向，深入实施发展新能源汽车国家战略，以融合创新为重点，突破关键核心技术，提升产业基础能力，构建新型产业生态，完善基础设施体系，优化产业发展环境，推动我国新能源汽车产业高质量可持续发展，加快建设汽车强国。</w:t>
      </w:r>
    </w:p>
    <!--正文-编-->
    <!--正文-章-->
    <!--正文-节-->
    <!--正文-条-->
    <!--正文-款-->
    <!--正文-更深层级-->
    <!--正文-内容-->
    <!--正文-编-->
    <!--正文-章-->
    <!--正文-节-->
    <w:p w14:paraId="6481765D" w14:textId="30172502" w:rsidR="003C10FA" w:rsidRPr="009F15D3" w:rsidRDefault="003C10FA" w:rsidP="009F15D3">
      <w:pPr>
        <w:pStyle w:val="2"/>
        <w:spacing w:beforeLines="50" w:before="211" w:afterLines="25" w:after="105"/>
      </w:pPr>
      <w:bookmarkStart w:id="_Toc5263139E3FDB1390F4BC10D0E3A9376C" w:name="_Toc5263139E3FDB1390F4BC10D0E3A9376C"/>
      <w:r w:rsidRPr="009F15D3">
        <w:rPr>
          <w:rStyle w:val="title1"/>
          <w:rFonts w:ascii="SimSun" w:eastAsia="SimSun" w:hAnsi="SimSun"/>
          <w:szCs w:val="32"/>
        </w:rPr>
        <w:t>第二节　基本原则</w:t>
      </w:r>
      <w:bookmarkEnd w:id="_Toc5263139E3FDB1390F4BC10D0E3A9376C"/>
    </w:p>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市场主导。充分发挥市场在资源配置中的决定性作用，强化企业在技术路线选择、生产服务体系建设等方面的主体地位；更好发挥政府在战略规划引导、标准法规制定、质量安全监管、市场秩序维护、绿色消费引导等方面作用，为产业发展营造良好环境。</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创新驱动。深入实施创新驱动发展战略，建立以企业为主体、市场为导向、产学研用协同的技术创新体系，完善激励和保护创新的制度环境，鼓励多种技术路线并行发展，支持各类主体合力攻克关键核心技术、加大商业模式创新力度，形成新型产业创新生态。</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协调推进。完善横向协同、纵向贯通的协调推进机制，促进新能源汽车与能源、交通、信息通信深度融合，统筹推进技术研发、标准制定、推广应用和基础设施建设，把超大规模市场优势转化为产业优势。</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开放发展。践行开放融通、互利共赢的合作观，扩大高水平对外开放，以开放促改革、促发展、促创新；坚持“引进来”与“走出去”相结合，加强国际合作，积极参与国际竞争，培育新能源汽车产业新优势，深度融入全球产业链和价值链体系。</w:t>
      </w:r>
    </w:p>
    <!--正文-编-->
    <!--正文-章-->
    <!--正文-节-->
    <!--正文-条-->
    <!--正文-款-->
    <!--正文-更深层级-->
    <!--正文-内容-->
    <!--正文-编-->
    <!--正文-章-->
    <!--正文-节-->
    <w:p w14:paraId="6481765D" w14:textId="30172502" w:rsidR="003C10FA" w:rsidRPr="009F15D3" w:rsidRDefault="003C10FA" w:rsidP="009F15D3">
      <w:pPr>
        <w:pStyle w:val="2"/>
        <w:spacing w:beforeLines="50" w:before="211" w:afterLines="25" w:after="105"/>
      </w:pPr>
      <w:bookmarkStart w:id="_TocFD485572443F31BB03733CC8C2536515" w:name="_TocFD485572443F31BB03733CC8C2536515"/>
      <w:r w:rsidRPr="009F15D3">
        <w:rPr>
          <w:rStyle w:val="title1"/>
          <w:rFonts w:ascii="SimSun" w:eastAsia="SimSun" w:hAnsi="SimSun"/>
          <w:szCs w:val="32"/>
        </w:rPr>
        <w:t>第三节　发展愿景</w:t>
      </w:r>
      <w:bookmarkEnd w:id="_TocFD485572443F31BB03733CC8C2536515"/>
    </w:p>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到2025年，我国新能源汽车市场竞争力明显增强，动力电池、驱动电机、车用操作系统等关键技术取得重大突破，安全水平全面提升。纯电动乘用车新车平均电耗降至12.0千瓦时/百公里，新能源汽车新车销售量达到汽车新车销售总量的20%左右，高度自动驾驶汽车实现限定区域和特定场景商业化应用，充换电服务便利性显著提高。</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力争经过15年的持续努力，我国新能源汽车核心技术达到国际先进水平，质量品牌具备较强国际竞争力。纯电动汽车成为新销售车辆的主流，公共领域用车全面电动化，燃料电池汽车实现商业化应用，高度自动驾驶汽车实现规模化应用，充换电服务网络便捷高效，氢燃料供给体系建设稳步推进，有效促进节能减排水平和社会运行效率的提升。</w:t>
      </w:r>
    </w:p>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D72240887137E55D43543DDBFAEF03A6" w:name="_TocD72240887137E55D43543DDBFAEF03A6"/>
      <w:r w:rsidRPr="009F15D3">
        <w:t>第三章　提高技术创新能力</w:t>
      </w:r>
      <w:bookmarkEnd w:id="_TocD72240887137E55D43543DDBFAEF03A6"/>
    </w:p>
    <!--正文-节-->
    <!--正文-条-->
    <!--正文-款-->
    <!--正文-更深层级-->
    <!--正文-内容-->
    <!--正文-编-->
    <!--正文-章-->
    <!--正文-节-->
    <w:p w14:paraId="6481765D" w14:textId="30172502" w:rsidR="003C10FA" w:rsidRPr="009F15D3" w:rsidRDefault="003C10FA" w:rsidP="009F15D3">
      <w:pPr>
        <w:pStyle w:val="2"/>
        <w:spacing w:beforeLines="50" w:before="211" w:afterLines="25" w:after="105"/>
      </w:pPr>
      <w:bookmarkStart w:id="_Toc924785C87E335A8BA586CC1D6F39D11B" w:name="_Toc924785C87E335A8BA586CC1D6F39D11B"/>
      <w:r w:rsidRPr="009F15D3">
        <w:rPr>
          <w:rStyle w:val="title1"/>
          <w:rFonts w:ascii="SimSun" w:eastAsia="SimSun" w:hAnsi="SimSun"/>
          <w:szCs w:val="32"/>
        </w:rPr>
        <w:t>第一节　深化“三纵三横”研发布局</w:t>
      </w:r>
      <w:bookmarkEnd w:id="_Toc924785C87E335A8BA586CC1D6F39D11B"/>
    </w:p>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强化整车集成技术创新。以纯电动汽车、插电式混合动力（含增程式）汽车、燃料电池汽车为“三纵”，布局整车技术创新链。研发新一代模块化高性能整车平台，攻关纯电动汽车底盘一体化设计、多能源动力系统集成技术，突破整车智能能量管理控制、轻量化、低摩阻等共性节能技术，提升电池管理、充电连接、结构设计等安全技术水平，提高新能源汽车整车综合性能。</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提升产业基础能力。以动力电池与管理系统、驱动电机与电力电子、网联化与智能化技术为“三横”，构建关键零部件技术供给体系。开展先进模块化动力电池与燃料电池系统技术攻关，探索新一代车用电机驱动系统解决方案，加强智能网联汽车关键零部件及系统开发，突破计算和控制基础平台技术、氢燃料电池汽车应用支撑技术等瓶颈，提升基础关键技术、先进基础工艺、基础核心零部件、关键基础材料等研发能力。</w:t>
      </w:r>
    </w:p>
    <!--正文-编-->
    <!--正文-章-->
    <!--正文-节-->
    <!--正文-条-->
    <!--正文-款-->
    <!--正文-更深层级-->
    <w:tbl>
      <w:tblPr>
        <w:tblStyle w:val="af3"/>
        <w:tblW w:w="0" w:type="auto"/>
        <w:tblLook w:val="04A0" w:firstRow="1" w:lastRow="0" w:firstColumn="1" w:lastColumn="0" w:noHBand="0" w:noVBand="1"/>
      </w:tblPr>
      <w:tblGrid>
        <w:gridCol w:w="8290"/>
      </w:tblGrid>
      <w:tr w:rsidR="00DF7A1F" w14:paraId="3F081669" w14:textId="77777777" w:rsidTr="00DF7A1F">
        <w:tc>
          <w:tcPr>
            <w:tcW w:w="8290"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专栏1 新能源汽车核心技术攻关工程</w:t>
            </w:r>
          </w:p>
        </w:tc>
      </w:tr>
      <w:tr w:rsidR="00DF7A1F" w14:paraId="3F081669" w14:textId="77777777" w:rsidTr="00DF7A1F">
        <w:tc>
          <w:tcPr>
            <w:tcW w:w="8290"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实施电池技术突破行动。开展正负极材料、电解液、隔膜、膜电极等关键核心技术研究，加强高强度、轻量化、高安全、低成本、长寿命的动力电池和燃料电池系统短板技术攻关，加快固态动力电池技术研发及产业化。实施智能网联技术创新工程。以新能源汽车为智能网联技术率先应用的载体，支持企业跨界协同，研发复杂环境融合感知、智能网联决策与控制、信息物理系统架构设计等关键技术，突破车载智能计算平台、高精度地图与定位、车辆与车外其他设备间的无线通信（V2X）、线控执行系统等核心技术和产品。实施新能源汽车基础技术提升工程。突破车规级芯片、车用操作系统、新型电子电气架构、高效高密度驱动电机系统等关键技术和产品，攻克氢能储运、加氢站、车载储氢等氢燃料电池汽车应用支撑技术。支持基础元器件、关键生产装备、高端试验仪器、开发工具、高性能自动检测设备等基础共性技术研发创新，攻关新能源汽车智能制造海量异构数据组织分析、可重构柔性制造系统集成控制等关键技术，开展高性能铝镁合金、纤维增强复合材料、低成本稀土永磁材料等关键材料产业化应用。</w:t>
            </w:r>
          </w:p>
        </w:tc>
      </w:tr>
    </w:tbl>
    <!--正文-内容-->
    <!--正文-编-->
    <!--正文-章-->
    <!--正文-节-->
    <w:p w14:paraId="6481765D" w14:textId="30172502" w:rsidR="003C10FA" w:rsidRPr="009F15D3" w:rsidRDefault="003C10FA" w:rsidP="009F15D3">
      <w:pPr>
        <w:pStyle w:val="2"/>
        <w:spacing w:beforeLines="50" w:before="211" w:afterLines="25" w:after="105"/>
      </w:pPr>
      <w:bookmarkStart w:id="_TocED8DFA86329B1E4F756CD56BA5F3902A" w:name="_TocED8DFA86329B1E4F756CD56BA5F3902A"/>
      <w:r w:rsidRPr="009F15D3">
        <w:rPr>
          <w:rStyle w:val="title1"/>
          <w:rFonts w:ascii="SimSun" w:eastAsia="SimSun" w:hAnsi="SimSun"/>
          <w:szCs w:val="32"/>
        </w:rPr>
        <w:t>第二节　加快建设共性技术创新平台</w:t>
      </w:r>
      <w:bookmarkEnd w:id="_TocED8DFA86329B1E4F756CD56BA5F3902A"/>
    </w:p>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建立健全龙头企业、国家重点实验室、国家制造业创新中心联合研发攻关机制，聚焦核心工艺、专用材料、关键零部件、制造装备等短板弱项，从不同技术路径积极探索，提高关键共性技术供给能力。引导汽车、能源、交通、信息通信等跨领域合作，建立面向未来出行的新能源汽车与智慧能源、智能交通融合创新平台，联合攻关基础交叉关键技术，提升新能源汽车及关联产业融合创新能力。</w:t>
      </w:r>
    </w:p>
    <!--正文-编-->
    <!--正文-章-->
    <!--正文-节-->
    <!--正文-条-->
    <!--正文-款-->
    <!--正文-更深层级-->
    <!--正文-内容-->
    <!--正文-编-->
    <!--正文-章-->
    <!--正文-节-->
    <w:p w14:paraId="6481765D" w14:textId="30172502" w:rsidR="003C10FA" w:rsidRPr="009F15D3" w:rsidRDefault="003C10FA" w:rsidP="009F15D3">
      <w:pPr>
        <w:pStyle w:val="2"/>
        <w:spacing w:beforeLines="50" w:before="211" w:afterLines="25" w:after="105"/>
      </w:pPr>
      <w:bookmarkStart w:id="_Toc780A42970BE633BA7A702A94D8790BE7" w:name="_Toc780A42970BE633BA7A702A94D8790BE7"/>
      <w:r w:rsidRPr="009F15D3">
        <w:rPr>
          <w:rStyle w:val="title1"/>
          <w:rFonts w:ascii="SimSun" w:eastAsia="SimSun" w:hAnsi="SimSun"/>
          <w:szCs w:val="32"/>
        </w:rPr>
        <w:t>第三节　提升行业公共服务能力</w:t>
      </w:r>
      <w:bookmarkEnd w:id="_Toc780A42970BE633BA7A702A94D8790BE7"/>
    </w:p>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依托行业协会、创新中心等机构统筹推进各类创新服务平台共建共享，提高技术转移、信息服务、人才培训、项目融资、国际交流等公共服务支撑能力。应用虚拟现实、大数据、人工智能等技术，建立汽车电动化、网联化、智能化虚拟仿真和测试验证平台，提升整车、关键零部件的计量测试、性能评价与检测认证能力。</w:t>
      </w:r>
    </w:p>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3CF752A2928C40C531A4704DF60824DD" w:name="_Toc3CF752A2928C40C531A4704DF60824DD"/>
      <w:r w:rsidRPr="009F15D3">
        <w:t>第四章　构建新型产业生态</w:t>
      </w:r>
      <w:bookmarkEnd w:id="_Toc3CF752A2928C40C531A4704DF60824DD"/>
    </w:p>
    <!--正文-节-->
    <!--正文-条-->
    <!--正文-款-->
    <!--正文-更深层级-->
    <!--正文-内容-->
    <!--正文-编-->
    <!--正文-章-->
    <!--正文-节-->
    <w:p w14:paraId="6481765D" w14:textId="30172502" w:rsidR="003C10FA" w:rsidRPr="009F15D3" w:rsidRDefault="003C10FA" w:rsidP="009F15D3">
      <w:pPr>
        <w:pStyle w:val="2"/>
        <w:spacing w:beforeLines="50" w:before="211" w:afterLines="25" w:after="105"/>
      </w:pPr>
      <w:bookmarkStart w:id="_Toc64877A3F236A3A3677627B37BFA8B317" w:name="_Toc64877A3F236A3A3677627B37BFA8B317"/>
      <w:r w:rsidRPr="009F15D3">
        <w:rPr>
          <w:rStyle w:val="title1"/>
          <w:rFonts w:ascii="SimSun" w:eastAsia="SimSun" w:hAnsi="SimSun"/>
          <w:szCs w:val="32"/>
        </w:rPr>
        <w:t>第一节　支持生态主导型企业发展</w:t>
      </w:r>
      <w:bookmarkEnd w:id="_Toc64877A3F236A3A3677627B37BFA8B317"/>
    </w:p>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鼓励新能源汽车、能源、交通、信息通信等领域企业跨界协同，围绕多元化生产与多样化应用需求，通过开放合作和利益共享，打造涵盖解决方案、研发生产、使用保障、运营服务等产业链关键环节的生态主导型企业。在产业基础好、创新要素集聚的地区，发挥龙头企业带动作用，培育若干上下游协同创新、大中小企业融通发展、具有国际影响力和竞争力的新能源汽车产业集群，提升产业链现代化水平。</w:t>
      </w:r>
    </w:p>
    <!--正文-编-->
    <!--正文-章-->
    <!--正文-节-->
    <!--正文-条-->
    <!--正文-款-->
    <!--正文-更深层级-->
    <!--正文-内容-->
    <!--正文-编-->
    <!--正文-章-->
    <!--正文-节-->
    <w:p w14:paraId="6481765D" w14:textId="30172502" w:rsidR="003C10FA" w:rsidRPr="009F15D3" w:rsidRDefault="003C10FA" w:rsidP="009F15D3">
      <w:pPr>
        <w:pStyle w:val="2"/>
        <w:spacing w:beforeLines="50" w:before="211" w:afterLines="25" w:after="105"/>
      </w:pPr>
      <w:bookmarkStart w:id="_Toc9F6DE0E9D253738E7053A6331215913D" w:name="_Toc9F6DE0E9D253738E7053A6331215913D"/>
      <w:r w:rsidRPr="009F15D3">
        <w:rPr>
          <w:rStyle w:val="title1"/>
          <w:rFonts w:ascii="SimSun" w:eastAsia="SimSun" w:hAnsi="SimSun"/>
          <w:szCs w:val="32"/>
        </w:rPr>
        <w:t>第二节　促进关键系统创新应用</w:t>
      </w:r>
      <w:bookmarkEnd w:id="_Toc9F6DE0E9D253738E7053A6331215913D"/>
    </w:p>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加快车用操作系统开发应用。以整车企业需求为牵引，发挥龙头企业、国家制造业创新中心等创新平台作用，坚持软硬协同攻关，集中开发车用操作系统。围绕车用操作系统，构建整车、关键零部件、基础数据与软件等领域市场主体深度合作的开发与应用生态。通过产品快速迭代，扩大用户规模，加快车用操作系统产业化应用。</w:t>
      </w:r>
    </w:p>
    <!--正文-编-->
    <!--正文-章-->
    <!--正文-节-->
    <!--正文-条-->
    <!--正文-款-->
    <!--正文-更深层级-->
    <w:tbl>
      <w:tblPr>
        <w:tblStyle w:val="af3"/>
        <w:tblW w:w="0" w:type="auto"/>
        <w:tblLook w:val="04A0" w:firstRow="1" w:lastRow="0" w:firstColumn="1" w:lastColumn="0" w:noHBand="0" w:noVBand="1"/>
      </w:tblPr>
      <w:tblGrid>
        <w:gridCol w:w="8290"/>
      </w:tblGrid>
      <w:tr w:rsidR="00DF7A1F" w14:paraId="3F081669" w14:textId="77777777" w:rsidTr="00DF7A1F">
        <w:tc>
          <w:tcPr>
            <w:tcW w:w="8290"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专栏2 车用操作系统生态建设行动</w:t>
            </w:r>
          </w:p>
        </w:tc>
      </w:tr>
      <w:tr w:rsidR="00DF7A1F" w14:paraId="3F081669" w14:textId="77777777" w:rsidTr="00DF7A1F">
        <w:tc>
          <w:tcPr>
            <w:tcW w:w="8290"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适应新能源汽车智能化应用需求，鼓励整车及零部件、互联网、电子信息、通信等领域企业组成联盟，以车用操作系统开发与应用为核心，通过迭代升级，提升操作系统与应用程序的安全性、可靠性、便利性，扩大应用规模，形成开放共享、协同演进的良好生态。</w:t>
            </w:r>
          </w:p>
        </w:tc>
      </w:tr>
    </w:tbl>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推动动力电池全价值链发展。鼓励企业提高锂、镍、钴、铂等关键资源保障能力。建立健全动力电池模块化标准体系，加快突破关键制造装备，提高工艺水平和生产效率。完善动力电池回收、梯级利用和再资源化的循环利用体系，鼓励共建共用回收渠道。建立健全动力电池运输仓储、维修保养、安全检验、退役退出、回收利用等环节管理制度，加强全生命周期监管。</w:t>
      </w:r>
    </w:p>
    <!--正文-编-->
    <!--正文-章-->
    <!--正文-节-->
    <!--正文-条-->
    <!--正文-款-->
    <!--正文-更深层级-->
    <w:tbl>
      <w:tblPr>
        <w:tblStyle w:val="af3"/>
        <w:tblW w:w="0" w:type="auto"/>
        <w:tblLook w:val="04A0" w:firstRow="1" w:lastRow="0" w:firstColumn="1" w:lastColumn="0" w:noHBand="0" w:noVBand="1"/>
      </w:tblPr>
      <w:tblGrid>
        <w:gridCol w:w="8290"/>
      </w:tblGrid>
      <w:tr w:rsidR="00DF7A1F" w14:paraId="3F081669" w14:textId="77777777" w:rsidTr="00DF7A1F">
        <w:tc>
          <w:tcPr>
            <w:tcW w:w="8290"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专栏3 建设动力电池高效循环利用体系</w:t>
            </w:r>
          </w:p>
        </w:tc>
      </w:tr>
      <w:tr w:rsidR="00DF7A1F" w14:paraId="3F081669" w14:textId="77777777" w:rsidTr="00DF7A1F">
        <w:tc>
          <w:tcPr>
            <w:tcW w:w="8290"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立足新能源汽车可持续发展，落实生产者责任延伸制度，加强新能源汽车动力电池溯源管理平台建设，实现动力电池全生命周期可追溯。支持动力电池梯次产品在储能、备能、充换电等领域创新应用，加强余能检测、残值评估、重组利用、安全管理等技术研发。优化再生利用产业布局，推动报废动力电池有价元素高效提取，促进产业资源化、高值化、绿色化发展。</w:t>
            </w:r>
          </w:p>
        </w:tc>
      </w:tr>
    </w:tbl>
    <!--正文-内容-->
    <!--正文-编-->
    <!--正文-章-->
    <!--正文-节-->
    <w:p w14:paraId="6481765D" w14:textId="30172502" w:rsidR="003C10FA" w:rsidRPr="009F15D3" w:rsidRDefault="003C10FA" w:rsidP="009F15D3">
      <w:pPr>
        <w:pStyle w:val="2"/>
        <w:spacing w:beforeLines="50" w:before="211" w:afterLines="25" w:after="105"/>
      </w:pPr>
      <w:bookmarkStart w:id="_Toc094B6943955A6B196722C6A7D8454811" w:name="_Toc094B6943955A6B196722C6A7D8454811"/>
      <w:r w:rsidRPr="009F15D3">
        <w:rPr>
          <w:rStyle w:val="title1"/>
          <w:rFonts w:ascii="SimSun" w:eastAsia="SimSun" w:hAnsi="SimSun"/>
          <w:szCs w:val="32"/>
        </w:rPr>
        <w:t>第三节　提升智能制造水平</w:t>
      </w:r>
      <w:bookmarkEnd w:id="_Toc094B6943955A6B196722C6A7D8454811"/>
    </w:p>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推进智能化技术在新能源汽车研发设计、生产制造、仓储物流、经营管理、售后服务等关键环节的深度应用。加快新能源汽车智能制造仿真、管理、控制等核心工业软件开发和集成，开展智能工厂、数字化车间应用示范。加快产品全生命周期协同管理系统推广应用，支持设计、制造、服务一体化示范平台建设，提升新能源汽车全产业链智能化水平。</w:t>
      </w:r>
    </w:p>
    <!--正文-编-->
    <!--正文-章-->
    <!--正文-节-->
    <!--正文-条-->
    <!--正文-款-->
    <!--正文-更深层级-->
    <!--正文-内容-->
    <!--正文-编-->
    <!--正文-章-->
    <!--正文-节-->
    <w:p w14:paraId="6481765D" w14:textId="30172502" w:rsidR="003C10FA" w:rsidRPr="009F15D3" w:rsidRDefault="003C10FA" w:rsidP="009F15D3">
      <w:pPr>
        <w:pStyle w:val="2"/>
        <w:spacing w:beforeLines="50" w:before="211" w:afterLines="25" w:after="105"/>
      </w:pPr>
      <w:bookmarkStart w:id="_TocAA72576E6E68EA7C8B7ABA966453159A" w:name="_TocAA72576E6E68EA7C8B7ABA966453159A"/>
      <w:r w:rsidRPr="009F15D3">
        <w:rPr>
          <w:rStyle w:val="title1"/>
          <w:rFonts w:ascii="SimSun" w:eastAsia="SimSun" w:hAnsi="SimSun"/>
          <w:szCs w:val="32"/>
        </w:rPr>
        <w:t>第四节　强化质量安全保障</w:t>
      </w:r>
      <w:bookmarkEnd w:id="_TocAA72576E6E68EA7C8B7ABA966453159A"/>
    </w:p>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推进质量品牌建设。开展新能源汽车产品质量提升行动，引导企业加强设计、制造、测试验证等全过程可靠性技术开发应用，充分利用互联网、大数据、区块链等先进技术，健全产品全生命周期质量控制和追溯机制。引导企业强化品牌发展战略，以提升质量和服务水平为重点加强品牌建设。</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健全安全保障体系。落实企业负责、政府监管、行业自律、社会监督相结合的安全生产机制。强化企业对产品安全的主体责任，落实生产者责任延伸制度，加强对整车及动力电池、电控等关键系统的质量安全管理、安全状态监测和维修保养检测。健全新能源汽车整车、零部件以及维修保养检测、充换电等安全标准和法规制度，加强安全生产监督管理和新能源汽车安全召回管理。鼓励行业组织加强技术交流，梳理总结经验，指导企业不断提升安全水平。</w:t>
      </w:r>
    </w:p>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F0111CBDD0E045455AC37A21F6280746" w:name="_TocF0111CBDD0E045455AC37A21F6280746"/>
      <w:r w:rsidRPr="009F15D3">
        <w:t>第五章　推动产业融合发展</w:t>
      </w:r>
      <w:bookmarkEnd w:id="_TocF0111CBDD0E045455AC37A21F6280746"/>
    </w:p>
    <!--正文-节-->
    <!--正文-条-->
    <!--正文-款-->
    <!--正文-更深层级-->
    <!--正文-内容-->
    <!--正文-编-->
    <!--正文-章-->
    <!--正文-节-->
    <w:p w14:paraId="6481765D" w14:textId="30172502" w:rsidR="003C10FA" w:rsidRPr="009F15D3" w:rsidRDefault="003C10FA" w:rsidP="009F15D3">
      <w:pPr>
        <w:pStyle w:val="2"/>
        <w:spacing w:beforeLines="50" w:before="211" w:afterLines="25" w:after="105"/>
      </w:pPr>
      <w:bookmarkStart w:id="_Toc27D5A582C3718989A281A6FB1796B663" w:name="_Toc27D5A582C3718989A281A6FB1796B663"/>
      <w:r w:rsidRPr="009F15D3">
        <w:rPr>
          <w:rStyle w:val="title1"/>
          <w:rFonts w:ascii="SimSun" w:eastAsia="SimSun" w:hAnsi="SimSun"/>
          <w:szCs w:val="32"/>
        </w:rPr>
        <w:t>第一节　推动新能源汽车与能源融合发展</w:t>
      </w:r>
      <w:bookmarkEnd w:id="_Toc27D5A582C3718989A281A6FB1796B663"/>
    </w:p>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加强新能源汽车与电网（V2G）能量互动。加强高循环寿命动力电池技术攻关，推动小功率直流化技术应用。鼓励地方开展V2G示范应用，统筹新能源汽车充放电、电力调度需求，综合运用峰谷电价、新能源汽车充电优惠等政策，实现新能源汽车与电网能量高效互动，降低新能源汽车用电成本，提高电网调峰调频、安全应急等响应能力。</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促进新能源汽车与可再生能源高效协同。推动新能源汽车与气象、可再生能源电力预测预报系统信息共享与融合，统筹新能源汽车能源利用与风力发电、光伏发电协同调度，提升可再生能源应用比例。鼓励“光储充放”（分布式光伏发电—储能系统—充放电）多功能综合一体站建设。支持有条件的地区开展燃料电池汽车商业化示范运行。</w:t>
      </w:r>
    </w:p>
    <!--正文-编-->
    <!--正文-章-->
    <!--正文-节-->
    <!--正文-条-->
    <!--正文-款-->
    <!--正文-更深层级-->
    <!--正文-内容-->
    <!--正文-编-->
    <!--正文-章-->
    <!--正文-节-->
    <w:p w14:paraId="6481765D" w14:textId="30172502" w:rsidR="003C10FA" w:rsidRPr="009F15D3" w:rsidRDefault="003C10FA" w:rsidP="009F15D3">
      <w:pPr>
        <w:pStyle w:val="2"/>
        <w:spacing w:beforeLines="50" w:before="211" w:afterLines="25" w:after="105"/>
      </w:pPr>
      <w:bookmarkStart w:id="_Toc4EBD9B3C8FADD18EF6F81E13C4155409" w:name="_Toc4EBD9B3C8FADD18EF6F81E13C4155409"/>
      <w:r w:rsidRPr="009F15D3">
        <w:rPr>
          <w:rStyle w:val="title1"/>
          <w:rFonts w:ascii="SimSun" w:eastAsia="SimSun" w:hAnsi="SimSun"/>
          <w:szCs w:val="32"/>
        </w:rPr>
        <w:t>第二节　推动新能源汽车与交通融合发展</w:t>
      </w:r>
      <w:bookmarkEnd w:id="_Toc4EBD9B3C8FADD18EF6F81E13C4155409"/>
    </w:p>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发展一体化智慧出行服务。加快建设涵盖前端信息采集、边缘分布式计算、云端协同控制的新型智能交通管控系统。加快新能源汽车在分时租赁、城市公交、出租汽车、场地用车等领域的应用，优化公共服务领域新能源汽车使用环境。引导汽车生产企业和出行服务企业共建“一站式”服务平台，推进自动代客泊车技术发展及应用。</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构建智能绿色物流运输体系。推动新能源汽车在城市配送、港口作业等领域应用，为新能源货车通行提供便利。发展“互联网+”高效物流，创新智慧物流营运模式，推广网络货运、挂车共享等新模式应用，打造安全高效的物流运输服务新业态。</w:t>
      </w:r>
    </w:p>
    <!--正文-编-->
    <!--正文-章-->
    <!--正文-节-->
    <!--正文-条-->
    <!--正文-款-->
    <!--正文-更深层级-->
    <!--正文-内容-->
    <!--正文-编-->
    <!--正文-章-->
    <!--正文-节-->
    <w:p w14:paraId="6481765D" w14:textId="30172502" w:rsidR="003C10FA" w:rsidRPr="009F15D3" w:rsidRDefault="003C10FA" w:rsidP="009F15D3">
      <w:pPr>
        <w:pStyle w:val="2"/>
        <w:spacing w:beforeLines="50" w:before="211" w:afterLines="25" w:after="105"/>
      </w:pPr>
      <w:bookmarkStart w:id="_TocD68F944A5FA57334ADC639B7FEFE6BEA" w:name="_TocD68F944A5FA57334ADC639B7FEFE6BEA"/>
      <w:r w:rsidRPr="009F15D3">
        <w:rPr>
          <w:rStyle w:val="title1"/>
          <w:rFonts w:ascii="SimSun" w:eastAsia="SimSun" w:hAnsi="SimSun"/>
          <w:szCs w:val="32"/>
        </w:rPr>
        <w:t>第三节　推动新能源汽车与信息通信融合发展</w:t>
      </w:r>
      <w:bookmarkEnd w:id="_TocD68F944A5FA57334ADC639B7FEFE6BEA"/>
    </w:p>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推进以数据为纽带的“人—车—路—云”高效协同。基于汽车感知、交通管控、城市管理等信息，构建“人—车—路—云”多层数据融合与计算处理平台，开展特定场景、区域及道路的示范应用，促进新能源汽车与信息通信融合应用服务创新。</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打造网络安全保障体系。健全新能源汽车网络安全管理制度，构建统一的汽车身份认证和安全信任体系，推动密码技术深入应用，加强车载信息系统、服务平台及关键电子零部件安全检测，强化新能源汽车数据分级分类和合规应用管理，完善风险评估、预警监测、应急响应机制，保障“车端—传输管网—云端”各环节信息安全。</w:t>
      </w:r>
    </w:p>
    <!--正文-编-->
    <!--正文-章-->
    <!--正文-节-->
    <!--正文-条-->
    <!--正文-款-->
    <!--正文-更深层级-->
    <!--正文-内容-->
    <!--正文-编-->
    <!--正文-章-->
    <!--正文-节-->
    <w:p w14:paraId="6481765D" w14:textId="30172502" w:rsidR="003C10FA" w:rsidRPr="009F15D3" w:rsidRDefault="003C10FA" w:rsidP="009F15D3">
      <w:pPr>
        <w:pStyle w:val="2"/>
        <w:spacing w:beforeLines="50" w:before="211" w:afterLines="25" w:after="105"/>
      </w:pPr>
      <w:bookmarkStart w:id="_TocF96F0116AC998065A3D0AA9E0633FB45" w:name="_TocF96F0116AC998065A3D0AA9E0633FB45"/>
      <w:r w:rsidRPr="009F15D3">
        <w:rPr>
          <w:rStyle w:val="title1"/>
          <w:rFonts w:ascii="SimSun" w:eastAsia="SimSun" w:hAnsi="SimSun"/>
          <w:szCs w:val="32"/>
        </w:rPr>
        <w:t>第四节　加强标准对接与数据共享</w:t>
      </w:r>
      <w:bookmarkEnd w:id="_TocF96F0116AC998065A3D0AA9E0633FB45"/>
    </w:p>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建立新能源汽车与相关产业融合发展的综合标准体系，明确车用操作系统、车用基础地图、车桩信息共享、云控基础平台等技术接口标准。建立跨行业、跨领域的综合大数据平台，促进各类数据共建共享与互联互通。</w:t>
      </w:r>
    </w:p>
    <!--正文-编-->
    <!--正文-章-->
    <!--正文-节-->
    <!--正文-条-->
    <!--正文-款-->
    <!--正文-更深层级-->
    <w:tbl>
      <w:tblPr>
        <w:tblStyle w:val="af3"/>
        <w:tblW w:w="0" w:type="auto"/>
        <w:tblLook w:val="04A0" w:firstRow="1" w:lastRow="0" w:firstColumn="1" w:lastColumn="0" w:noHBand="0" w:noVBand="1"/>
      </w:tblPr>
      <w:tblGrid>
        <w:gridCol w:w="8290"/>
      </w:tblGrid>
      <w:tr w:rsidR="00DF7A1F" w14:paraId="3F081669" w14:textId="77777777" w:rsidTr="00DF7A1F">
        <w:tc>
          <w:tcPr>
            <w:tcW w:w="8290"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专栏4 智慧城市新能源汽车应用示范行动</w:t>
            </w:r>
          </w:p>
        </w:tc>
      </w:tr>
      <w:tr w:rsidR="00DF7A1F" w14:paraId="3F081669" w14:textId="77777777" w:rsidTr="00DF7A1F">
        <w:tc>
          <w:tcPr>
            <w:tcW w:w="8290"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开展智能有序充电、新能源汽车与可再生能源融合发展、城市基础设施与城际智能交通、异构多模式通信网络融合等综合示范，支持以智能网联汽车为载体的城市无人驾驶物流配送、市政环卫、快速公交系统（BRT）、自动代客泊车和特定场景示范应用。</w:t>
            </w:r>
          </w:p>
        </w:tc>
      </w:tr>
    </w:tbl>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EAF4B3532431124CFAB94D81AA2A4AFE" w:name="_TocEAF4B3532431124CFAB94D81AA2A4AFE"/>
      <w:r w:rsidRPr="009F15D3">
        <w:t>第六章　完善基础设施体系</w:t>
      </w:r>
      <w:bookmarkEnd w:id="_TocEAF4B3532431124CFAB94D81AA2A4AFE"/>
    </w:p>
    <!--正文-节-->
    <!--正文-条-->
    <!--正文-款-->
    <!--正文-更深层级-->
    <!--正文-内容-->
    <!--正文-编-->
    <!--正文-章-->
    <!--正文-节-->
    <w:p w14:paraId="6481765D" w14:textId="30172502" w:rsidR="003C10FA" w:rsidRPr="009F15D3" w:rsidRDefault="003C10FA" w:rsidP="009F15D3">
      <w:pPr>
        <w:pStyle w:val="2"/>
        <w:spacing w:beforeLines="50" w:before="211" w:afterLines="25" w:after="105"/>
      </w:pPr>
      <w:bookmarkStart w:id="_TocBF445C9A89F38DF12D3A0F682FAC38D7" w:name="_TocBF445C9A89F38DF12D3A0F682FAC38D7"/>
      <w:r w:rsidRPr="009F15D3">
        <w:rPr>
          <w:rStyle w:val="title1"/>
          <w:rFonts w:ascii="SimSun" w:eastAsia="SimSun" w:hAnsi="SimSun"/>
          <w:szCs w:val="32"/>
        </w:rPr>
        <w:t>第一节　大力推动充换电网络建设</w:t>
      </w:r>
      <w:bookmarkEnd w:id="_TocBF445C9A89F38DF12D3A0F682FAC38D7"/>
    </w:p>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加快充换电基础设施建设。科学布局充换电基础设施，加强与城乡建设规划、电网规划及物业管理、城市停车等的统筹协调。依托“互联网+”智慧能源，提升智能化水平，积极推广智能有序慢充为主、应急快充为辅的居民区充电服务模式，加快形成适度超前、快充为主、慢充为辅的高速公路和城乡公共充电网络，鼓励开展换电模式应用，加强智能有序充电、大功率充电、无线充电等新型充电技术研发，提高充电便利性和产品可靠性。</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提升充电基础设施服务水平。引导企业联合建立充电设施运营服务平台，实现互联互通、信息共享与统一结算。加强充电设备与配电系统安全监测预警等技术研发，规范无线充电设施电磁频谱使用，提高充电设施安全性、一致性、可靠性，提升服务保障水平。</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鼓励商业模式创新。结合老旧小区改造、城市更新等工作，引导多方联合开展充电设施建设运营，支持居民区多车一桩、临近车位共享等合作模式发展。鼓励充电场站与商业地产相结合，建设停车充电一体化服务设施，提升公共场所充电服务能力，拓展增值服务。完善充电设施保险制度，降低企业运营和用户使用风险。</w:t>
      </w:r>
    </w:p>
    <!--正文-编-->
    <!--正文-章-->
    <!--正文-节-->
    <!--正文-条-->
    <!--正文-款-->
    <!--正文-更深层级-->
    <!--正文-内容-->
    <!--正文-编-->
    <!--正文-章-->
    <!--正文-节-->
    <w:p w14:paraId="6481765D" w14:textId="30172502" w:rsidR="003C10FA" w:rsidRPr="009F15D3" w:rsidRDefault="003C10FA" w:rsidP="009F15D3">
      <w:pPr>
        <w:pStyle w:val="2"/>
        <w:spacing w:beforeLines="50" w:before="211" w:afterLines="25" w:after="105"/>
      </w:pPr>
      <w:bookmarkStart w:id="_Toc4E9D04C275E89E0AB642D97E7D9E8C2C" w:name="_Toc4E9D04C275E89E0AB642D97E7D9E8C2C"/>
      <w:r w:rsidRPr="009F15D3">
        <w:rPr>
          <w:rStyle w:val="title1"/>
          <w:rFonts w:ascii="SimSun" w:eastAsia="SimSun" w:hAnsi="SimSun"/>
          <w:szCs w:val="32"/>
        </w:rPr>
        <w:t>第二节　协调推动智能路网设施建设</w:t>
      </w:r>
      <w:bookmarkEnd w:id="_Toc4E9D04C275E89E0AB642D97E7D9E8C2C"/>
    </w:p>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推进新一代无线通信网络建设，加快基于蜂窝通信技术的车辆与车外其他设备间的无线通信（C—V2X）标准制定和技术升级。推进交通标志标识等道路基础设施数字化改造升级，加强交通信号灯、交通标志标线、通信设施、智能路侧设备、车载终端之间的智能互联，推进城市道路基础设施智能化建设改造相关标准制定和管理平台建设。加快差分基站建设，推动北斗等卫星导航系统在高精度定位领域应用。</w:t>
      </w:r>
    </w:p>
    <!--正文-编-->
    <!--正文-章-->
    <!--正文-节-->
    <!--正文-条-->
    <!--正文-款-->
    <!--正文-更深层级-->
    <!--正文-内容-->
    <!--正文-编-->
    <!--正文-章-->
    <!--正文-节-->
    <w:p w14:paraId="6481765D" w14:textId="30172502" w:rsidR="003C10FA" w:rsidRPr="009F15D3" w:rsidRDefault="003C10FA" w:rsidP="009F15D3">
      <w:pPr>
        <w:pStyle w:val="2"/>
        <w:spacing w:beforeLines="50" w:before="211" w:afterLines="25" w:after="105"/>
      </w:pPr>
      <w:bookmarkStart w:id="_TocC05E720873AE9B9743443E57705DA4EC" w:name="_TocC05E720873AE9B9743443E57705DA4EC"/>
      <w:r w:rsidRPr="009F15D3">
        <w:rPr>
          <w:rStyle w:val="title1"/>
          <w:rFonts w:ascii="SimSun" w:eastAsia="SimSun" w:hAnsi="SimSun"/>
          <w:szCs w:val="32"/>
        </w:rPr>
        <w:t>第三节　有序推进氢燃料供给体系建设</w:t>
      </w:r>
      <w:bookmarkEnd w:id="_TocC05E720873AE9B9743443E57705DA4EC"/>
    </w:p>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提高氢燃料制储运经济性。因地制宜开展工业副产氢及可再生能源制氢技术应用，加快推进先进适用储氢材料产业化。开展高压气态、深冷气态、低温液态及固态等多种形式储运技术示范应用，探索建设氢燃料运输管道，逐步降低氢燃料储运成本。健全氢燃料制储运、加注等标准体系。加强氢燃料安全研究，强化全链条安全监管。</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推进加氢基础设施建设。建立完善加氢基础设施的管理规范。引导企业根据氢燃料供给、消费需求等合理布局加氢基础设施，提升安全运行水平。支持利用现有场地和设施，开展油、气、氢、电综合供给服务。</w:t>
      </w:r>
    </w:p>
    <!--正文-编-->
    <!--正文-章-->
    <!--正文-节-->
    <!--正文-条-->
    <!--正文-款-->
    <!--正文-更深层级-->
    <w:tbl>
      <w:tblPr>
        <w:tblStyle w:val="af3"/>
        <w:tblW w:w="0" w:type="auto"/>
        <w:tblLook w:val="04A0" w:firstRow="1" w:lastRow="0" w:firstColumn="1" w:lastColumn="0" w:noHBand="0" w:noVBand="1"/>
      </w:tblPr>
      <w:tblGrid>
        <w:gridCol w:w="8290"/>
      </w:tblGrid>
      <w:tr w:rsidR="00DF7A1F" w14:paraId="3F081669" w14:textId="77777777" w:rsidTr="00DF7A1F">
        <w:tc>
          <w:tcPr>
            <w:tcW w:w="8290"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专栏5 建设智能基础设施服务平台</w:t>
            </w:r>
          </w:p>
        </w:tc>
      </w:tr>
      <w:tr w:rsidR="00DF7A1F" w14:paraId="3F081669" w14:textId="77777777" w:rsidTr="00DF7A1F">
        <w:tc>
          <w:tcPr>
            <w:tcW w:w="8290"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统筹充换电技术和接口、加氢技术和接口、车用储氢装置、车用通信协议、智能化道路建设、数据传输与结算等标准的制修订，构建基础设施互联互通标准体系。引导企业建设智能基础设施、高精度动态地图、云控基础数据等服务平台，开展充换电、加氢、智能交通等综合服务试点示范，实现基础设施的互联互通和智能管理。</w:t>
            </w:r>
          </w:p>
        </w:tc>
      </w:tr>
    </w:tbl>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672EB9B311238FEC589C132A207B7383" w:name="_Toc672EB9B311238FEC589C132A207B7383"/>
      <w:r w:rsidRPr="009F15D3">
        <w:t>第七章　深化开放合作</w:t>
      </w:r>
      <w:bookmarkEnd w:id="_Toc672EB9B311238FEC589C132A207B7383"/>
    </w:p>
    <!--正文-节-->
    <!--正文-条-->
    <!--正文-款-->
    <!--正文-更深层级-->
    <!--正文-内容-->
    <!--正文-编-->
    <!--正文-章-->
    <!--正文-节-->
    <w:p w14:paraId="6481765D" w14:textId="30172502" w:rsidR="003C10FA" w:rsidRPr="009F15D3" w:rsidRDefault="003C10FA" w:rsidP="009F15D3">
      <w:pPr>
        <w:pStyle w:val="2"/>
        <w:spacing w:beforeLines="50" w:before="211" w:afterLines="25" w:after="105"/>
      </w:pPr>
      <w:bookmarkStart w:id="_Toc5080F9CFD70FF1D0423C8A56582E36D1" w:name="_Toc5080F9CFD70FF1D0423C8A56582E36D1"/>
      <w:r w:rsidRPr="009F15D3">
        <w:rPr>
          <w:rStyle w:val="title1"/>
          <w:rFonts w:ascii="SimSun" w:eastAsia="SimSun" w:hAnsi="SimSun"/>
          <w:szCs w:val="32"/>
        </w:rPr>
        <w:t>第一节　扩大开放和交流合作</w:t>
      </w:r>
      <w:bookmarkEnd w:id="_Toc5080F9CFD70FF1D0423C8A56582E36D1"/>
    </w:p>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加强与国际通行经贸规则对接，全面实行准入前国民待遇加负面清单管理制度，对新能源市场主体一视同仁，建设市场化、法治化、国际化营商环境。发挥多双边合作机制、高层对话机制作用，支持国内外企业、科研院所、行业机构开展研发设计、贸易投资、基础设施、技术标准、人才培训等领域的交流合作。积极参与国际规则和标准制定，促进形成开放、透明、包容的新能源汽车国际化市场环境，打造国际合作新平台，增添共同发展新动力。</w:t>
      </w:r>
    </w:p>
    <!--正文-编-->
    <!--正文-章-->
    <!--正文-节-->
    <!--正文-条-->
    <!--正文-款-->
    <!--正文-更深层级-->
    <!--正文-内容-->
    <!--正文-编-->
    <!--正文-章-->
    <!--正文-节-->
    <w:p w14:paraId="6481765D" w14:textId="30172502" w:rsidR="003C10FA" w:rsidRPr="009F15D3" w:rsidRDefault="003C10FA" w:rsidP="009F15D3">
      <w:pPr>
        <w:pStyle w:val="2"/>
        <w:spacing w:beforeLines="50" w:before="211" w:afterLines="25" w:after="105"/>
      </w:pPr>
      <w:bookmarkStart w:id="_TocFFCD53B4EB11CDD11FEB28B21AEB5B1E" w:name="_TocFFCD53B4EB11CDD11FEB28B21AEB5B1E"/>
      <w:r w:rsidRPr="009F15D3">
        <w:rPr>
          <w:rStyle w:val="title1"/>
          <w:rFonts w:ascii="SimSun" w:eastAsia="SimSun" w:hAnsi="SimSun"/>
          <w:szCs w:val="32"/>
        </w:rPr>
        <w:t>第二节　加快融入全球价值链</w:t>
      </w:r>
      <w:bookmarkEnd w:id="_TocFFCD53B4EB11CDD11FEB28B21AEB5B1E"/>
    </w:p>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引导企业制定国际化发展战略，不断提高国际竞争能力，加大国际市场开拓力度，推动产业合作由生产制造环节向技术研发、市场营销等全链条延伸。鼓励企业充分利用境内外资金，建立国际化消费信贷体系。支持企业建立国际营销服务网络，在重点市场共建海外仓储和售后服务中心等服务平台。健全法律咨询、检测认证、人才培训等服务保障体系，引导企业规范海外经营行为，提升合规管理水平。</w:t>
      </w:r>
    </w:p>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DF8E64A6A4CBAFABEB788E22F4B7A75D" w:name="_TocDF8E64A6A4CBAFABEB788E22F4B7A75D"/>
      <w:r w:rsidRPr="009F15D3">
        <w:t>第八章　保障措施</w:t>
      </w:r>
      <w:bookmarkEnd w:id="_TocDF8E64A6A4CBAFABEB788E22F4B7A75D"/>
    </w:p>
    <!--正文-节-->
    <!--正文-条-->
    <!--正文-款-->
    <!--正文-更深层级-->
    <!--正文-内容-->
    <!--正文-编-->
    <!--正文-章-->
    <!--正文-节-->
    <w:p w14:paraId="6481765D" w14:textId="30172502" w:rsidR="003C10FA" w:rsidRPr="009F15D3" w:rsidRDefault="003C10FA" w:rsidP="009F15D3">
      <w:pPr>
        <w:pStyle w:val="2"/>
        <w:spacing w:beforeLines="50" w:before="211" w:afterLines="25" w:after="105"/>
      </w:pPr>
      <w:bookmarkStart w:id="_Toc6FF35C18FBA0FD1D1DE1EC9F8B3EECC4" w:name="_Toc6FF35C18FBA0FD1D1DE1EC9F8B3EECC4"/>
      <w:r w:rsidRPr="009F15D3">
        <w:rPr>
          <w:rStyle w:val="title1"/>
          <w:rFonts w:ascii="SimSun" w:eastAsia="SimSun" w:hAnsi="SimSun"/>
          <w:szCs w:val="32"/>
        </w:rPr>
        <w:t>第一节　深化行业管理改革</w:t>
      </w:r>
      <w:bookmarkEnd w:id="_Toc6FF35C18FBA0FD1D1DE1EC9F8B3EECC4"/>
    </w:p>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深入推进“放管服”改革，进一步放宽市场准入，实施包容审慎监管，促进新业态、新模式健康有序发展。完善企业平均燃料消耗量与新能源汽车积分并行管理办法，有效承接财政补贴政策，研究建立与碳交易市场衔接机制。加强事中事后监管，夯实地方主体责任，遏制盲目上马新能源汽车整车制造项目等乱象。推动完善道路机动车辆生产管理相关法规，建立健全僵尸企业退出机制，加强企业准入条件保持情况监督检查，促进优胜劣汰。充分发挥市场机制作用，支持优势企业兼并重组、做大做强，进一步提高产业集中度。</w:t>
      </w:r>
    </w:p>
    <!--正文-编-->
    <!--正文-章-->
    <!--正文-节-->
    <!--正文-条-->
    <!--正文-款-->
    <!--正文-更深层级-->
    <!--正文-内容-->
    <!--正文-编-->
    <!--正文-章-->
    <!--正文-节-->
    <w:p w14:paraId="6481765D" w14:textId="30172502" w:rsidR="003C10FA" w:rsidRPr="009F15D3" w:rsidRDefault="003C10FA" w:rsidP="009F15D3">
      <w:pPr>
        <w:pStyle w:val="2"/>
        <w:spacing w:beforeLines="50" w:before="211" w:afterLines="25" w:after="105"/>
      </w:pPr>
      <w:bookmarkStart w:id="_Toc85EC899E13347A8951A2D3F6B334CD31" w:name="_Toc85EC899E13347A8951A2D3F6B334CD31"/>
      <w:r w:rsidRPr="009F15D3">
        <w:rPr>
          <w:rStyle w:val="title1"/>
          <w:rFonts w:ascii="SimSun" w:eastAsia="SimSun" w:hAnsi="SimSun"/>
          <w:szCs w:val="32"/>
        </w:rPr>
        <w:t>第二节　健全政策法规体系</w:t>
      </w:r>
      <w:bookmarkEnd w:id="_Toc85EC899E13347A8951A2D3F6B334CD31"/>
    </w:p>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落实新能源汽车相关税收优惠政策，优化分类交通管理及金融服务等措施。推动充换电、加氢等基础设施科学布局、加快建设，对作为公共设施的充电桩建设给予财政支持。破除地方保护，建立统一开放公平市场体系。鼓励地方政府加大对公共服务、共享出行等领域车辆运营的支持力度，给予新能源汽车停车、充电等优惠政策。2021年起，国家生态文明试验区、大气污染防治重点区域的公共领域新增或更新公交、出租、物流配送等车辆中新能源汽车比例不低于80%。制定将新能源汽车研发投入纳入国有企业考核体系的具体办法。加快完善适应智能网联汽车发展要求的道路交通、事故责任、数据使用等政策法规。加快推动动力电池回收利用立法。</w:t>
      </w:r>
    </w:p>
    <!--正文-编-->
    <!--正文-章-->
    <!--正文-节-->
    <!--正文-条-->
    <!--正文-款-->
    <!--正文-更深层级-->
    <!--正文-内容-->
    <!--正文-编-->
    <!--正文-章-->
    <!--正文-节-->
    <w:p w14:paraId="6481765D" w14:textId="30172502" w:rsidR="003C10FA" w:rsidRPr="009F15D3" w:rsidRDefault="003C10FA" w:rsidP="009F15D3">
      <w:pPr>
        <w:pStyle w:val="2"/>
        <w:spacing w:beforeLines="50" w:before="211" w:afterLines="25" w:after="105"/>
      </w:pPr>
      <w:bookmarkStart w:id="_TocEB156E17DBADC5F0BC6CA60BD0F68F42" w:name="_TocEB156E17DBADC5F0BC6CA60BD0F68F42"/>
      <w:r w:rsidRPr="009F15D3">
        <w:rPr>
          <w:rStyle w:val="title1"/>
          <w:rFonts w:ascii="SimSun" w:eastAsia="SimSun" w:hAnsi="SimSun"/>
          <w:szCs w:val="32"/>
        </w:rPr>
        <w:t>第三节　加强人才队伍建设</w:t>
      </w:r>
      <w:bookmarkEnd w:id="_TocEB156E17DBADC5F0BC6CA60BD0F68F42"/>
    </w:p>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加快建立适应新能源汽车与相关产业融合发展需要的人才培养机制，编制行业紧缺人才目录，优化汽车电动化、网联化、智能化领域学科布局，引导高等院校、科研院所、企业加大国际化人才引进和培养力度。弘扬企业家精神与工匠精神，树立正向激励导向，实行股权、期权等多元化激励措施。</w:t>
      </w:r>
    </w:p>
    <!--正文-编-->
    <!--正文-章-->
    <!--正文-节-->
    <!--正文-条-->
    <!--正文-款-->
    <!--正文-更深层级-->
    <!--正文-内容-->
    <!--正文-编-->
    <!--正文-章-->
    <!--正文-节-->
    <w:p w14:paraId="6481765D" w14:textId="30172502" w:rsidR="003C10FA" w:rsidRPr="009F15D3" w:rsidRDefault="003C10FA" w:rsidP="009F15D3">
      <w:pPr>
        <w:pStyle w:val="2"/>
        <w:spacing w:beforeLines="50" w:before="211" w:afterLines="25" w:after="105"/>
      </w:pPr>
      <w:bookmarkStart w:id="_TocD59C8BF5459A2875088C71F1A7300384" w:name="_TocD59C8BF5459A2875088C71F1A7300384"/>
      <w:r w:rsidRPr="009F15D3">
        <w:rPr>
          <w:rStyle w:val="title1"/>
          <w:rFonts w:ascii="SimSun" w:eastAsia="SimSun" w:hAnsi="SimSun"/>
          <w:szCs w:val="32"/>
        </w:rPr>
        <w:t>第四节　强化知识产权保护</w:t>
      </w:r>
      <w:bookmarkEnd w:id="_TocD59C8BF5459A2875088C71F1A7300384"/>
    </w:p>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深入实施国家知识产权战略，鼓励科研人员开发新能源汽车领域高价值核心知识产权成果。严格执行知识产权保护制度，加大对侵权行为的执法力度。构建新能源汽车知识产权运营服务体系，加强专利运用转化平台建设，建立互利共享、合作共赢的专利运营模式。</w:t>
      </w:r>
    </w:p>
    <!--正文-编-->
    <!--正文-章-->
    <!--正文-节-->
    <!--正文-条-->
    <!--正文-款-->
    <!--正文-更深层级-->
    <!--正文-内容-->
    <!--正文-编-->
    <!--正文-章-->
    <!--正文-节-->
    <w:p w14:paraId="6481765D" w14:textId="30172502" w:rsidR="003C10FA" w:rsidRPr="009F15D3" w:rsidRDefault="003C10FA" w:rsidP="009F15D3">
      <w:pPr>
        <w:pStyle w:val="2"/>
        <w:spacing w:beforeLines="50" w:before="211" w:afterLines="25" w:after="105"/>
      </w:pPr>
      <w:bookmarkStart w:id="_Toc7B32F4501CAD7B745D950F0B47A831BB" w:name="_Toc7B32F4501CAD7B745D950F0B47A831BB"/>
      <w:r w:rsidRPr="009F15D3">
        <w:rPr>
          <w:rStyle w:val="title1"/>
          <w:rFonts w:ascii="SimSun" w:eastAsia="SimSun" w:hAnsi="SimSun"/>
          <w:szCs w:val="32"/>
        </w:rPr>
        <w:t>第五节　加强组织协同</w:t>
      </w:r>
      <w:bookmarkEnd w:id="_Toc7B32F4501CAD7B745D950F0B47A831BB"/>
    </w:p>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充分发挥节能与新能源汽车产业发展部际联席会议制度和地方协调机制作用，强化部门协同和上下联动，制定年度工作计划和部门任务分工，加强新能源汽车与能源、交通、信息通信等行业在政策规划、标准法规等方面的统筹，抓紧抓实抓细规划确定的重大任务和重点工作。各有关部门要围绕规划目标任务，根据职能分工制定本部门工作计划和配套政策措施。各地区要结合本地实际切实抓好落实，优化产业布局，避免重复建设。行业组织要充分发挥连接企业与政府的桥梁作用，协调组建行业跨界交流协作平台。工业和信息化部要会同有关部门深入调查研究，加强跟踪指导，推动规划顺利实施。</w:t>
      </w:r>
    </w:p>
    <!--正文-编-->
    <!--正文-章-->
    <!--正文-节-->
    <!--正文-条-->
    <!--正文-款-->
    <!--正文-更深层级-->
    <w:sectPr w:rsidR="00E4508E" w:rsidRPr="00CB7EA7" w:rsidSect="000C10B9">
      <w:headerReference w:type="even" r:id="rId9"/>
      <w:headerReference w:type="default" r:id="rId10"/>
      <w:footerReference w:type="even" r:id="rId11"/>
      <w:footerReference w:type="default" r:id="rId12"/>
      <w:headerReference w:type="first" r:id="rId13"/>
      <w:footerReference w:type="first" r:id="rId14"/>
      <w:pgSz w:w="11900" w:h="16840"/>
      <w:pgMar w:top="1440" w:right="1080" w:bottom="1440" w:left="1080" w:header="850" w:footer="992" w:gutter="0"/>
      <w:pgNumType w:fmt="numberInDash"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AE280" w14:textId="77777777" w:rsidR="002D331B" w:rsidRDefault="002D331B" w:rsidP="007134C7">
      <w:pPr>
        <w:spacing w:before="120"/>
        <w:ind w:firstLine="420"/>
      </w:pPr>
      <w:r>
        <w:separator/>
      </w:r>
    </w:p>
    <w:p w14:paraId="32203FB6" w14:textId="77777777" w:rsidR="002D331B" w:rsidRDefault="002D331B" w:rsidP="007134C7">
      <w:pPr>
        <w:spacing w:before="120"/>
        <w:ind w:firstLine="420"/>
      </w:pPr>
    </w:p>
  </w:endnote>
  <w:endnote w:type="continuationSeparator" w:id="0">
    <w:p w14:paraId="1827C332" w14:textId="77777777" w:rsidR="002D331B" w:rsidRDefault="002D331B" w:rsidP="007134C7">
      <w:pPr>
        <w:spacing w:before="120"/>
        <w:ind w:firstLine="420"/>
      </w:pPr>
      <w:r>
        <w:continuationSeparator/>
      </w:r>
    </w:p>
    <w:p w14:paraId="487818AD" w14:textId="77777777" w:rsidR="002D331B" w:rsidRDefault="002D331B" w:rsidP="007134C7">
      <w:pPr>
        <w:spacing w:before="120"/>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Songti SC">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8974F"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65A1A4A3"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0535F3A2" w14:textId="77777777" w:rsidR="00365C3F" w:rsidRDefault="00365C3F" w:rsidP="007134C7">
    <w:pPr>
      <w:pStyle w:val="a5"/>
      <w:spacing w:before="120"/>
      <w:ind w:firstLine="360"/>
    </w:pPr>
  </w:p>
  <w:p w14:paraId="7D151C96" w14:textId="77777777" w:rsidR="00365C3F" w:rsidRDefault="00365C3F" w:rsidP="007134C7">
    <w:pPr>
      <w:spacing w:before="120"/>
      <w:ind w:firstLine="4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1B08D" w14:textId="5E2EB485" w:rsidR="00365C3F" w:rsidRPr="00984A99" w:rsidRDefault="00984A99" w:rsidP="00984A99">
    <w:pPr>
      <w:spacing w:before="120"/>
      <w:ind w:firstLine="360"/>
      <w:jc w:val="center"/>
      <w:rPr>
        <w:rFonts w:ascii="宋体" w:eastAsia="宋体" w:hAnsi="宋体" w:hint="eastAsia"/>
        <w:sz w:val="18"/>
        <w:szCs w:val="18"/>
      </w:rPr>
    </w:pPr>
    <w:r w:rsidRPr="00E92B0B">
      <w:rPr>
        <w:rFonts w:ascii="宋体" w:eastAsia="宋体" w:hAnsi="宋体"/>
        <w:sz w:val="18"/>
        <w:szCs w:val="18"/>
      </w:rPr>
      <w:fldChar w:fldCharType="begin"/>
    </w:r>
    <w:r w:rsidRPr="00E92B0B">
      <w:rPr>
        <w:rFonts w:ascii="宋体" w:eastAsia="宋体" w:hAnsi="宋体"/>
        <w:sz w:val="18"/>
        <w:szCs w:val="18"/>
      </w:rPr>
      <w:instrText xml:space="preserve"> PAGE \* Arabic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r w:rsidRPr="00E92B0B">
      <w:rPr>
        <w:rFonts w:ascii="宋体" w:eastAsia="宋体" w:hAnsi="宋体"/>
        <w:sz w:val="18"/>
        <w:szCs w:val="18"/>
      </w:rPr>
      <w:t xml:space="preserve"> </w:t>
    </w:r>
    <w:r w:rsidRPr="00E92B0B">
      <w:rPr>
        <w:rFonts w:ascii="宋体" w:eastAsia="宋体" w:hAnsi="宋体" w:hint="eastAsia"/>
        <w:sz w:val="18"/>
        <w:szCs w:val="18"/>
      </w:rPr>
      <w:t>/</w:t>
    </w:r>
    <w:r w:rsidRPr="00E92B0B">
      <w:rPr>
        <w:rFonts w:ascii="宋体" w:eastAsia="宋体" w:hAnsi="宋体"/>
        <w:sz w:val="18"/>
        <w:szCs w:val="18"/>
      </w:rPr>
      <w:t xml:space="preserve"> </w:t>
    </w:r>
    <w:r w:rsidRPr="00E92B0B">
      <w:rPr>
        <w:rFonts w:ascii="宋体" w:eastAsia="宋体" w:hAnsi="宋体"/>
        <w:sz w:val="18"/>
        <w:szCs w:val="18"/>
      </w:rPr>
      <w:fldChar w:fldCharType="begin"/>
    </w:r>
    <w:r w:rsidRPr="00E92B0B">
      <w:rPr>
        <w:rFonts w:ascii="宋体" w:eastAsia="宋体" w:hAnsi="宋体"/>
        <w:sz w:val="18"/>
        <w:szCs w:val="18"/>
      </w:rPr>
      <w:instrText xml:space="preserve"> NUMPAGES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ABA87" w14:textId="77777777" w:rsidR="00365C3F" w:rsidRDefault="00365C3F">
    <w:pPr>
      <w:pStyle w:val="a5"/>
      <w:spacing w:before="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4ED28" w14:textId="77777777" w:rsidR="002D331B" w:rsidRDefault="002D331B" w:rsidP="007134C7">
      <w:pPr>
        <w:spacing w:before="120"/>
        <w:ind w:firstLine="420"/>
      </w:pPr>
      <w:r>
        <w:separator/>
      </w:r>
    </w:p>
    <w:p w14:paraId="2FFAEC20" w14:textId="77777777" w:rsidR="002D331B" w:rsidRDefault="002D331B" w:rsidP="007134C7">
      <w:pPr>
        <w:spacing w:before="120"/>
        <w:ind w:firstLine="420"/>
      </w:pPr>
    </w:p>
  </w:footnote>
  <w:footnote w:type="continuationSeparator" w:id="0">
    <w:p w14:paraId="0FAF3F1F" w14:textId="77777777" w:rsidR="002D331B" w:rsidRDefault="002D331B" w:rsidP="007134C7">
      <w:pPr>
        <w:spacing w:before="120"/>
        <w:ind w:firstLine="420"/>
      </w:pPr>
      <w:r>
        <w:continuationSeparator/>
      </w:r>
    </w:p>
    <w:p w14:paraId="51153C43" w14:textId="77777777" w:rsidR="002D331B" w:rsidRDefault="002D331B" w:rsidP="007134C7">
      <w:pPr>
        <w:spacing w:before="120"/>
        <w:ind w:firstLine="4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8493E" w14:textId="77777777" w:rsidR="00365C3F" w:rsidRDefault="00365C3F">
    <w:pPr>
      <w:pStyle w:val="a3"/>
      <w:spacing w:before="120"/>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D8F08" w14:textId="40655C38" w:rsidR="00365C3F" w:rsidRDefault="00365C3F" w:rsidP="00DF4DDE">
    <w:pPr>
      <w:pStyle w:val="a3"/>
      <w:spacing w:before="120"/>
      <w:ind w:firstLineChars="0" w:firstLine="0"/>
    </w:pPr>
    <w:r>
      <w:rPr>
        <w:rFonts w:ascii="SimSun" w:eastAsia="SimSun" w:hAnsi="SimSun"/>
      </w:rPr>
      <w:t>国务院办公厅关于印发新能源汽车产业发展规划（2021—2035年）的通知</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72149" w14:textId="77777777" w:rsidR="00365C3F" w:rsidRDefault="00365C3F">
    <w:pPr>
      <w:pStyle w:val="a3"/>
      <w:spacing w:before="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15D77"/>
    <w:multiLevelType w:val="hybridMultilevel"/>
    <w:tmpl w:val="A04E6BF2"/>
    <w:lvl w:ilvl="0" w:tplc="19F661A6">
      <w:start w:val="1"/>
      <w:numFmt w:val="japaneseCounting"/>
      <w:lvlText w:val="第%1节"/>
      <w:lvlJc w:val="left"/>
      <w:pPr>
        <w:ind w:left="740" w:hanging="7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05E"/>
    <w:rsid w:val="00011E08"/>
    <w:rsid w:val="00014794"/>
    <w:rsid w:val="00023491"/>
    <w:rsid w:val="00055661"/>
    <w:rsid w:val="000838AC"/>
    <w:rsid w:val="000B4268"/>
    <w:rsid w:val="000C10B9"/>
    <w:rsid w:val="000E0518"/>
    <w:rsid w:val="0010142F"/>
    <w:rsid w:val="001156D2"/>
    <w:rsid w:val="00155379"/>
    <w:rsid w:val="0017262F"/>
    <w:rsid w:val="00182C03"/>
    <w:rsid w:val="00186C4B"/>
    <w:rsid w:val="00190F60"/>
    <w:rsid w:val="00191D9F"/>
    <w:rsid w:val="0019779C"/>
    <w:rsid w:val="001A42BB"/>
    <w:rsid w:val="001B24CE"/>
    <w:rsid w:val="001B2E08"/>
    <w:rsid w:val="001D0531"/>
    <w:rsid w:val="001D0DAF"/>
    <w:rsid w:val="001D686D"/>
    <w:rsid w:val="001D6F7C"/>
    <w:rsid w:val="00270DD6"/>
    <w:rsid w:val="002714BD"/>
    <w:rsid w:val="002A2902"/>
    <w:rsid w:val="002C0974"/>
    <w:rsid w:val="002C39FF"/>
    <w:rsid w:val="002D331B"/>
    <w:rsid w:val="002D5D85"/>
    <w:rsid w:val="002F167B"/>
    <w:rsid w:val="00315774"/>
    <w:rsid w:val="003309EA"/>
    <w:rsid w:val="003458E8"/>
    <w:rsid w:val="00357CE9"/>
    <w:rsid w:val="00365C3F"/>
    <w:rsid w:val="00374CB2"/>
    <w:rsid w:val="00376810"/>
    <w:rsid w:val="00383B57"/>
    <w:rsid w:val="003B262C"/>
    <w:rsid w:val="003B4437"/>
    <w:rsid w:val="003C10FA"/>
    <w:rsid w:val="003D3437"/>
    <w:rsid w:val="003D5198"/>
    <w:rsid w:val="003E5582"/>
    <w:rsid w:val="003F7DB5"/>
    <w:rsid w:val="004045E1"/>
    <w:rsid w:val="00405BE7"/>
    <w:rsid w:val="00406A7C"/>
    <w:rsid w:val="00413553"/>
    <w:rsid w:val="00421888"/>
    <w:rsid w:val="00446D77"/>
    <w:rsid w:val="00467D9B"/>
    <w:rsid w:val="00475DC8"/>
    <w:rsid w:val="004944E8"/>
    <w:rsid w:val="004B4872"/>
    <w:rsid w:val="004D31E1"/>
    <w:rsid w:val="004F13D2"/>
    <w:rsid w:val="0050214D"/>
    <w:rsid w:val="0050753C"/>
    <w:rsid w:val="0055454B"/>
    <w:rsid w:val="0058105E"/>
    <w:rsid w:val="00581CC2"/>
    <w:rsid w:val="005A545E"/>
    <w:rsid w:val="005D2A44"/>
    <w:rsid w:val="005D6387"/>
    <w:rsid w:val="005E1E7E"/>
    <w:rsid w:val="005E4537"/>
    <w:rsid w:val="005E6D11"/>
    <w:rsid w:val="005F302E"/>
    <w:rsid w:val="00647249"/>
    <w:rsid w:val="00661D6F"/>
    <w:rsid w:val="0067413F"/>
    <w:rsid w:val="00674271"/>
    <w:rsid w:val="00681022"/>
    <w:rsid w:val="00686367"/>
    <w:rsid w:val="006864EA"/>
    <w:rsid w:val="00687F70"/>
    <w:rsid w:val="0069459A"/>
    <w:rsid w:val="00695BBA"/>
    <w:rsid w:val="006B4B40"/>
    <w:rsid w:val="006C1E70"/>
    <w:rsid w:val="006C2F31"/>
    <w:rsid w:val="006C3857"/>
    <w:rsid w:val="006D629B"/>
    <w:rsid w:val="006E374D"/>
    <w:rsid w:val="00701E2A"/>
    <w:rsid w:val="0071172E"/>
    <w:rsid w:val="007134C7"/>
    <w:rsid w:val="007462C7"/>
    <w:rsid w:val="00762164"/>
    <w:rsid w:val="00766565"/>
    <w:rsid w:val="007729AE"/>
    <w:rsid w:val="007756F7"/>
    <w:rsid w:val="00790272"/>
    <w:rsid w:val="007902D8"/>
    <w:rsid w:val="007911E7"/>
    <w:rsid w:val="00791FE7"/>
    <w:rsid w:val="00794C21"/>
    <w:rsid w:val="00795EF7"/>
    <w:rsid w:val="007A21E7"/>
    <w:rsid w:val="007F7F4A"/>
    <w:rsid w:val="00805D1F"/>
    <w:rsid w:val="008157A1"/>
    <w:rsid w:val="008460F3"/>
    <w:rsid w:val="00846EED"/>
    <w:rsid w:val="008770F6"/>
    <w:rsid w:val="00883795"/>
    <w:rsid w:val="008929C2"/>
    <w:rsid w:val="00894A8F"/>
    <w:rsid w:val="008A0D66"/>
    <w:rsid w:val="008B30B1"/>
    <w:rsid w:val="008C79B1"/>
    <w:rsid w:val="008E1133"/>
    <w:rsid w:val="008E22F9"/>
    <w:rsid w:val="008F7C89"/>
    <w:rsid w:val="00911F3F"/>
    <w:rsid w:val="009121D8"/>
    <w:rsid w:val="009260CB"/>
    <w:rsid w:val="0092725B"/>
    <w:rsid w:val="00950CBB"/>
    <w:rsid w:val="00963F94"/>
    <w:rsid w:val="00966E87"/>
    <w:rsid w:val="00983AF9"/>
    <w:rsid w:val="00984A99"/>
    <w:rsid w:val="009902F4"/>
    <w:rsid w:val="009D126A"/>
    <w:rsid w:val="009D7F36"/>
    <w:rsid w:val="009E7109"/>
    <w:rsid w:val="009F0946"/>
    <w:rsid w:val="009F15D3"/>
    <w:rsid w:val="009F1EAF"/>
    <w:rsid w:val="00A04389"/>
    <w:rsid w:val="00A07EE7"/>
    <w:rsid w:val="00A23C07"/>
    <w:rsid w:val="00A5155E"/>
    <w:rsid w:val="00A6261D"/>
    <w:rsid w:val="00A67A2B"/>
    <w:rsid w:val="00A75184"/>
    <w:rsid w:val="00A7683F"/>
    <w:rsid w:val="00A82018"/>
    <w:rsid w:val="00A93A88"/>
    <w:rsid w:val="00AD29DF"/>
    <w:rsid w:val="00AF2439"/>
    <w:rsid w:val="00B22CD4"/>
    <w:rsid w:val="00B26EB6"/>
    <w:rsid w:val="00B33D8B"/>
    <w:rsid w:val="00B42D0D"/>
    <w:rsid w:val="00B45CD8"/>
    <w:rsid w:val="00B8279B"/>
    <w:rsid w:val="00B94875"/>
    <w:rsid w:val="00BA40E8"/>
    <w:rsid w:val="00BB260D"/>
    <w:rsid w:val="00BB56F9"/>
    <w:rsid w:val="00BE1F95"/>
    <w:rsid w:val="00BE2026"/>
    <w:rsid w:val="00BE618D"/>
    <w:rsid w:val="00C468EA"/>
    <w:rsid w:val="00CB0C3C"/>
    <w:rsid w:val="00CB7EA7"/>
    <w:rsid w:val="00CC410E"/>
    <w:rsid w:val="00CD77D2"/>
    <w:rsid w:val="00CF2EDD"/>
    <w:rsid w:val="00D11826"/>
    <w:rsid w:val="00D11FA0"/>
    <w:rsid w:val="00D21CC8"/>
    <w:rsid w:val="00D350CF"/>
    <w:rsid w:val="00D42329"/>
    <w:rsid w:val="00D429FF"/>
    <w:rsid w:val="00D707CE"/>
    <w:rsid w:val="00D83979"/>
    <w:rsid w:val="00D87B1D"/>
    <w:rsid w:val="00D9483C"/>
    <w:rsid w:val="00DB0A8E"/>
    <w:rsid w:val="00DB3F75"/>
    <w:rsid w:val="00DD4082"/>
    <w:rsid w:val="00DD6EBA"/>
    <w:rsid w:val="00DE17E6"/>
    <w:rsid w:val="00DF4DDE"/>
    <w:rsid w:val="00DF5DD3"/>
    <w:rsid w:val="00E07A1C"/>
    <w:rsid w:val="00E16E7C"/>
    <w:rsid w:val="00E20705"/>
    <w:rsid w:val="00E367EF"/>
    <w:rsid w:val="00E4508E"/>
    <w:rsid w:val="00E519E7"/>
    <w:rsid w:val="00E62A39"/>
    <w:rsid w:val="00E6789D"/>
    <w:rsid w:val="00E709D0"/>
    <w:rsid w:val="00E91848"/>
    <w:rsid w:val="00E9315A"/>
    <w:rsid w:val="00E93E4A"/>
    <w:rsid w:val="00EE2355"/>
    <w:rsid w:val="00F07C98"/>
    <w:rsid w:val="00F15993"/>
    <w:rsid w:val="00F42084"/>
    <w:rsid w:val="00F47B0B"/>
    <w:rsid w:val="00F50BFC"/>
    <w:rsid w:val="00F63D38"/>
    <w:rsid w:val="00F6559B"/>
    <w:rsid w:val="00F91D76"/>
    <w:rsid w:val="00FA04AF"/>
    <w:rsid w:val="00FA49DB"/>
    <w:rsid w:val="00FD2CD5"/>
    <w:rsid w:val="00FD7099"/>
    <w:rsid w:val="00FE1BFB"/>
    <w:rsid w:val="00FE5686"/>
    <w:rsid w:val="00FF6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4B0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C410E"/>
    <w:pPr>
      <w:spacing w:beforeLines="50" w:before="50"/>
      <w:ind w:firstLineChars="200" w:firstLine="200"/>
    </w:pPr>
    <w:rPr>
      <w:rFonts w:ascii="DengXian" w:eastAsia="DengXian" w:hAnsi="DengXian" w:cs="宋体"/>
      <w:kern w:val="0"/>
      <w:sz w:val="21"/>
      <w:szCs w:val="21"/>
    </w:rPr>
  </w:style>
  <w:style w:type="paragraph" w:styleId="1">
    <w:name w:val="heading 1"/>
    <w:basedOn w:val="a"/>
    <w:link w:val="10"/>
    <w:uiPriority w:val="9"/>
    <w:qFormat/>
    <w:rsid w:val="00661D6F"/>
    <w:pPr>
      <w:spacing w:beforeLines="100" w:before="423" w:afterLines="75" w:after="317" w:line="400" w:lineRule="exact"/>
      <w:ind w:firstLineChars="0" w:firstLine="0"/>
      <w:jc w:val="center"/>
      <w:outlineLvl w:val="0"/>
    </w:pPr>
    <w:rPr>
      <w:rFonts w:eastAsia="宋体"/>
      <w:b/>
      <w:bCs/>
      <w:kern w:val="36"/>
      <w:sz w:val="24"/>
      <w:szCs w:val="24"/>
    </w:rPr>
  </w:style>
  <w:style w:type="paragraph" w:styleId="2">
    <w:name w:val="heading 2"/>
    <w:basedOn w:val="a"/>
    <w:next w:val="a"/>
    <w:link w:val="20"/>
    <w:uiPriority w:val="9"/>
    <w:unhideWhenUsed/>
    <w:qFormat/>
    <w:rsid w:val="009F15D3"/>
    <w:pPr>
      <w:keepNext/>
      <w:keepLines/>
      <w:spacing w:before="211" w:line="400" w:lineRule="exact"/>
      <w:ind w:firstLineChars="0" w:firstLine="0"/>
      <w:jc w:val="center"/>
      <w:outlineLvl w:val="1"/>
    </w:pPr>
    <w:rPr>
      <w:rFonts w:cstheme="majorBidi"/>
      <w:b/>
      <w:bCs/>
      <w:szCs w:val="32"/>
    </w:rPr>
  </w:style>
  <w:style w:type="paragraph" w:styleId="3">
    <w:name w:val="heading 3"/>
    <w:basedOn w:val="a"/>
    <w:next w:val="a"/>
    <w:link w:val="30"/>
    <w:uiPriority w:val="9"/>
    <w:unhideWhenUsed/>
    <w:qFormat/>
    <w:rsid w:val="00EE235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70DD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10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105E"/>
    <w:rPr>
      <w:sz w:val="18"/>
      <w:szCs w:val="18"/>
    </w:rPr>
  </w:style>
  <w:style w:type="paragraph" w:styleId="a5">
    <w:name w:val="footer"/>
    <w:basedOn w:val="a"/>
    <w:link w:val="a6"/>
    <w:uiPriority w:val="99"/>
    <w:unhideWhenUsed/>
    <w:rsid w:val="0058105E"/>
    <w:pPr>
      <w:tabs>
        <w:tab w:val="center" w:pos="4153"/>
        <w:tab w:val="right" w:pos="8306"/>
      </w:tabs>
      <w:snapToGrid w:val="0"/>
    </w:pPr>
    <w:rPr>
      <w:sz w:val="18"/>
      <w:szCs w:val="18"/>
    </w:rPr>
  </w:style>
  <w:style w:type="character" w:customStyle="1" w:styleId="a6">
    <w:name w:val="页脚 字符"/>
    <w:basedOn w:val="a0"/>
    <w:link w:val="a5"/>
    <w:uiPriority w:val="99"/>
    <w:rsid w:val="0058105E"/>
    <w:rPr>
      <w:sz w:val="18"/>
      <w:szCs w:val="18"/>
    </w:rPr>
  </w:style>
  <w:style w:type="character" w:styleId="a7">
    <w:name w:val="page number"/>
    <w:basedOn w:val="a0"/>
    <w:uiPriority w:val="99"/>
    <w:semiHidden/>
    <w:unhideWhenUsed/>
    <w:rsid w:val="00E709D0"/>
  </w:style>
  <w:style w:type="character" w:customStyle="1" w:styleId="10">
    <w:name w:val="标题 1 字符"/>
    <w:basedOn w:val="a0"/>
    <w:link w:val="1"/>
    <w:uiPriority w:val="9"/>
    <w:rsid w:val="00661D6F"/>
    <w:rPr>
      <w:rFonts w:ascii="DengXian" w:eastAsia="宋体" w:hAnsi="DengXian" w:cs="宋体"/>
      <w:b/>
      <w:bCs/>
      <w:kern w:val="36"/>
    </w:rPr>
  </w:style>
  <w:style w:type="character" w:styleId="a8">
    <w:name w:val="Hyperlink"/>
    <w:basedOn w:val="a0"/>
    <w:uiPriority w:val="99"/>
    <w:unhideWhenUsed/>
    <w:rsid w:val="007911E7"/>
    <w:rPr>
      <w:strike w:val="0"/>
      <w:dstrike w:val="0"/>
      <w:color w:val="0000FF"/>
      <w:u w:val="none"/>
      <w:effect w:val="none"/>
    </w:rPr>
  </w:style>
  <w:style w:type="paragraph" w:styleId="a9">
    <w:name w:val="Normal (Web)"/>
    <w:basedOn w:val="a"/>
    <w:uiPriority w:val="99"/>
    <w:unhideWhenUsed/>
    <w:rsid w:val="007911E7"/>
    <w:pPr>
      <w:spacing w:before="100" w:beforeAutospacing="1" w:after="100" w:afterAutospacing="1"/>
    </w:pPr>
  </w:style>
  <w:style w:type="paragraph" w:customStyle="1" w:styleId="doc-a">
    <w:name w:val="doc-a"/>
    <w:basedOn w:val="a"/>
    <w:rsid w:val="007911E7"/>
    <w:pPr>
      <w:spacing w:before="100" w:beforeAutospacing="1" w:after="100" w:afterAutospacing="1"/>
      <w:ind w:firstLine="480"/>
    </w:pPr>
    <w:rPr>
      <w:rFonts w:ascii="微软雅黑" w:eastAsia="微软雅黑" w:hAnsi="微软雅黑"/>
    </w:rPr>
  </w:style>
  <w:style w:type="paragraph" w:customStyle="1" w:styleId="cnsubtitle">
    <w:name w:val="cnsubtitle"/>
    <w:basedOn w:val="a"/>
    <w:uiPriority w:val="99"/>
    <w:semiHidden/>
    <w:rsid w:val="007911E7"/>
    <w:pPr>
      <w:spacing w:before="315" w:after="315" w:line="300" w:lineRule="exact"/>
    </w:pPr>
    <w:rPr>
      <w:rFonts w:ascii="微软雅黑" w:eastAsia="微软雅黑" w:hAnsi="微软雅黑"/>
    </w:rPr>
  </w:style>
  <w:style w:type="paragraph" w:customStyle="1" w:styleId="cntitle">
    <w:name w:val="cntitle"/>
    <w:basedOn w:val="a"/>
    <w:uiPriority w:val="99"/>
    <w:semiHidden/>
    <w:rsid w:val="007911E7"/>
    <w:pPr>
      <w:spacing w:before="150" w:after="150"/>
      <w:ind w:left="150" w:right="150"/>
      <w:jc w:val="center"/>
    </w:pPr>
    <w:rPr>
      <w:rFonts w:ascii="微软雅黑" w:eastAsia="微软雅黑" w:hAnsi="微软雅黑"/>
      <w:b/>
      <w:bCs/>
      <w:vanish/>
    </w:rPr>
  </w:style>
  <w:style w:type="paragraph" w:customStyle="1" w:styleId="promulgatetitle">
    <w:name w:val="promulgatetitle"/>
    <w:basedOn w:val="a"/>
    <w:uiPriority w:val="99"/>
    <w:semiHidden/>
    <w:rsid w:val="007911E7"/>
    <w:pPr>
      <w:spacing w:before="100" w:beforeAutospacing="1" w:after="100" w:afterAutospacing="1"/>
      <w:jc w:val="center"/>
    </w:pPr>
    <w:rPr>
      <w:rFonts w:ascii="微软雅黑" w:eastAsia="微软雅黑" w:hAnsi="微软雅黑"/>
      <w:b/>
      <w:bCs/>
      <w:vanish/>
    </w:rPr>
  </w:style>
  <w:style w:type="paragraph" w:customStyle="1" w:styleId="promulgatesubtitle">
    <w:name w:val="promulgatesubtitle"/>
    <w:basedOn w:val="a"/>
    <w:uiPriority w:val="99"/>
    <w:semiHidden/>
    <w:rsid w:val="007911E7"/>
    <w:pPr>
      <w:spacing w:before="150" w:after="150"/>
      <w:ind w:left="150" w:right="150"/>
      <w:jc w:val="center"/>
    </w:pPr>
    <w:rPr>
      <w:rFonts w:ascii="微软雅黑" w:eastAsia="微软雅黑" w:hAnsi="微软雅黑"/>
      <w:sz w:val="23"/>
      <w:szCs w:val="23"/>
    </w:rPr>
  </w:style>
  <w:style w:type="paragraph" w:customStyle="1" w:styleId="promulgatedate">
    <w:name w:val="promulgatedate"/>
    <w:basedOn w:val="a"/>
    <w:rsid w:val="007911E7"/>
    <w:pPr>
      <w:jc w:val="right"/>
    </w:pPr>
  </w:style>
  <w:style w:type="paragraph" w:customStyle="1" w:styleId="promulgatesignatory">
    <w:name w:val="promulgatesignatory"/>
    <w:basedOn w:val="a"/>
    <w:rsid w:val="007911E7"/>
    <w:pPr>
      <w:jc w:val="right"/>
    </w:pPr>
  </w:style>
  <w:style w:type="paragraph" w:customStyle="1" w:styleId="11">
    <w:name w:val="标题1"/>
    <w:basedOn w:val="a"/>
    <w:uiPriority w:val="99"/>
    <w:semiHidden/>
    <w:rsid w:val="007911E7"/>
    <w:pPr>
      <w:spacing w:before="100" w:beforeAutospacing="1" w:after="100" w:afterAutospacing="1"/>
      <w:ind w:firstLine="480"/>
    </w:pPr>
    <w:rPr>
      <w:rFonts w:ascii="微软雅黑" w:eastAsia="微软雅黑" w:hAnsi="微软雅黑"/>
    </w:rPr>
  </w:style>
  <w:style w:type="paragraph" w:customStyle="1" w:styleId="catalog-a">
    <w:name w:val="catalog-a"/>
    <w:basedOn w:val="a"/>
    <w:uiPriority w:val="99"/>
    <w:semiHidden/>
    <w:rsid w:val="007911E7"/>
    <w:pPr>
      <w:spacing w:before="100" w:beforeAutospacing="1" w:after="100" w:afterAutospacing="1"/>
    </w:pPr>
  </w:style>
  <w:style w:type="character" w:customStyle="1" w:styleId="chaptertitle">
    <w:name w:val="chaptertitle"/>
    <w:basedOn w:val="a0"/>
    <w:rsid w:val="007911E7"/>
    <w:rPr>
      <w:rFonts w:ascii="微软雅黑" w:eastAsia="微软雅黑" w:hAnsi="微软雅黑" w:hint="eastAsia"/>
      <w:b/>
      <w:bCs/>
      <w:sz w:val="21"/>
      <w:szCs w:val="21"/>
    </w:rPr>
  </w:style>
  <w:style w:type="character" w:customStyle="1" w:styleId="metaname1">
    <w:name w:val="metaname1"/>
    <w:basedOn w:val="a0"/>
    <w:rsid w:val="007911E7"/>
    <w:rPr>
      <w:rFonts w:ascii="微软雅黑" w:eastAsia="微软雅黑" w:hAnsi="微软雅黑" w:hint="eastAsia"/>
      <w:b/>
      <w:bCs/>
      <w:sz w:val="21"/>
      <w:szCs w:val="21"/>
    </w:rPr>
  </w:style>
  <w:style w:type="character" w:customStyle="1" w:styleId="sect2title1">
    <w:name w:val="sect2title1"/>
    <w:basedOn w:val="a0"/>
    <w:rsid w:val="007911E7"/>
    <w:rPr>
      <w:rFonts w:ascii="微软雅黑" w:eastAsia="微软雅黑" w:hAnsi="微软雅黑" w:hint="eastAsia"/>
      <w:b/>
      <w:bCs/>
      <w:sz w:val="21"/>
      <w:szCs w:val="21"/>
    </w:rPr>
  </w:style>
  <w:style w:type="character" w:customStyle="1" w:styleId="title1">
    <w:name w:val="title1"/>
    <w:basedOn w:val="a0"/>
    <w:rsid w:val="007911E7"/>
    <w:rPr>
      <w:rFonts w:ascii="微软雅黑" w:eastAsia="微软雅黑" w:hAnsi="微软雅黑" w:hint="eastAsia"/>
      <w:sz w:val="21"/>
      <w:szCs w:val="21"/>
    </w:rPr>
  </w:style>
  <w:style w:type="character" w:customStyle="1" w:styleId="sect1title1">
    <w:name w:val="sect1title1"/>
    <w:basedOn w:val="a0"/>
    <w:rsid w:val="007911E7"/>
    <w:rPr>
      <w:rFonts w:ascii="微软雅黑" w:eastAsia="微软雅黑" w:hAnsi="微软雅黑" w:hint="eastAsia"/>
      <w:b/>
      <w:bCs/>
      <w:sz w:val="21"/>
      <w:szCs w:val="21"/>
    </w:rPr>
  </w:style>
  <w:style w:type="character" w:styleId="aa">
    <w:name w:val="annotation reference"/>
    <w:basedOn w:val="a0"/>
    <w:uiPriority w:val="99"/>
    <w:semiHidden/>
    <w:unhideWhenUsed/>
    <w:rsid w:val="001B2E08"/>
    <w:rPr>
      <w:sz w:val="21"/>
      <w:szCs w:val="21"/>
    </w:rPr>
  </w:style>
  <w:style w:type="paragraph" w:styleId="ab">
    <w:name w:val="annotation text"/>
    <w:basedOn w:val="a"/>
    <w:link w:val="ac"/>
    <w:uiPriority w:val="99"/>
    <w:unhideWhenUsed/>
    <w:rsid w:val="001B2E08"/>
  </w:style>
  <w:style w:type="character" w:customStyle="1" w:styleId="ac">
    <w:name w:val="批注文字 字符"/>
    <w:basedOn w:val="a0"/>
    <w:link w:val="ab"/>
    <w:uiPriority w:val="99"/>
    <w:rsid w:val="001B2E08"/>
    <w:rPr>
      <w:rFonts w:ascii="宋体" w:eastAsia="宋体" w:hAnsi="宋体" w:cs="宋体"/>
      <w:kern w:val="0"/>
    </w:rPr>
  </w:style>
  <w:style w:type="paragraph" w:styleId="ad">
    <w:name w:val="annotation subject"/>
    <w:basedOn w:val="ab"/>
    <w:next w:val="ab"/>
    <w:link w:val="ae"/>
    <w:uiPriority w:val="99"/>
    <w:semiHidden/>
    <w:unhideWhenUsed/>
    <w:rsid w:val="001B2E08"/>
    <w:rPr>
      <w:b/>
      <w:bCs/>
    </w:rPr>
  </w:style>
  <w:style w:type="character" w:customStyle="1" w:styleId="ae">
    <w:name w:val="批注主题 字符"/>
    <w:basedOn w:val="ac"/>
    <w:link w:val="ad"/>
    <w:uiPriority w:val="99"/>
    <w:semiHidden/>
    <w:rsid w:val="001B2E08"/>
    <w:rPr>
      <w:rFonts w:ascii="宋体" w:eastAsia="宋体" w:hAnsi="宋体" w:cs="宋体"/>
      <w:b/>
      <w:bCs/>
      <w:kern w:val="0"/>
    </w:rPr>
  </w:style>
  <w:style w:type="paragraph" w:styleId="af">
    <w:name w:val="Balloon Text"/>
    <w:basedOn w:val="a"/>
    <w:link w:val="af0"/>
    <w:uiPriority w:val="99"/>
    <w:semiHidden/>
    <w:unhideWhenUsed/>
    <w:rsid w:val="001B2E08"/>
    <w:rPr>
      <w:rFonts w:ascii="Times New Roman" w:hAnsi="Times New Roman" w:cs="Times New Roman"/>
      <w:sz w:val="18"/>
      <w:szCs w:val="18"/>
    </w:rPr>
  </w:style>
  <w:style w:type="character" w:customStyle="1" w:styleId="af0">
    <w:name w:val="批注框文本 字符"/>
    <w:basedOn w:val="a0"/>
    <w:link w:val="af"/>
    <w:uiPriority w:val="99"/>
    <w:semiHidden/>
    <w:rsid w:val="001B2E08"/>
    <w:rPr>
      <w:rFonts w:ascii="Times New Roman" w:eastAsia="宋体" w:hAnsi="Times New Roman" w:cs="Times New Roman"/>
      <w:kern w:val="0"/>
      <w:sz w:val="18"/>
      <w:szCs w:val="18"/>
    </w:rPr>
  </w:style>
  <w:style w:type="table" w:styleId="af1">
    <w:name w:val="Table Grid"/>
    <w:basedOn w:val="a1"/>
    <w:uiPriority w:val="39"/>
    <w:rsid w:val="00E62A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1156D2"/>
    <w:rPr>
      <w:rFonts w:ascii="DengXian" w:eastAsia="DengXian" w:hAnsi="DengXian" w:cs="宋体"/>
      <w:b/>
      <w:bCs/>
      <w:kern w:val="0"/>
      <w:szCs w:val="32"/>
    </w:rPr>
  </w:style>
  <w:style w:type="character" w:styleId="af2">
    <w:name w:val="FollowedHyperlink"/>
    <w:basedOn w:val="a0"/>
    <w:uiPriority w:val="99"/>
    <w:semiHidden/>
    <w:unhideWhenUsed/>
    <w:rsid w:val="001D0531"/>
    <w:rPr>
      <w:color w:val="954F72" w:themeColor="followedHyperlink"/>
      <w:u w:val="single"/>
    </w:rPr>
  </w:style>
  <w:style w:type="character" w:customStyle="1" w:styleId="20">
    <w:name w:val="标题 2 字符"/>
    <w:basedOn w:val="a0"/>
    <w:link w:val="2"/>
    <w:uiPriority w:val="9"/>
    <w:rsid w:val="009F15D3"/>
    <w:rPr>
      <w:rFonts w:ascii="DengXian" w:eastAsia="DengXian" w:hAnsi="DengXian" w:cstheme="majorBidi"/>
      <w:b/>
      <w:bCs/>
      <w:kern w:val="0"/>
      <w:sz w:val="21"/>
      <w:szCs w:val="32"/>
    </w:rPr>
  </w:style>
  <w:style w:type="paragraph" w:styleId="TOC1">
    <w:name w:val="toc 1"/>
    <w:basedOn w:val="1"/>
    <w:next w:val="1"/>
    <w:autoRedefine/>
    <w:uiPriority w:val="39"/>
    <w:unhideWhenUsed/>
    <w:rsid w:val="00B22CD4"/>
    <w:pPr>
      <w:tabs>
        <w:tab w:val="right" w:pos="9730"/>
      </w:tabs>
      <w:spacing w:beforeLines="0" w:before="0" w:afterLines="0" w:after="0" w:line="240" w:lineRule="auto"/>
      <w:jc w:val="left"/>
      <w:outlineLvl w:val="9"/>
    </w:pPr>
    <w:rPr>
      <w:rFonts w:asciiTheme="minorHAnsi"/>
      <w:b w:val="0"/>
      <w:caps/>
      <w:kern w:val="0"/>
      <w:sz w:val="21"/>
      <w:szCs w:val="20"/>
    </w:rPr>
  </w:style>
  <w:style w:type="paragraph" w:styleId="TOC2">
    <w:name w:val="toc 2"/>
    <w:basedOn w:val="a"/>
    <w:next w:val="a"/>
    <w:autoRedefine/>
    <w:uiPriority w:val="39"/>
    <w:unhideWhenUsed/>
    <w:rsid w:val="00AF2439"/>
    <w:pPr>
      <w:spacing w:beforeLines="0" w:before="0"/>
    </w:pPr>
    <w:rPr>
      <w:rFonts w:asciiTheme="minorHAnsi" w:eastAsiaTheme="minorHAnsi"/>
      <w:smallCaps/>
      <w:szCs w:val="20"/>
    </w:rPr>
  </w:style>
  <w:style w:type="paragraph" w:styleId="TOC3">
    <w:name w:val="toc 3"/>
    <w:basedOn w:val="a"/>
    <w:next w:val="a"/>
    <w:autoRedefine/>
    <w:uiPriority w:val="39"/>
    <w:unhideWhenUsed/>
    <w:rsid w:val="00D83979"/>
    <w:pPr>
      <w:spacing w:before="0"/>
      <w:ind w:left="420"/>
    </w:pPr>
    <w:rPr>
      <w:rFonts w:asciiTheme="minorHAnsi" w:eastAsiaTheme="minorHAnsi"/>
      <w:i/>
      <w:iCs/>
      <w:sz w:val="20"/>
      <w:szCs w:val="20"/>
    </w:rPr>
  </w:style>
  <w:style w:type="paragraph" w:styleId="TOC4">
    <w:name w:val="toc 4"/>
    <w:basedOn w:val="a"/>
    <w:next w:val="a"/>
    <w:autoRedefine/>
    <w:uiPriority w:val="39"/>
    <w:unhideWhenUsed/>
    <w:rsid w:val="00D83979"/>
    <w:pPr>
      <w:spacing w:before="0"/>
      <w:ind w:left="630"/>
    </w:pPr>
    <w:rPr>
      <w:rFonts w:asciiTheme="minorHAnsi" w:eastAsiaTheme="minorHAnsi"/>
      <w:sz w:val="18"/>
      <w:szCs w:val="18"/>
    </w:rPr>
  </w:style>
  <w:style w:type="paragraph" w:styleId="TOC5">
    <w:name w:val="toc 5"/>
    <w:basedOn w:val="a"/>
    <w:next w:val="a"/>
    <w:autoRedefine/>
    <w:uiPriority w:val="39"/>
    <w:unhideWhenUsed/>
    <w:rsid w:val="00D83979"/>
    <w:pPr>
      <w:spacing w:before="0"/>
      <w:ind w:left="840"/>
    </w:pPr>
    <w:rPr>
      <w:rFonts w:asciiTheme="minorHAnsi" w:eastAsiaTheme="minorHAnsi"/>
      <w:sz w:val="18"/>
      <w:szCs w:val="18"/>
    </w:rPr>
  </w:style>
  <w:style w:type="paragraph" w:styleId="TOC6">
    <w:name w:val="toc 6"/>
    <w:basedOn w:val="a"/>
    <w:next w:val="a"/>
    <w:autoRedefine/>
    <w:uiPriority w:val="39"/>
    <w:unhideWhenUsed/>
    <w:rsid w:val="00D83979"/>
    <w:pPr>
      <w:spacing w:before="0"/>
      <w:ind w:left="1050"/>
    </w:pPr>
    <w:rPr>
      <w:rFonts w:asciiTheme="minorHAnsi" w:eastAsiaTheme="minorHAnsi"/>
      <w:sz w:val="18"/>
      <w:szCs w:val="18"/>
    </w:rPr>
  </w:style>
  <w:style w:type="paragraph" w:styleId="TOC7">
    <w:name w:val="toc 7"/>
    <w:basedOn w:val="a"/>
    <w:next w:val="a"/>
    <w:autoRedefine/>
    <w:uiPriority w:val="39"/>
    <w:unhideWhenUsed/>
    <w:rsid w:val="00D83979"/>
    <w:pPr>
      <w:spacing w:before="0"/>
      <w:ind w:left="1260"/>
    </w:pPr>
    <w:rPr>
      <w:rFonts w:asciiTheme="minorHAnsi" w:eastAsiaTheme="minorHAnsi"/>
      <w:sz w:val="18"/>
      <w:szCs w:val="18"/>
    </w:rPr>
  </w:style>
  <w:style w:type="paragraph" w:styleId="TOC8">
    <w:name w:val="toc 8"/>
    <w:basedOn w:val="a"/>
    <w:next w:val="a"/>
    <w:autoRedefine/>
    <w:uiPriority w:val="39"/>
    <w:unhideWhenUsed/>
    <w:rsid w:val="00D83979"/>
    <w:pPr>
      <w:spacing w:before="0"/>
      <w:ind w:left="1470"/>
    </w:pPr>
    <w:rPr>
      <w:rFonts w:asciiTheme="minorHAnsi" w:eastAsiaTheme="minorHAnsi"/>
      <w:sz w:val="18"/>
      <w:szCs w:val="18"/>
    </w:rPr>
  </w:style>
  <w:style w:type="paragraph" w:styleId="TOC9">
    <w:name w:val="toc 9"/>
    <w:basedOn w:val="a"/>
    <w:next w:val="a"/>
    <w:autoRedefine/>
    <w:uiPriority w:val="39"/>
    <w:unhideWhenUsed/>
    <w:rsid w:val="00D83979"/>
    <w:pPr>
      <w:spacing w:before="0"/>
      <w:ind w:left="1680"/>
    </w:pPr>
    <w:rPr>
      <w:rFonts w:asciiTheme="minorHAnsi" w:eastAsiaTheme="minorHAnsi"/>
      <w:sz w:val="18"/>
      <w:szCs w:val="18"/>
    </w:rPr>
  </w:style>
  <w:style w:type="paragraph" w:styleId="TOC">
    <w:name w:val="TOC Heading"/>
    <w:basedOn w:val="1"/>
    <w:next w:val="a"/>
    <w:uiPriority w:val="39"/>
    <w:unhideWhenUsed/>
    <w:qFormat/>
    <w:rsid w:val="00475DC8"/>
    <w:pPr>
      <w:keepNext/>
      <w:keepLines/>
      <w:spacing w:before="480" w:after="0" w:line="276" w:lineRule="auto"/>
      <w:outlineLvl w:val="9"/>
    </w:pPr>
    <w:rPr>
      <w:rFonts w:asciiTheme="majorHAnsi" w:eastAsiaTheme="majorEastAsia" w:hAnsiTheme="majorHAnsi" w:cstheme="majorBidi"/>
      <w:color w:val="2F5496" w:themeColor="accent1" w:themeShade="BF"/>
      <w:kern w:val="0"/>
      <w:szCs w:val="28"/>
    </w:rPr>
  </w:style>
  <w:style w:type="table" w:styleId="af3">
    <w:name w:val="Grid Table Light"/>
    <w:basedOn w:val="a1"/>
    <w:uiPriority w:val="40"/>
    <w:rsid w:val="00A07EE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4">
    <w:name w:val="Revision"/>
    <w:hidden/>
    <w:uiPriority w:val="99"/>
    <w:semiHidden/>
    <w:rsid w:val="008E1133"/>
    <w:rPr>
      <w:rFonts w:ascii="宋体" w:eastAsia="宋体" w:hAnsi="宋体" w:cs="宋体"/>
      <w:kern w:val="0"/>
    </w:rPr>
  </w:style>
  <w:style w:type="paragraph" w:styleId="af5">
    <w:name w:val="Title"/>
    <w:basedOn w:val="a"/>
    <w:next w:val="a"/>
    <w:link w:val="af6"/>
    <w:uiPriority w:val="10"/>
    <w:qFormat/>
    <w:rsid w:val="0092725B"/>
    <w:pPr>
      <w:spacing w:before="240" w:after="60"/>
      <w:jc w:val="center"/>
      <w:outlineLvl w:val="0"/>
    </w:pPr>
    <w:rPr>
      <w:rFonts w:asciiTheme="majorHAnsi" w:eastAsia="Songti SC" w:hAnsiTheme="majorHAnsi" w:cstheme="majorBidi"/>
      <w:b/>
      <w:bCs/>
      <w:sz w:val="32"/>
      <w:szCs w:val="32"/>
    </w:rPr>
  </w:style>
  <w:style w:type="character" w:customStyle="1" w:styleId="af6">
    <w:name w:val="标题 字符"/>
    <w:basedOn w:val="a0"/>
    <w:link w:val="af5"/>
    <w:uiPriority w:val="10"/>
    <w:rsid w:val="0092725B"/>
    <w:rPr>
      <w:rFonts w:asciiTheme="majorHAnsi" w:eastAsia="Songti SC" w:hAnsiTheme="majorHAnsi" w:cstheme="majorBidi"/>
      <w:b/>
      <w:bCs/>
      <w:kern w:val="0"/>
      <w:sz w:val="32"/>
      <w:szCs w:val="32"/>
    </w:rPr>
  </w:style>
  <w:style w:type="paragraph" w:styleId="af7">
    <w:name w:val="Subtitle"/>
    <w:basedOn w:val="a"/>
    <w:next w:val="a"/>
    <w:link w:val="af8"/>
    <w:uiPriority w:val="11"/>
    <w:qFormat/>
    <w:rsid w:val="001156D2"/>
    <w:pPr>
      <w:spacing w:before="60" w:after="60" w:line="312" w:lineRule="auto"/>
      <w:jc w:val="center"/>
      <w:outlineLvl w:val="1"/>
    </w:pPr>
    <w:rPr>
      <w:rFonts w:asciiTheme="minorHAnsi" w:hAnsiTheme="minorHAnsi" w:cstheme="minorBidi"/>
      <w:bCs/>
      <w:kern w:val="28"/>
      <w:szCs w:val="32"/>
    </w:rPr>
  </w:style>
  <w:style w:type="character" w:customStyle="1" w:styleId="af8">
    <w:name w:val="副标题 字符"/>
    <w:basedOn w:val="a0"/>
    <w:link w:val="af7"/>
    <w:uiPriority w:val="11"/>
    <w:rsid w:val="001156D2"/>
    <w:rPr>
      <w:rFonts w:eastAsia="DengXian"/>
      <w:bCs/>
      <w:kern w:val="28"/>
      <w:sz w:val="21"/>
      <w:szCs w:val="32"/>
    </w:rPr>
  </w:style>
  <w:style w:type="paragraph" w:styleId="af9">
    <w:name w:val="Quote"/>
    <w:basedOn w:val="a"/>
    <w:next w:val="a"/>
    <w:link w:val="afa"/>
    <w:uiPriority w:val="29"/>
    <w:qFormat/>
    <w:rsid w:val="00C468EA"/>
    <w:pPr>
      <w:spacing w:beforeLines="25" w:before="25" w:line="240" w:lineRule="exact"/>
    </w:pPr>
    <w:rPr>
      <w:iCs/>
      <w:color w:val="404040" w:themeColor="text1" w:themeTint="BF"/>
    </w:rPr>
  </w:style>
  <w:style w:type="character" w:customStyle="1" w:styleId="afa">
    <w:name w:val="引用 字符"/>
    <w:basedOn w:val="a0"/>
    <w:link w:val="af9"/>
    <w:uiPriority w:val="29"/>
    <w:rsid w:val="00C468EA"/>
    <w:rPr>
      <w:rFonts w:ascii="DengXian" w:eastAsia="DengXian" w:hAnsi="DengXian" w:cs="宋体"/>
      <w:iCs/>
      <w:color w:val="404040" w:themeColor="text1" w:themeTint="BF"/>
      <w:kern w:val="0"/>
      <w:sz w:val="21"/>
      <w:szCs w:val="21"/>
    </w:rPr>
  </w:style>
  <w:style w:type="character" w:customStyle="1" w:styleId="40">
    <w:name w:val="标题 4 字符"/>
    <w:basedOn w:val="a0"/>
    <w:link w:val="4"/>
    <w:uiPriority w:val="9"/>
    <w:semiHidden/>
    <w:rsid w:val="00270DD6"/>
    <w:rPr>
      <w:rFonts w:asciiTheme="majorHAnsi" w:eastAsiaTheme="majorEastAsia" w:hAnsiTheme="majorHAnsi" w:cstheme="majorBidi"/>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22269">
      <w:bodyDiv w:val="1"/>
      <w:marLeft w:val="0"/>
      <w:marRight w:val="0"/>
      <w:marTop w:val="0"/>
      <w:marBottom w:val="0"/>
      <w:divBdr>
        <w:top w:val="none" w:sz="0" w:space="0" w:color="auto"/>
        <w:left w:val="none" w:sz="0" w:space="0" w:color="auto"/>
        <w:bottom w:val="none" w:sz="0" w:space="0" w:color="auto"/>
        <w:right w:val="none" w:sz="0" w:space="0" w:color="auto"/>
      </w:divBdr>
    </w:div>
    <w:div w:id="100272850">
      <w:bodyDiv w:val="1"/>
      <w:marLeft w:val="0"/>
      <w:marRight w:val="0"/>
      <w:marTop w:val="0"/>
      <w:marBottom w:val="0"/>
      <w:divBdr>
        <w:top w:val="none" w:sz="0" w:space="0" w:color="auto"/>
        <w:left w:val="none" w:sz="0" w:space="0" w:color="auto"/>
        <w:bottom w:val="none" w:sz="0" w:space="0" w:color="auto"/>
        <w:right w:val="none" w:sz="0" w:space="0" w:color="auto"/>
      </w:divBdr>
    </w:div>
    <w:div w:id="183591487">
      <w:bodyDiv w:val="1"/>
      <w:marLeft w:val="0"/>
      <w:marRight w:val="0"/>
      <w:marTop w:val="0"/>
      <w:marBottom w:val="0"/>
      <w:divBdr>
        <w:top w:val="none" w:sz="0" w:space="0" w:color="auto"/>
        <w:left w:val="none" w:sz="0" w:space="0" w:color="auto"/>
        <w:bottom w:val="none" w:sz="0" w:space="0" w:color="auto"/>
        <w:right w:val="none" w:sz="0" w:space="0" w:color="auto"/>
      </w:divBdr>
    </w:div>
    <w:div w:id="213002848">
      <w:bodyDiv w:val="1"/>
      <w:marLeft w:val="0"/>
      <w:marRight w:val="0"/>
      <w:marTop w:val="0"/>
      <w:marBottom w:val="0"/>
      <w:divBdr>
        <w:top w:val="none" w:sz="0" w:space="0" w:color="auto"/>
        <w:left w:val="none" w:sz="0" w:space="0" w:color="auto"/>
        <w:bottom w:val="none" w:sz="0" w:space="0" w:color="auto"/>
        <w:right w:val="none" w:sz="0" w:space="0" w:color="auto"/>
      </w:divBdr>
    </w:div>
    <w:div w:id="238178481">
      <w:bodyDiv w:val="1"/>
      <w:marLeft w:val="0"/>
      <w:marRight w:val="0"/>
      <w:marTop w:val="0"/>
      <w:marBottom w:val="0"/>
      <w:divBdr>
        <w:top w:val="none" w:sz="0" w:space="0" w:color="auto"/>
        <w:left w:val="none" w:sz="0" w:space="0" w:color="auto"/>
        <w:bottom w:val="none" w:sz="0" w:space="0" w:color="auto"/>
        <w:right w:val="none" w:sz="0" w:space="0" w:color="auto"/>
      </w:divBdr>
    </w:div>
    <w:div w:id="250428242">
      <w:bodyDiv w:val="1"/>
      <w:marLeft w:val="0"/>
      <w:marRight w:val="0"/>
      <w:marTop w:val="0"/>
      <w:marBottom w:val="0"/>
      <w:divBdr>
        <w:top w:val="none" w:sz="0" w:space="0" w:color="auto"/>
        <w:left w:val="none" w:sz="0" w:space="0" w:color="auto"/>
        <w:bottom w:val="none" w:sz="0" w:space="0" w:color="auto"/>
        <w:right w:val="none" w:sz="0" w:space="0" w:color="auto"/>
      </w:divBdr>
    </w:div>
    <w:div w:id="405348421">
      <w:bodyDiv w:val="1"/>
      <w:marLeft w:val="0"/>
      <w:marRight w:val="0"/>
      <w:marTop w:val="0"/>
      <w:marBottom w:val="0"/>
      <w:divBdr>
        <w:top w:val="none" w:sz="0" w:space="0" w:color="auto"/>
        <w:left w:val="none" w:sz="0" w:space="0" w:color="auto"/>
        <w:bottom w:val="none" w:sz="0" w:space="0" w:color="auto"/>
        <w:right w:val="none" w:sz="0" w:space="0" w:color="auto"/>
      </w:divBdr>
    </w:div>
    <w:div w:id="424032115">
      <w:bodyDiv w:val="1"/>
      <w:marLeft w:val="0"/>
      <w:marRight w:val="0"/>
      <w:marTop w:val="0"/>
      <w:marBottom w:val="0"/>
      <w:divBdr>
        <w:top w:val="none" w:sz="0" w:space="0" w:color="auto"/>
        <w:left w:val="none" w:sz="0" w:space="0" w:color="auto"/>
        <w:bottom w:val="none" w:sz="0" w:space="0" w:color="auto"/>
        <w:right w:val="none" w:sz="0" w:space="0" w:color="auto"/>
      </w:divBdr>
    </w:div>
    <w:div w:id="726029957">
      <w:bodyDiv w:val="1"/>
      <w:marLeft w:val="0"/>
      <w:marRight w:val="0"/>
      <w:marTop w:val="0"/>
      <w:marBottom w:val="0"/>
      <w:divBdr>
        <w:top w:val="none" w:sz="0" w:space="0" w:color="auto"/>
        <w:left w:val="none" w:sz="0" w:space="0" w:color="auto"/>
        <w:bottom w:val="none" w:sz="0" w:space="0" w:color="auto"/>
        <w:right w:val="none" w:sz="0" w:space="0" w:color="auto"/>
      </w:divBdr>
    </w:div>
    <w:div w:id="778986626">
      <w:bodyDiv w:val="1"/>
      <w:marLeft w:val="0"/>
      <w:marRight w:val="0"/>
      <w:marTop w:val="0"/>
      <w:marBottom w:val="0"/>
      <w:divBdr>
        <w:top w:val="none" w:sz="0" w:space="0" w:color="auto"/>
        <w:left w:val="none" w:sz="0" w:space="0" w:color="auto"/>
        <w:bottom w:val="none" w:sz="0" w:space="0" w:color="auto"/>
        <w:right w:val="none" w:sz="0" w:space="0" w:color="auto"/>
      </w:divBdr>
    </w:div>
    <w:div w:id="806164819">
      <w:bodyDiv w:val="1"/>
      <w:marLeft w:val="0"/>
      <w:marRight w:val="0"/>
      <w:marTop w:val="0"/>
      <w:marBottom w:val="0"/>
      <w:divBdr>
        <w:top w:val="none" w:sz="0" w:space="0" w:color="auto"/>
        <w:left w:val="none" w:sz="0" w:space="0" w:color="auto"/>
        <w:bottom w:val="none" w:sz="0" w:space="0" w:color="auto"/>
        <w:right w:val="none" w:sz="0" w:space="0" w:color="auto"/>
      </w:divBdr>
    </w:div>
    <w:div w:id="828904415">
      <w:bodyDiv w:val="1"/>
      <w:marLeft w:val="0"/>
      <w:marRight w:val="0"/>
      <w:marTop w:val="0"/>
      <w:marBottom w:val="0"/>
      <w:divBdr>
        <w:top w:val="none" w:sz="0" w:space="0" w:color="auto"/>
        <w:left w:val="none" w:sz="0" w:space="0" w:color="auto"/>
        <w:bottom w:val="none" w:sz="0" w:space="0" w:color="auto"/>
        <w:right w:val="none" w:sz="0" w:space="0" w:color="auto"/>
      </w:divBdr>
    </w:div>
    <w:div w:id="926886637">
      <w:bodyDiv w:val="1"/>
      <w:marLeft w:val="0"/>
      <w:marRight w:val="0"/>
      <w:marTop w:val="0"/>
      <w:marBottom w:val="0"/>
      <w:divBdr>
        <w:top w:val="none" w:sz="0" w:space="0" w:color="auto"/>
        <w:left w:val="none" w:sz="0" w:space="0" w:color="auto"/>
        <w:bottom w:val="none" w:sz="0" w:space="0" w:color="auto"/>
        <w:right w:val="none" w:sz="0" w:space="0" w:color="auto"/>
      </w:divBdr>
    </w:div>
    <w:div w:id="956058882">
      <w:bodyDiv w:val="1"/>
      <w:marLeft w:val="0"/>
      <w:marRight w:val="0"/>
      <w:marTop w:val="0"/>
      <w:marBottom w:val="0"/>
      <w:divBdr>
        <w:top w:val="none" w:sz="0" w:space="0" w:color="auto"/>
        <w:left w:val="none" w:sz="0" w:space="0" w:color="auto"/>
        <w:bottom w:val="none" w:sz="0" w:space="0" w:color="auto"/>
        <w:right w:val="none" w:sz="0" w:space="0" w:color="auto"/>
      </w:divBdr>
    </w:div>
    <w:div w:id="1139808803">
      <w:bodyDiv w:val="1"/>
      <w:marLeft w:val="0"/>
      <w:marRight w:val="0"/>
      <w:marTop w:val="0"/>
      <w:marBottom w:val="0"/>
      <w:divBdr>
        <w:top w:val="none" w:sz="0" w:space="0" w:color="auto"/>
        <w:left w:val="none" w:sz="0" w:space="0" w:color="auto"/>
        <w:bottom w:val="none" w:sz="0" w:space="0" w:color="auto"/>
        <w:right w:val="none" w:sz="0" w:space="0" w:color="auto"/>
      </w:divBdr>
    </w:div>
    <w:div w:id="1471051882">
      <w:bodyDiv w:val="1"/>
      <w:marLeft w:val="0"/>
      <w:marRight w:val="0"/>
      <w:marTop w:val="0"/>
      <w:marBottom w:val="0"/>
      <w:divBdr>
        <w:top w:val="none" w:sz="0" w:space="0" w:color="auto"/>
        <w:left w:val="none" w:sz="0" w:space="0" w:color="auto"/>
        <w:bottom w:val="none" w:sz="0" w:space="0" w:color="auto"/>
        <w:right w:val="none" w:sz="0" w:space="0" w:color="auto"/>
      </w:divBdr>
    </w:div>
    <w:div w:id="1539705773">
      <w:bodyDiv w:val="1"/>
      <w:marLeft w:val="0"/>
      <w:marRight w:val="0"/>
      <w:marTop w:val="0"/>
      <w:marBottom w:val="0"/>
      <w:divBdr>
        <w:top w:val="none" w:sz="0" w:space="0" w:color="auto"/>
        <w:left w:val="none" w:sz="0" w:space="0" w:color="auto"/>
        <w:bottom w:val="none" w:sz="0" w:space="0" w:color="auto"/>
        <w:right w:val="none" w:sz="0" w:space="0" w:color="auto"/>
      </w:divBdr>
    </w:div>
    <w:div w:id="1577739002">
      <w:bodyDiv w:val="1"/>
      <w:marLeft w:val="0"/>
      <w:marRight w:val="0"/>
      <w:marTop w:val="0"/>
      <w:marBottom w:val="0"/>
      <w:divBdr>
        <w:top w:val="none" w:sz="0" w:space="0" w:color="auto"/>
        <w:left w:val="none" w:sz="0" w:space="0" w:color="auto"/>
        <w:bottom w:val="none" w:sz="0" w:space="0" w:color="auto"/>
        <w:right w:val="none" w:sz="0" w:space="0" w:color="auto"/>
      </w:divBdr>
    </w:div>
    <w:div w:id="1582375529">
      <w:bodyDiv w:val="1"/>
      <w:marLeft w:val="0"/>
      <w:marRight w:val="0"/>
      <w:marTop w:val="0"/>
      <w:marBottom w:val="0"/>
      <w:divBdr>
        <w:top w:val="none" w:sz="0" w:space="0" w:color="auto"/>
        <w:left w:val="none" w:sz="0" w:space="0" w:color="auto"/>
        <w:bottom w:val="none" w:sz="0" w:space="0" w:color="auto"/>
        <w:right w:val="none" w:sz="0" w:space="0" w:color="auto"/>
      </w:divBdr>
    </w:div>
    <w:div w:id="1609773436">
      <w:bodyDiv w:val="1"/>
      <w:marLeft w:val="0"/>
      <w:marRight w:val="0"/>
      <w:marTop w:val="0"/>
      <w:marBottom w:val="0"/>
      <w:divBdr>
        <w:top w:val="none" w:sz="0" w:space="0" w:color="auto"/>
        <w:left w:val="none" w:sz="0" w:space="0" w:color="auto"/>
        <w:bottom w:val="none" w:sz="0" w:space="0" w:color="auto"/>
        <w:right w:val="none" w:sz="0" w:space="0" w:color="auto"/>
      </w:divBdr>
    </w:div>
    <w:div w:id="1629704995">
      <w:bodyDiv w:val="1"/>
      <w:marLeft w:val="0"/>
      <w:marRight w:val="0"/>
      <w:marTop w:val="0"/>
      <w:marBottom w:val="0"/>
      <w:divBdr>
        <w:top w:val="none" w:sz="0" w:space="0" w:color="auto"/>
        <w:left w:val="none" w:sz="0" w:space="0" w:color="auto"/>
        <w:bottom w:val="none" w:sz="0" w:space="0" w:color="auto"/>
        <w:right w:val="none" w:sz="0" w:space="0" w:color="auto"/>
      </w:divBdr>
    </w:div>
    <w:div w:id="1849640525">
      <w:bodyDiv w:val="1"/>
      <w:marLeft w:val="0"/>
      <w:marRight w:val="0"/>
      <w:marTop w:val="0"/>
      <w:marBottom w:val="0"/>
      <w:divBdr>
        <w:top w:val="none" w:sz="0" w:space="0" w:color="auto"/>
        <w:left w:val="none" w:sz="0" w:space="0" w:color="auto"/>
        <w:bottom w:val="none" w:sz="0" w:space="0" w:color="auto"/>
        <w:right w:val="none" w:sz="0" w:space="0" w:color="auto"/>
      </w:divBdr>
    </w:div>
    <w:div w:id="1886021398">
      <w:bodyDiv w:val="1"/>
      <w:marLeft w:val="0"/>
      <w:marRight w:val="0"/>
      <w:marTop w:val="0"/>
      <w:marBottom w:val="0"/>
      <w:divBdr>
        <w:top w:val="none" w:sz="0" w:space="0" w:color="auto"/>
        <w:left w:val="none" w:sz="0" w:space="0" w:color="auto"/>
        <w:bottom w:val="none" w:sz="0" w:space="0" w:color="auto"/>
        <w:right w:val="none" w:sz="0" w:space="0" w:color="auto"/>
      </w:divBdr>
    </w:div>
    <w:div w:id="1888683317">
      <w:bodyDiv w:val="1"/>
      <w:marLeft w:val="0"/>
      <w:marRight w:val="0"/>
      <w:marTop w:val="0"/>
      <w:marBottom w:val="0"/>
      <w:divBdr>
        <w:top w:val="none" w:sz="0" w:space="0" w:color="auto"/>
        <w:left w:val="none" w:sz="0" w:space="0" w:color="auto"/>
        <w:bottom w:val="none" w:sz="0" w:space="0" w:color="auto"/>
        <w:right w:val="none" w:sz="0" w:space="0" w:color="auto"/>
      </w:divBdr>
    </w:div>
    <w:div w:id="1889996008">
      <w:bodyDiv w:val="1"/>
      <w:marLeft w:val="0"/>
      <w:marRight w:val="0"/>
      <w:marTop w:val="0"/>
      <w:marBottom w:val="0"/>
      <w:divBdr>
        <w:top w:val="none" w:sz="0" w:space="0" w:color="auto"/>
        <w:left w:val="none" w:sz="0" w:space="0" w:color="auto"/>
        <w:bottom w:val="none" w:sz="0" w:space="0" w:color="auto"/>
        <w:right w:val="none" w:sz="0" w:space="0" w:color="auto"/>
      </w:divBdr>
    </w:div>
    <w:div w:id="19929020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header"
                  Target="header3.xml"/>
    <Relationship Id="rId14" Type="http://schemas.openxmlformats.org/officeDocument/2006/relationships/footer"
                  Target="footer3.xml"/>
    <Relationship Id="rId15" Type="http://schemas.openxmlformats.org/officeDocument/2006/relationships/fontTable"
                  Target="fontTable.xml"/>
    <Relationship Id="rId16" Type="http://schemas.openxmlformats.org/officeDocument/2006/relationships/theme"
                  Target="theme/theme1.xml"/>
    <Relationship Id="rId1" Type="http://schemas.openxmlformats.org/officeDocument/2006/relationships/customXml"
                  Target="../customXml/item1.xml"/>
    <Relationship Id="rId2" Type="http://schemas.openxmlformats.org/officeDocument/2006/relationships/numbering"
                  Target="numbering.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otnotes"
                  Target="footnotes.xml"/>
    <Relationship Id="rId7"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NoPic" Type="http://schemas.openxmlformats.org/officeDocument/2006/relationships/image"
                  Target="media/image1.jpeg"/>
    <Relationship Id="rIdHyperlink"
                  Type="http://schemas.openxmlformats.org/officeDocument/2006/relationships/hyperlink"
                  Target="https://alphalawyer.cn/ilawregu-search/api/v1/lawregu/redict/d600880e8e9932042123c9949c0242f7"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DCA6C4-851D-5947-B0FB-2EBCDA806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3</Pages>
  <Words>108</Words>
  <Characters>622</Characters>
  <Application>Microsoft Office Word</Application>
  <DocSecurity>0</DocSecurity>
  <Lines>5</Lines>
  <Paragraphs>1</Paragraphs>
  <ScaleCrop>false</ScaleCrop>
  <Manager/>
  <Company/>
  <LinksUpToDate>false</LinksUpToDate>
  <CharactersWithSpaces>729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64</cp:revision>
  <cp:lastPrinted>2018-09-08T01:56:00Z</cp:lastPrinted>
  <dcterms:created xsi:type="dcterms:W3CDTF">2017-10-10T03:02:00Z</dcterms:created>
  <dcterms:modified xsi:type="dcterms:W3CDTF">2021-11-16T08:25:00Z</dcterms:modified>
  <cp:category/>
</cp:coreProperties>
</file>