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90" w:beforeLines="50" w:line="360" w:lineRule="auto"/>
        <w:ind w:firstLine="720"/>
        <w:jc w:val="center"/>
        <w:rPr>
          <w:rFonts w:hint="eastAsia" w:ascii="Times New Roman" w:hAnsi="Times New Roman" w:eastAsia="宋体" w:cs="Times New Roman"/>
          <w:color w:val="auto"/>
          <w:sz w:val="36"/>
          <w:szCs w:val="36"/>
        </w:rPr>
      </w:pPr>
      <w:bookmarkStart w:id="0" w:name="_Hlk138924244"/>
      <w:bookmarkEnd w:id="0"/>
    </w:p>
    <w:p>
      <w:pPr>
        <w:spacing w:before="190" w:beforeLines="50" w:line="360" w:lineRule="auto"/>
        <w:rPr>
          <w:rFonts w:ascii="Times New Roman" w:hAnsi="Times New Roman" w:eastAsia="宋体" w:cs="Times New Roman"/>
          <w:color w:val="auto"/>
          <w:sz w:val="36"/>
          <w:szCs w:val="36"/>
        </w:rPr>
      </w:pPr>
    </w:p>
    <w:p>
      <w:pPr>
        <w:autoSpaceDE w:val="0"/>
        <w:autoSpaceDN w:val="0"/>
        <w:adjustRightInd w:val="0"/>
        <w:spacing w:before="0" w:beforeLines="0" w:line="240" w:lineRule="auto"/>
        <w:jc w:val="center"/>
        <w:rPr>
          <w:rFonts w:hint="eastAsia" w:ascii="文星黑体" w:hAnsi="文星黑体" w:eastAsia="文星黑体" w:cs="文星黑体"/>
          <w:b w:val="0"/>
          <w:bCs w:val="0"/>
          <w:color w:val="auto"/>
          <w:sz w:val="44"/>
          <w:szCs w:val="44"/>
        </w:rPr>
      </w:pPr>
      <w:r>
        <w:rPr>
          <w:rFonts w:hint="eastAsia" w:ascii="文星黑体" w:hAnsi="文星黑体" w:eastAsia="文星黑体" w:cs="文星黑体"/>
          <w:b w:val="0"/>
          <w:bCs w:val="0"/>
          <w:color w:val="auto"/>
          <w:sz w:val="44"/>
          <w:szCs w:val="44"/>
        </w:rPr>
        <w:t>梅州市电动汽车充电基础设施</w:t>
      </w:r>
    </w:p>
    <w:p>
      <w:pPr>
        <w:autoSpaceDE w:val="0"/>
        <w:autoSpaceDN w:val="0"/>
        <w:adjustRightInd w:val="0"/>
        <w:spacing w:before="0" w:beforeLines="0" w:line="240" w:lineRule="auto"/>
        <w:jc w:val="center"/>
        <w:rPr>
          <w:rFonts w:hint="eastAsia" w:ascii="文星黑体" w:hAnsi="文星黑体" w:eastAsia="文星黑体" w:cs="文星黑体"/>
          <w:b w:val="0"/>
          <w:bCs w:val="0"/>
          <w:color w:val="auto"/>
          <w:sz w:val="44"/>
          <w:szCs w:val="44"/>
        </w:rPr>
      </w:pPr>
      <w:r>
        <w:rPr>
          <w:rFonts w:hint="eastAsia" w:ascii="文星黑体" w:hAnsi="文星黑体" w:eastAsia="文星黑体" w:cs="文星黑体"/>
          <w:b w:val="0"/>
          <w:bCs w:val="0"/>
          <w:color w:val="auto"/>
          <w:sz w:val="44"/>
          <w:szCs w:val="44"/>
        </w:rPr>
        <w:t>发展“十四五”规划</w:t>
      </w:r>
    </w:p>
    <w:p>
      <w:pPr>
        <w:autoSpaceDE w:val="0"/>
        <w:autoSpaceDN w:val="0"/>
        <w:adjustRightInd w:val="0"/>
        <w:spacing w:before="0" w:beforeLines="0" w:line="240" w:lineRule="auto"/>
        <w:jc w:val="center"/>
        <w:rPr>
          <w:rFonts w:hint="eastAsia" w:ascii="文星黑体" w:hAnsi="文星黑体" w:eastAsia="文星黑体" w:cs="文星黑体"/>
          <w:b w:val="0"/>
          <w:bCs w:val="0"/>
          <w:color w:val="auto"/>
          <w:sz w:val="44"/>
          <w:szCs w:val="44"/>
        </w:rPr>
      </w:pPr>
      <w:r>
        <w:rPr>
          <w:rFonts w:hint="eastAsia" w:ascii="文星黑体" w:hAnsi="文星黑体" w:eastAsia="文星黑体" w:cs="文星黑体"/>
          <w:b w:val="0"/>
          <w:bCs w:val="0"/>
          <w:color w:val="auto"/>
          <w:sz w:val="44"/>
          <w:szCs w:val="44"/>
        </w:rPr>
        <w:t>（征求意见稿）</w:t>
      </w:r>
    </w:p>
    <w:p>
      <w:pPr>
        <w:spacing w:before="190" w:beforeLines="50" w:line="360" w:lineRule="auto"/>
        <w:ind w:firstLine="560"/>
        <w:jc w:val="center"/>
        <w:rPr>
          <w:rFonts w:ascii="Times New Roman" w:hAnsi="Times New Roman" w:eastAsia="宋体" w:cs="Times New Roman"/>
          <w:color w:val="auto"/>
          <w:sz w:val="32"/>
        </w:rPr>
      </w:pPr>
    </w:p>
    <w:p>
      <w:pPr>
        <w:spacing w:before="190" w:beforeLines="50" w:line="360" w:lineRule="auto"/>
        <w:ind w:firstLine="560"/>
        <w:jc w:val="center"/>
        <w:rPr>
          <w:rFonts w:ascii="Times New Roman" w:hAnsi="Times New Roman" w:eastAsia="宋体" w:cs="Times New Roman"/>
          <w:color w:val="auto"/>
          <w:sz w:val="28"/>
          <w:szCs w:val="28"/>
        </w:rPr>
      </w:pPr>
    </w:p>
    <w:p>
      <w:pPr>
        <w:spacing w:before="190" w:beforeLines="50" w:line="360" w:lineRule="auto"/>
        <w:ind w:firstLine="281" w:firstLineChars="100"/>
        <w:rPr>
          <w:rFonts w:ascii="Times New Roman" w:hAnsi="Times New Roman" w:eastAsia="宋体" w:cs="Times New Roman"/>
          <w:b/>
          <w:bCs/>
          <w:color w:val="auto"/>
          <w:sz w:val="28"/>
          <w:szCs w:val="28"/>
        </w:rPr>
      </w:pPr>
    </w:p>
    <w:p>
      <w:pPr>
        <w:spacing w:before="190" w:beforeLines="50" w:line="360" w:lineRule="auto"/>
        <w:ind w:firstLine="281" w:firstLineChars="100"/>
        <w:rPr>
          <w:rFonts w:ascii="Times New Roman" w:hAnsi="Times New Roman" w:eastAsia="宋体" w:cs="Times New Roman"/>
          <w:b/>
          <w:bCs/>
          <w:color w:val="auto"/>
          <w:sz w:val="28"/>
          <w:szCs w:val="28"/>
        </w:rPr>
      </w:pPr>
    </w:p>
    <w:p>
      <w:pPr>
        <w:spacing w:before="190" w:beforeLines="50" w:line="360" w:lineRule="auto"/>
        <w:ind w:firstLine="281" w:firstLineChars="100"/>
        <w:rPr>
          <w:rFonts w:ascii="Times New Roman" w:hAnsi="Times New Roman" w:eastAsia="宋体" w:cs="Times New Roman"/>
          <w:b/>
          <w:bCs/>
          <w:color w:val="auto"/>
          <w:sz w:val="28"/>
          <w:szCs w:val="28"/>
        </w:rPr>
      </w:pPr>
    </w:p>
    <w:p>
      <w:pPr>
        <w:spacing w:before="190" w:beforeLines="50" w:line="360" w:lineRule="auto"/>
        <w:ind w:firstLine="281" w:firstLineChars="100"/>
        <w:rPr>
          <w:rFonts w:ascii="Times New Roman" w:hAnsi="Times New Roman" w:eastAsia="宋体" w:cs="Times New Roman"/>
          <w:b/>
          <w:bCs/>
          <w:color w:val="auto"/>
          <w:sz w:val="28"/>
          <w:szCs w:val="28"/>
        </w:rPr>
      </w:pPr>
    </w:p>
    <w:p>
      <w:pPr>
        <w:spacing w:before="190" w:beforeLines="50" w:line="360" w:lineRule="auto"/>
        <w:ind w:firstLine="562"/>
        <w:rPr>
          <w:rFonts w:ascii="Times New Roman" w:hAnsi="Times New Roman" w:eastAsia="宋体" w:cs="Times New Roman"/>
          <w:b/>
          <w:bCs/>
          <w:color w:val="auto"/>
          <w:sz w:val="28"/>
          <w:szCs w:val="28"/>
        </w:rPr>
      </w:pPr>
    </w:p>
    <w:p>
      <w:pPr>
        <w:spacing w:before="190" w:beforeLines="50" w:line="360" w:lineRule="auto"/>
        <w:ind w:firstLine="562"/>
        <w:rPr>
          <w:rFonts w:ascii="Times New Roman" w:hAnsi="Times New Roman" w:eastAsia="宋体" w:cs="Times New Roman"/>
          <w:b/>
          <w:bCs/>
          <w:color w:val="auto"/>
          <w:sz w:val="28"/>
          <w:szCs w:val="28"/>
        </w:rPr>
      </w:pPr>
    </w:p>
    <w:p>
      <w:pPr>
        <w:spacing w:before="0" w:beforeLines="0" w:line="360" w:lineRule="auto"/>
        <w:rPr>
          <w:rFonts w:ascii="华文细黑" w:hAnsi="华文细黑" w:eastAsia="华文细黑" w:cs="Times New Roman"/>
          <w:color w:val="auto"/>
          <w:sz w:val="28"/>
          <w:szCs w:val="28"/>
        </w:rPr>
      </w:pPr>
    </w:p>
    <w:p>
      <w:pPr>
        <w:spacing w:before="0" w:beforeLines="0" w:line="360" w:lineRule="auto"/>
        <w:jc w:val="center"/>
        <w:rPr>
          <w:rFonts w:ascii="华文细黑" w:hAnsi="华文细黑" w:eastAsia="华文细黑" w:cs="Times New Roman"/>
          <w:color w:val="auto"/>
          <w:sz w:val="28"/>
          <w:szCs w:val="28"/>
        </w:rPr>
      </w:pPr>
      <w:r>
        <w:rPr>
          <w:rFonts w:hint="eastAsia" w:ascii="华文细黑" w:hAnsi="华文细黑" w:eastAsia="华文细黑" w:cs="Times New Roman"/>
          <w:color w:val="auto"/>
          <w:sz w:val="28"/>
          <w:szCs w:val="28"/>
        </w:rPr>
        <w:t>梅州市发展改革局</w:t>
      </w:r>
    </w:p>
    <w:p>
      <w:pPr>
        <w:spacing w:before="0" w:beforeLines="0"/>
        <w:jc w:val="center"/>
        <w:rPr>
          <w:rFonts w:ascii="华文细黑" w:hAnsi="华文细黑" w:eastAsia="华文细黑" w:cs="Times New Roman"/>
          <w:color w:val="auto"/>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510" w:footer="992" w:gutter="0"/>
          <w:cols w:space="425" w:num="1"/>
          <w:titlePg/>
          <w:docGrid w:type="lines" w:linePitch="381" w:charSpace="0"/>
        </w:sectPr>
      </w:pPr>
      <w:r>
        <w:rPr>
          <w:rFonts w:hint="eastAsia" w:ascii="华文细黑" w:hAnsi="华文细黑" w:eastAsia="华文细黑" w:cs="Times New Roman"/>
          <w:color w:val="auto"/>
          <w:sz w:val="28"/>
          <w:szCs w:val="28"/>
        </w:rPr>
        <w:t>2</w:t>
      </w:r>
      <w:r>
        <w:rPr>
          <w:rFonts w:ascii="华文细黑" w:hAnsi="华文细黑" w:eastAsia="华文细黑" w:cs="Times New Roman"/>
          <w:color w:val="auto"/>
          <w:sz w:val="28"/>
          <w:szCs w:val="28"/>
        </w:rPr>
        <w:t>023</w:t>
      </w:r>
      <w:r>
        <w:rPr>
          <w:rFonts w:hint="eastAsia" w:ascii="华文细黑" w:hAnsi="华文细黑" w:eastAsia="华文细黑" w:cs="Times New Roman"/>
          <w:color w:val="auto"/>
          <w:sz w:val="28"/>
          <w:szCs w:val="28"/>
        </w:rPr>
        <w:t>年1</w:t>
      </w:r>
      <w:r>
        <w:rPr>
          <w:rFonts w:hint="eastAsia" w:ascii="华文细黑" w:hAnsi="华文细黑" w:eastAsia="华文细黑" w:cs="Times New Roman"/>
          <w:color w:val="auto"/>
          <w:sz w:val="28"/>
          <w:szCs w:val="28"/>
          <w:lang w:val="en-US" w:eastAsia="zh-CN"/>
        </w:rPr>
        <w:t>1</w:t>
      </w:r>
      <w:r>
        <w:rPr>
          <w:rFonts w:hint="eastAsia" w:ascii="华文细黑" w:hAnsi="华文细黑" w:eastAsia="华文细黑" w:cs="Times New Roman"/>
          <w:color w:val="auto"/>
          <w:sz w:val="28"/>
          <w:szCs w:val="28"/>
        </w:rPr>
        <w:t>月</w:t>
      </w:r>
    </w:p>
    <w:sdt>
      <w:sdtPr>
        <w:rPr>
          <w:rFonts w:ascii="Calibri" w:hAnsi="Calibri" w:eastAsia="仿宋" w:cs="Times New Roman"/>
          <w:color w:val="auto"/>
          <w:kern w:val="2"/>
          <w:sz w:val="28"/>
          <w:szCs w:val="24"/>
          <w:lang w:val="zh-CN" w:eastAsia="zh-CN" w:bidi="ar-SA"/>
        </w:rPr>
        <w:id w:val="-737870950"/>
      </w:sdtPr>
      <w:sdtEndPr>
        <w:rPr>
          <w:rFonts w:ascii="Calibri" w:hAnsi="Calibri" w:eastAsia="宋体" w:cs="Times New Roman"/>
          <w:b/>
          <w:bCs/>
          <w:color w:val="auto"/>
          <w:kern w:val="2"/>
          <w:sz w:val="28"/>
          <w:szCs w:val="24"/>
          <w:lang w:val="zh-CN" w:eastAsia="zh-CN" w:bidi="ar-SA"/>
        </w:rPr>
      </w:sdtEndPr>
      <w:sdtContent>
        <w:p>
          <w:pPr>
            <w:keepNext/>
            <w:keepLines/>
            <w:widowControl/>
            <w:numPr>
              <w:ilvl w:val="0"/>
              <w:numId w:val="0"/>
            </w:numPr>
            <w:tabs>
              <w:tab w:val="left" w:pos="3590"/>
              <w:tab w:val="center" w:pos="4368"/>
            </w:tabs>
            <w:spacing w:before="240" w:beforeLines="100" w:after="0" w:line="360" w:lineRule="auto"/>
            <w:ind w:left="431"/>
            <w:jc w:val="center"/>
            <w:outlineLvl w:val="9"/>
            <w:rPr>
              <w:rFonts w:ascii="Calibri Light" w:hAnsi="Calibri Light" w:eastAsia="宋体" w:cs="Times New Roman"/>
              <w:b/>
              <w:bCs/>
              <w:color w:val="auto"/>
              <w:kern w:val="0"/>
              <w:sz w:val="44"/>
              <w:szCs w:val="36"/>
              <w:lang w:val="en-US" w:eastAsia="zh-CN" w:bidi="ar-SA"/>
            </w:rPr>
          </w:pPr>
          <w:bookmarkStart w:id="1" w:name="_Toc82095189"/>
          <w:bookmarkStart w:id="2" w:name="_Toc83484243"/>
          <w:r>
            <w:rPr>
              <w:rFonts w:ascii="宋体" w:hAnsi="宋体" w:eastAsia="宋体" w:cs="宋体"/>
              <w:b/>
              <w:bCs/>
              <w:color w:val="auto"/>
              <w:kern w:val="2"/>
              <w:sz w:val="44"/>
              <w:szCs w:val="36"/>
              <w:lang w:val="en-US" w:eastAsia="zh-CN" w:bidi="ar-SA"/>
            </w:rPr>
            <w:t>目</w:t>
          </w:r>
          <w:r>
            <w:rPr>
              <w:rFonts w:hint="eastAsia" w:ascii="宋体" w:hAnsi="宋体" w:eastAsia="宋体" w:cs="宋体"/>
              <w:b/>
              <w:bCs/>
              <w:color w:val="auto"/>
              <w:kern w:val="2"/>
              <w:sz w:val="44"/>
              <w:szCs w:val="36"/>
              <w:lang w:val="en-US" w:eastAsia="zh-CN" w:bidi="ar-SA"/>
            </w:rPr>
            <w:t xml:space="preserve">  </w:t>
          </w:r>
          <w:r>
            <w:rPr>
              <w:rFonts w:ascii="宋体" w:hAnsi="宋体" w:eastAsia="宋体" w:cs="宋体"/>
              <w:b/>
              <w:bCs/>
              <w:color w:val="auto"/>
              <w:kern w:val="2"/>
              <w:sz w:val="44"/>
              <w:szCs w:val="36"/>
              <w:lang w:val="en-US" w:eastAsia="zh-CN" w:bidi="ar-SA"/>
            </w:rPr>
            <w:t>录</w:t>
          </w:r>
        </w:p>
        <w:p>
          <w:pPr>
            <w:widowControl w:val="0"/>
            <w:tabs>
              <w:tab w:val="left" w:pos="1680"/>
              <w:tab w:val="right" w:leader="dot" w:pos="8300"/>
            </w:tabs>
            <w:spacing w:before="0" w:beforeLines="0" w:line="360" w:lineRule="auto"/>
            <w:ind w:left="420" w:leftChars="200"/>
            <w:jc w:val="left"/>
            <w:rPr>
              <w:rFonts w:ascii="Calibri" w:hAnsi="Calibri" w:eastAsia="宋体" w:cs="Times New Roman"/>
              <w:b w:val="0"/>
              <w:bCs w:val="0"/>
              <w:color w:val="auto"/>
              <w:kern w:val="2"/>
              <w:sz w:val="22"/>
              <w:szCs w:val="22"/>
              <w:lang w:val="en-US" w:eastAsia="zh-CN" w:bidi="ar-SA"/>
            </w:rPr>
          </w:pPr>
          <w:r>
            <w:rPr>
              <w:rFonts w:ascii="仿宋" w:hAnsi="仿宋" w:eastAsia="宋体" w:cs="Times New Roman"/>
              <w:b/>
              <w:bCs/>
              <w:color w:val="auto"/>
              <w:kern w:val="2"/>
              <w:sz w:val="36"/>
              <w:szCs w:val="28"/>
              <w:lang w:val="en-US" w:eastAsia="zh-CN" w:bidi="ar-SA"/>
            </w:rPr>
            <w:fldChar w:fldCharType="begin"/>
          </w:r>
          <w:r>
            <w:rPr>
              <w:rFonts w:ascii="仿宋" w:hAnsi="仿宋" w:eastAsia="宋体" w:cs="Times New Roman"/>
              <w:b/>
              <w:bCs/>
              <w:color w:val="auto"/>
              <w:kern w:val="2"/>
              <w:sz w:val="36"/>
              <w:szCs w:val="28"/>
              <w:lang w:val="en-US" w:eastAsia="zh-CN" w:bidi="ar-SA"/>
            </w:rPr>
            <w:instrText xml:space="preserve"> TOC \o "1-2" \h \z \u </w:instrText>
          </w:r>
          <w:r>
            <w:rPr>
              <w:rFonts w:ascii="仿宋" w:hAnsi="仿宋" w:eastAsia="宋体" w:cs="Times New Roman"/>
              <w:b/>
              <w:bCs/>
              <w:color w:val="auto"/>
              <w:kern w:val="2"/>
              <w:sz w:val="36"/>
              <w:szCs w:val="28"/>
              <w:lang w:val="en-US" w:eastAsia="zh-CN" w:bidi="ar-SA"/>
            </w:rPr>
            <w:fldChar w:fldCharType="separate"/>
          </w:r>
          <w:r>
            <w:rPr>
              <w:rFonts w:ascii="仿宋" w:hAnsi="仿宋" w:eastAsia="宋体" w:cs="Times New Roman"/>
              <w:b/>
              <w:bCs/>
              <w:color w:val="auto"/>
              <w:kern w:val="2"/>
              <w:sz w:val="28"/>
              <w:szCs w:val="32"/>
              <w:lang w:val="en-US" w:eastAsia="zh-CN" w:bidi="ar-SA"/>
            </w:rPr>
            <w:fldChar w:fldCharType="begin"/>
          </w:r>
          <w:r>
            <w:rPr>
              <w:rFonts w:ascii="仿宋" w:hAnsi="仿宋" w:eastAsia="宋体" w:cs="Times New Roman"/>
              <w:b/>
              <w:bCs/>
              <w:color w:val="auto"/>
              <w:kern w:val="2"/>
              <w:sz w:val="28"/>
              <w:szCs w:val="32"/>
              <w:lang w:val="en-US" w:eastAsia="zh-CN" w:bidi="ar-SA"/>
            </w:rPr>
            <w:instrText xml:space="preserve"> HYPERLINK \l "_Toc148683012" </w:instrText>
          </w:r>
          <w:r>
            <w:rPr>
              <w:rFonts w:ascii="仿宋" w:hAnsi="仿宋" w:eastAsia="宋体" w:cs="Times New Roman"/>
              <w:b/>
              <w:bCs/>
              <w:color w:val="auto"/>
              <w:kern w:val="2"/>
              <w:sz w:val="28"/>
              <w:szCs w:val="32"/>
              <w:lang w:val="en-US" w:eastAsia="zh-CN" w:bidi="ar-SA"/>
            </w:rPr>
            <w:fldChar w:fldCharType="separate"/>
          </w:r>
          <w:r>
            <w:rPr>
              <w:rFonts w:hint="eastAsia" w:ascii="Calibri" w:hAnsi="Calibri" w:eastAsia="宋体" w:cs="Times New Roman"/>
              <w:b/>
              <w:bCs/>
              <w:color w:val="auto"/>
              <w:kern w:val="2"/>
              <w:sz w:val="32"/>
              <w:szCs w:val="24"/>
              <w:u w:val="single"/>
              <w:lang w:val="en-US" w:eastAsia="zh-CN" w:bidi="ar-SA"/>
            </w:rPr>
            <w:t>一、</w:t>
          </w:r>
          <w:r>
            <w:rPr>
              <w:rFonts w:ascii="Calibri" w:hAnsi="Calibri" w:eastAsia="宋体" w:cs="Times New Roman"/>
              <w:b/>
              <w:bCs/>
              <w:color w:val="auto"/>
              <w:kern w:val="2"/>
              <w:sz w:val="32"/>
              <w:szCs w:val="24"/>
              <w:u w:val="single"/>
              <w:lang w:val="en-US" w:eastAsia="zh-CN" w:bidi="ar-SA"/>
            </w:rPr>
            <w:t>发展基础</w:t>
          </w:r>
          <w:r>
            <w:rPr>
              <w:rFonts w:ascii="仿宋" w:hAnsi="仿宋" w:eastAsia="宋体" w:cs="Times New Roman"/>
              <w:b/>
              <w:bCs/>
              <w:color w:val="auto"/>
              <w:kern w:val="2"/>
              <w:sz w:val="32"/>
              <w:szCs w:val="32"/>
              <w:lang w:val="en-US" w:eastAsia="zh-CN" w:bidi="ar-SA"/>
            </w:rPr>
            <w:tab/>
          </w:r>
          <w:r>
            <w:rPr>
              <w:rFonts w:ascii="仿宋" w:hAnsi="仿宋" w:eastAsia="宋体" w:cs="Times New Roman"/>
              <w:b/>
              <w:bCs/>
              <w:color w:val="auto"/>
              <w:kern w:val="2"/>
              <w:sz w:val="32"/>
              <w:szCs w:val="32"/>
              <w:lang w:val="en-US" w:eastAsia="zh-CN" w:bidi="ar-SA"/>
            </w:rPr>
            <w:fldChar w:fldCharType="begin"/>
          </w:r>
          <w:r>
            <w:rPr>
              <w:rFonts w:ascii="仿宋" w:hAnsi="仿宋" w:eastAsia="宋体" w:cs="Times New Roman"/>
              <w:b/>
              <w:bCs/>
              <w:color w:val="auto"/>
              <w:kern w:val="2"/>
              <w:sz w:val="32"/>
              <w:szCs w:val="32"/>
              <w:lang w:val="en-US" w:eastAsia="zh-CN" w:bidi="ar-SA"/>
            </w:rPr>
            <w:instrText xml:space="preserve"> PAGEREF _Toc148683012 \h </w:instrText>
          </w:r>
          <w:r>
            <w:rPr>
              <w:rFonts w:ascii="仿宋" w:hAnsi="仿宋" w:eastAsia="宋体" w:cs="Times New Roman"/>
              <w:b/>
              <w:bCs/>
              <w:color w:val="auto"/>
              <w:kern w:val="2"/>
              <w:sz w:val="32"/>
              <w:szCs w:val="32"/>
              <w:lang w:val="en-US" w:eastAsia="zh-CN" w:bidi="ar-SA"/>
            </w:rPr>
            <w:fldChar w:fldCharType="separate"/>
          </w:r>
          <w:r>
            <w:rPr>
              <w:rFonts w:ascii="仿宋" w:hAnsi="仿宋" w:eastAsia="宋体" w:cs="Times New Roman"/>
              <w:b/>
              <w:bCs/>
              <w:color w:val="auto"/>
              <w:kern w:val="2"/>
              <w:sz w:val="32"/>
              <w:szCs w:val="32"/>
              <w:lang w:val="en-US" w:eastAsia="zh-CN" w:bidi="ar-SA"/>
            </w:rPr>
            <w:t>3</w:t>
          </w:r>
          <w:r>
            <w:rPr>
              <w:rFonts w:ascii="仿宋" w:hAnsi="仿宋" w:eastAsia="宋体" w:cs="Times New Roman"/>
              <w:b/>
              <w:bCs/>
              <w:color w:val="auto"/>
              <w:kern w:val="2"/>
              <w:sz w:val="32"/>
              <w:szCs w:val="32"/>
              <w:lang w:val="en-US" w:eastAsia="zh-CN" w:bidi="ar-SA"/>
            </w:rPr>
            <w:fldChar w:fldCharType="end"/>
          </w:r>
          <w:r>
            <w:rPr>
              <w:rFonts w:ascii="仿宋" w:hAnsi="仿宋" w:eastAsia="宋体" w:cs="Times New Roman"/>
              <w:b/>
              <w:bCs/>
              <w:color w:val="auto"/>
              <w:kern w:val="2"/>
              <w:sz w:val="32"/>
              <w:szCs w:val="32"/>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"_Toc148683013"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（一）</w:t>
          </w:r>
          <w:r>
            <w:rPr>
              <w:rFonts w:ascii="Calibri" w:hAnsi="Calibri" w:eastAsia="宋体" w:cs="Times New Roman"/>
              <w:color w:val="auto"/>
              <w:kern w:val="2"/>
              <w:sz w:val="28"/>
              <w:szCs w:val="24"/>
              <w:u w:val="single"/>
              <w:lang w:val="en-US" w:eastAsia="zh-CN" w:bidi="ar-SA"/>
            </w:rPr>
            <w:t>发展现状</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_Toc148683013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3</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"_Toc148683014"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（二）</w:t>
          </w:r>
          <w:r>
            <w:rPr>
              <w:rFonts w:ascii="Calibri" w:hAnsi="Calibri" w:eastAsia="宋体" w:cs="Times New Roman"/>
              <w:color w:val="auto"/>
              <w:kern w:val="2"/>
              <w:sz w:val="28"/>
              <w:szCs w:val="24"/>
              <w:u w:val="single"/>
              <w:lang w:val="en-US" w:eastAsia="zh-CN" w:bidi="ar-SA"/>
            </w:rPr>
            <w:t>存在问题</w:t>
          </w:r>
          <w:r>
            <w:rPr>
              <w:rFonts w:ascii="仿宋" w:hAnsi="仿宋" w:eastAsia="宋体" w:cs="Times New Roman"/>
              <w:color w:val="auto"/>
              <w:kern w:val="2"/>
              <w:sz w:val="28"/>
              <w:szCs w:val="36"/>
              <w:lang w:val="en-US" w:eastAsia="zh-CN" w:bidi="ar-SA"/>
            </w:rPr>
            <w:tab/>
          </w:r>
          <w:r>
            <w:rPr>
              <w:rFonts w:hint="eastAsia" w:ascii="仿宋" w:hAnsi="仿宋" w:eastAsia="宋体" w:cs="Times New Roman"/>
              <w:color w:val="auto"/>
              <w:kern w:val="2"/>
              <w:sz w:val="28"/>
              <w:szCs w:val="36"/>
              <w:lang w:val="en-US" w:eastAsia="zh-CN" w:bidi="ar-SA"/>
            </w:rPr>
            <w:t xml:space="preserve"> </w:t>
          </w:r>
          <w:r>
            <w:rPr>
              <w:rFonts w:ascii="仿宋" w:hAnsi="仿宋" w:eastAsia="宋体" w:cs="Times New Roman"/>
              <w:color w:val="auto"/>
              <w:kern w:val="2"/>
              <w:sz w:val="28"/>
              <w:szCs w:val="36"/>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"_Toc148683015"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（三）</w:t>
          </w:r>
          <w:r>
            <w:rPr>
              <w:rFonts w:ascii="Calibri" w:hAnsi="Calibri" w:eastAsia="宋体" w:cs="Times New Roman"/>
              <w:color w:val="auto"/>
              <w:kern w:val="2"/>
              <w:sz w:val="28"/>
              <w:szCs w:val="24"/>
              <w:u w:val="single"/>
              <w:lang w:val="en-US" w:eastAsia="zh-CN" w:bidi="ar-SA"/>
            </w:rPr>
            <w:t>发展形势</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_Toc148683015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4</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680"/>
              <w:tab w:val="right" w:leader="dot" w:pos="8300"/>
            </w:tabs>
            <w:spacing w:before="0" w:beforeLines="0" w:line="360" w:lineRule="auto"/>
            <w:ind w:left="420" w:leftChars="200"/>
            <w:jc w:val="left"/>
            <w:rPr>
              <w:rFonts w:ascii="Calibri" w:hAnsi="Calibri" w:eastAsia="宋体" w:cs="Times New Roman"/>
              <w:b w:val="0"/>
              <w:bCs w:val="0"/>
              <w:color w:val="auto"/>
              <w:kern w:val="2"/>
              <w:sz w:val="22"/>
              <w:szCs w:val="22"/>
              <w:lang w:val="en-US" w:eastAsia="zh-CN" w:bidi="ar-SA"/>
            </w:rPr>
          </w:pPr>
          <w:r>
            <w:rPr>
              <w:rFonts w:ascii="仿宋" w:hAnsi="仿宋" w:eastAsia="宋体" w:cs="Times New Roman"/>
              <w:b/>
              <w:bCs/>
              <w:color w:val="auto"/>
              <w:kern w:val="2"/>
              <w:sz w:val="28"/>
              <w:szCs w:val="32"/>
              <w:lang w:val="en-US" w:eastAsia="zh-CN" w:bidi="ar-SA"/>
            </w:rPr>
            <w:fldChar w:fldCharType="begin"/>
          </w:r>
          <w:r>
            <w:rPr>
              <w:rFonts w:ascii="仿宋" w:hAnsi="仿宋" w:eastAsia="宋体" w:cs="Times New Roman"/>
              <w:b/>
              <w:bCs/>
              <w:color w:val="auto"/>
              <w:kern w:val="2"/>
              <w:sz w:val="28"/>
              <w:szCs w:val="32"/>
              <w:lang w:val="en-US" w:eastAsia="zh-CN" w:bidi="ar-SA"/>
            </w:rPr>
            <w:instrText xml:space="preserve"> HYPERLINK \l "_Toc148683016" </w:instrText>
          </w:r>
          <w:r>
            <w:rPr>
              <w:rFonts w:ascii="仿宋" w:hAnsi="仿宋" w:eastAsia="宋体" w:cs="Times New Roman"/>
              <w:b/>
              <w:bCs/>
              <w:color w:val="auto"/>
              <w:kern w:val="2"/>
              <w:sz w:val="28"/>
              <w:szCs w:val="32"/>
              <w:lang w:val="en-US" w:eastAsia="zh-CN" w:bidi="ar-SA"/>
            </w:rPr>
            <w:fldChar w:fldCharType="separate"/>
          </w:r>
          <w:r>
            <w:rPr>
              <w:rFonts w:ascii="Calibri" w:hAnsi="Calibri" w:eastAsia="宋体" w:cs="Times New Roman"/>
              <w:b/>
              <w:bCs/>
              <w:color w:val="auto"/>
              <w:kern w:val="2"/>
              <w:sz w:val="32"/>
              <w:szCs w:val="24"/>
              <w:u w:val="single"/>
              <w:lang w:val="en-US" w:eastAsia="zh-CN" w:bidi="ar-SA"/>
            </w:rPr>
            <w:t>二</w:t>
          </w:r>
          <w:r>
            <w:rPr>
              <w:rFonts w:hint="eastAsia" w:ascii="Calibri" w:hAnsi="Calibri" w:eastAsia="宋体" w:cs="Times New Roman"/>
              <w:b/>
              <w:bCs/>
              <w:color w:val="auto"/>
              <w:kern w:val="2"/>
              <w:sz w:val="32"/>
              <w:szCs w:val="24"/>
              <w:u w:val="single"/>
              <w:lang w:val="en-US" w:eastAsia="zh-CN" w:bidi="ar-SA"/>
            </w:rPr>
            <w:t>、</w:t>
          </w:r>
          <w:r>
            <w:rPr>
              <w:rFonts w:ascii="Calibri" w:hAnsi="Calibri" w:eastAsia="宋体" w:cs="Times New Roman"/>
              <w:b/>
              <w:bCs/>
              <w:color w:val="auto"/>
              <w:kern w:val="2"/>
              <w:sz w:val="32"/>
              <w:szCs w:val="24"/>
              <w:u w:val="single"/>
              <w:lang w:val="en-US" w:eastAsia="zh-CN" w:bidi="ar-SA"/>
            </w:rPr>
            <w:t>需求预测</w:t>
          </w:r>
          <w:r>
            <w:rPr>
              <w:rFonts w:ascii="仿宋" w:hAnsi="仿宋" w:eastAsia="宋体" w:cs="Times New Roman"/>
              <w:b/>
              <w:bCs/>
              <w:color w:val="auto"/>
              <w:kern w:val="2"/>
              <w:sz w:val="32"/>
              <w:szCs w:val="32"/>
              <w:lang w:val="en-US" w:eastAsia="zh-CN" w:bidi="ar-SA"/>
            </w:rPr>
            <w:tab/>
          </w:r>
          <w:r>
            <w:rPr>
              <w:rFonts w:ascii="仿宋" w:hAnsi="仿宋" w:eastAsia="宋体" w:cs="Times New Roman"/>
              <w:b/>
              <w:bCs/>
              <w:color w:val="auto"/>
              <w:kern w:val="2"/>
              <w:sz w:val="32"/>
              <w:szCs w:val="32"/>
              <w:lang w:val="en-US" w:eastAsia="zh-CN" w:bidi="ar-SA"/>
            </w:rPr>
            <w:fldChar w:fldCharType="begin"/>
          </w:r>
          <w:r>
            <w:rPr>
              <w:rFonts w:ascii="仿宋" w:hAnsi="仿宋" w:eastAsia="宋体" w:cs="Times New Roman"/>
              <w:b/>
              <w:bCs/>
              <w:color w:val="auto"/>
              <w:kern w:val="2"/>
              <w:sz w:val="32"/>
              <w:szCs w:val="32"/>
              <w:lang w:val="en-US" w:eastAsia="zh-CN" w:bidi="ar-SA"/>
            </w:rPr>
            <w:instrText xml:space="preserve"> PAGEREF _Toc148683016 \h </w:instrText>
          </w:r>
          <w:r>
            <w:rPr>
              <w:rFonts w:ascii="仿宋" w:hAnsi="仿宋" w:eastAsia="宋体" w:cs="Times New Roman"/>
              <w:b/>
              <w:bCs/>
              <w:color w:val="auto"/>
              <w:kern w:val="2"/>
              <w:sz w:val="32"/>
              <w:szCs w:val="32"/>
              <w:lang w:val="en-US" w:eastAsia="zh-CN" w:bidi="ar-SA"/>
            </w:rPr>
            <w:fldChar w:fldCharType="separate"/>
          </w:r>
          <w:r>
            <w:rPr>
              <w:rFonts w:ascii="仿宋" w:hAnsi="仿宋" w:eastAsia="宋体" w:cs="Times New Roman"/>
              <w:b/>
              <w:bCs/>
              <w:color w:val="auto"/>
              <w:kern w:val="2"/>
              <w:sz w:val="32"/>
              <w:szCs w:val="32"/>
              <w:lang w:val="en-US" w:eastAsia="zh-CN" w:bidi="ar-SA"/>
            </w:rPr>
            <w:t>5</w:t>
          </w:r>
          <w:r>
            <w:rPr>
              <w:rFonts w:ascii="仿宋" w:hAnsi="仿宋" w:eastAsia="宋体" w:cs="Times New Roman"/>
              <w:b/>
              <w:bCs/>
              <w:color w:val="auto"/>
              <w:kern w:val="2"/>
              <w:sz w:val="32"/>
              <w:szCs w:val="32"/>
              <w:lang w:val="en-US" w:eastAsia="zh-CN" w:bidi="ar-SA"/>
            </w:rPr>
            <w:fldChar w:fldCharType="end"/>
          </w:r>
          <w:r>
            <w:rPr>
              <w:rFonts w:ascii="仿宋" w:hAnsi="仿宋" w:eastAsia="宋体" w:cs="Times New Roman"/>
              <w:b/>
              <w:bCs/>
              <w:color w:val="auto"/>
              <w:kern w:val="2"/>
              <w:sz w:val="32"/>
              <w:szCs w:val="32"/>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"_Toc148683017"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（一）</w:t>
          </w:r>
          <w:r>
            <w:rPr>
              <w:rFonts w:ascii="Calibri" w:hAnsi="Calibri" w:eastAsia="宋体" w:cs="Times New Roman"/>
              <w:color w:val="auto"/>
              <w:kern w:val="2"/>
              <w:sz w:val="28"/>
              <w:szCs w:val="24"/>
              <w:u w:val="single"/>
              <w:lang w:val="en-US" w:eastAsia="zh-CN" w:bidi="ar-SA"/>
            </w:rPr>
            <w:t>电动汽车需求预测</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_Toc148683017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5</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"_Toc148683018"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（二）</w:t>
          </w:r>
          <w:r>
            <w:rPr>
              <w:rFonts w:ascii="Calibri" w:hAnsi="Calibri" w:eastAsia="宋体" w:cs="Times New Roman"/>
              <w:color w:val="auto"/>
              <w:kern w:val="2"/>
              <w:sz w:val="28"/>
              <w:szCs w:val="24"/>
              <w:u w:val="single"/>
              <w:lang w:val="en-US" w:eastAsia="zh-CN" w:bidi="ar-SA"/>
            </w:rPr>
            <w:t>充电设施需求预测</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_Toc148683018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7</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680"/>
              <w:tab w:val="right" w:leader="dot" w:pos="8300"/>
            </w:tabs>
            <w:spacing w:before="0" w:beforeLines="0" w:line="360" w:lineRule="auto"/>
            <w:ind w:left="420" w:leftChars="200"/>
            <w:jc w:val="left"/>
            <w:rPr>
              <w:rFonts w:ascii="Calibri" w:hAnsi="Calibri" w:eastAsia="宋体" w:cs="Times New Roman"/>
              <w:b w:val="0"/>
              <w:bCs w:val="0"/>
              <w:color w:val="auto"/>
              <w:kern w:val="2"/>
              <w:sz w:val="22"/>
              <w:szCs w:val="22"/>
              <w:lang w:val="en-US" w:eastAsia="zh-CN" w:bidi="ar-SA"/>
            </w:rPr>
          </w:pPr>
          <w:r>
            <w:rPr>
              <w:rFonts w:ascii="仿宋" w:hAnsi="仿宋" w:eastAsia="宋体" w:cs="Times New Roman"/>
              <w:b/>
              <w:bCs/>
              <w:color w:val="auto"/>
              <w:kern w:val="2"/>
              <w:sz w:val="28"/>
              <w:szCs w:val="32"/>
              <w:lang w:val="en-US" w:eastAsia="zh-CN" w:bidi="ar-SA"/>
            </w:rPr>
            <w:fldChar w:fldCharType="begin"/>
          </w:r>
          <w:r>
            <w:rPr>
              <w:rFonts w:ascii="仿宋" w:hAnsi="仿宋" w:eastAsia="宋体" w:cs="Times New Roman"/>
              <w:b/>
              <w:bCs/>
              <w:color w:val="auto"/>
              <w:kern w:val="2"/>
              <w:sz w:val="28"/>
              <w:szCs w:val="32"/>
              <w:lang w:val="en-US" w:eastAsia="zh-CN" w:bidi="ar-SA"/>
            </w:rPr>
            <w:instrText xml:space="preserve"> HYPERLINK \l "_Toc148683019" </w:instrText>
          </w:r>
          <w:r>
            <w:rPr>
              <w:rFonts w:ascii="仿宋" w:hAnsi="仿宋" w:eastAsia="宋体" w:cs="Times New Roman"/>
              <w:b/>
              <w:bCs/>
              <w:color w:val="auto"/>
              <w:kern w:val="2"/>
              <w:sz w:val="28"/>
              <w:szCs w:val="32"/>
              <w:lang w:val="en-US" w:eastAsia="zh-CN" w:bidi="ar-SA"/>
            </w:rPr>
            <w:fldChar w:fldCharType="separate"/>
          </w:r>
          <w:r>
            <w:rPr>
              <w:rFonts w:ascii="Calibri" w:hAnsi="Calibri" w:eastAsia="宋体" w:cs="Times New Roman"/>
              <w:b/>
              <w:bCs/>
              <w:color w:val="auto"/>
              <w:kern w:val="2"/>
              <w:sz w:val="32"/>
              <w:szCs w:val="24"/>
              <w:u w:val="single"/>
              <w:lang w:val="en-US" w:eastAsia="zh-CN" w:bidi="ar-SA"/>
            </w:rPr>
            <w:t>三</w:t>
          </w:r>
          <w:r>
            <w:rPr>
              <w:rFonts w:hint="eastAsia" w:ascii="Calibri" w:hAnsi="Calibri" w:eastAsia="宋体" w:cs="Times New Roman"/>
              <w:b/>
              <w:bCs/>
              <w:color w:val="auto"/>
              <w:kern w:val="2"/>
              <w:sz w:val="32"/>
              <w:szCs w:val="24"/>
              <w:u w:val="single"/>
              <w:lang w:val="en-US" w:eastAsia="zh-CN" w:bidi="ar-SA"/>
            </w:rPr>
            <w:t>、</w:t>
          </w:r>
          <w:r>
            <w:rPr>
              <w:rFonts w:ascii="Calibri" w:hAnsi="Calibri" w:eastAsia="宋体" w:cs="Times New Roman"/>
              <w:b/>
              <w:bCs/>
              <w:color w:val="auto"/>
              <w:kern w:val="2"/>
              <w:sz w:val="32"/>
              <w:szCs w:val="24"/>
              <w:u w:val="single"/>
              <w:lang w:val="en-US" w:eastAsia="zh-CN" w:bidi="ar-SA"/>
            </w:rPr>
            <w:t>总体要求和发展目标</w:t>
          </w:r>
          <w:r>
            <w:rPr>
              <w:rFonts w:ascii="仿宋" w:hAnsi="仿宋" w:eastAsia="宋体" w:cs="Times New Roman"/>
              <w:b/>
              <w:bCs/>
              <w:color w:val="auto"/>
              <w:kern w:val="2"/>
              <w:sz w:val="32"/>
              <w:szCs w:val="32"/>
              <w:lang w:val="en-US" w:eastAsia="zh-CN" w:bidi="ar-SA"/>
            </w:rPr>
            <w:tab/>
          </w:r>
          <w:r>
            <w:rPr>
              <w:rFonts w:ascii="仿宋" w:hAnsi="仿宋" w:eastAsia="宋体" w:cs="Times New Roman"/>
              <w:b/>
              <w:bCs/>
              <w:color w:val="auto"/>
              <w:kern w:val="2"/>
              <w:sz w:val="32"/>
              <w:szCs w:val="32"/>
              <w:lang w:val="en-US" w:eastAsia="zh-CN" w:bidi="ar-SA"/>
            </w:rPr>
            <w:fldChar w:fldCharType="begin"/>
          </w:r>
          <w:r>
            <w:rPr>
              <w:rFonts w:ascii="仿宋" w:hAnsi="仿宋" w:eastAsia="宋体" w:cs="Times New Roman"/>
              <w:b/>
              <w:bCs/>
              <w:color w:val="auto"/>
              <w:kern w:val="2"/>
              <w:sz w:val="32"/>
              <w:szCs w:val="32"/>
              <w:lang w:val="en-US" w:eastAsia="zh-CN" w:bidi="ar-SA"/>
            </w:rPr>
            <w:instrText xml:space="preserve"> PAGEREF _Toc148683019 \h </w:instrText>
          </w:r>
          <w:r>
            <w:rPr>
              <w:rFonts w:ascii="仿宋" w:hAnsi="仿宋" w:eastAsia="宋体" w:cs="Times New Roman"/>
              <w:b/>
              <w:bCs/>
              <w:color w:val="auto"/>
              <w:kern w:val="2"/>
              <w:sz w:val="32"/>
              <w:szCs w:val="32"/>
              <w:lang w:val="en-US" w:eastAsia="zh-CN" w:bidi="ar-SA"/>
            </w:rPr>
            <w:fldChar w:fldCharType="separate"/>
          </w:r>
          <w:r>
            <w:rPr>
              <w:rFonts w:ascii="仿宋" w:hAnsi="仿宋" w:eastAsia="宋体" w:cs="Times New Roman"/>
              <w:b/>
              <w:bCs/>
              <w:color w:val="auto"/>
              <w:kern w:val="2"/>
              <w:sz w:val="32"/>
              <w:szCs w:val="32"/>
              <w:lang w:val="en-US" w:eastAsia="zh-CN" w:bidi="ar-SA"/>
            </w:rPr>
            <w:t>7</w:t>
          </w:r>
          <w:r>
            <w:rPr>
              <w:rFonts w:ascii="仿宋" w:hAnsi="仿宋" w:eastAsia="宋体" w:cs="Times New Roman"/>
              <w:b/>
              <w:bCs/>
              <w:color w:val="auto"/>
              <w:kern w:val="2"/>
              <w:sz w:val="32"/>
              <w:szCs w:val="32"/>
              <w:lang w:val="en-US" w:eastAsia="zh-CN" w:bidi="ar-SA"/>
            </w:rPr>
            <w:fldChar w:fldCharType="end"/>
          </w:r>
          <w:r>
            <w:rPr>
              <w:rFonts w:ascii="仿宋" w:hAnsi="仿宋" w:eastAsia="宋体" w:cs="Times New Roman"/>
              <w:b/>
              <w:bCs/>
              <w:color w:val="auto"/>
              <w:kern w:val="2"/>
              <w:sz w:val="32"/>
              <w:szCs w:val="32"/>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"_Toc148683020"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（一）</w:t>
          </w:r>
          <w:r>
            <w:rPr>
              <w:rFonts w:ascii="Calibri" w:hAnsi="Calibri" w:eastAsia="宋体" w:cs="Times New Roman"/>
              <w:color w:val="auto"/>
              <w:kern w:val="2"/>
              <w:sz w:val="28"/>
              <w:szCs w:val="24"/>
              <w:u w:val="single"/>
              <w:lang w:val="en-US" w:eastAsia="zh-CN" w:bidi="ar-SA"/>
            </w:rPr>
            <w:t>指导思想</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_Toc148683020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7</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"_Toc148683021"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（二）</w:t>
          </w:r>
          <w:r>
            <w:rPr>
              <w:rFonts w:ascii="Calibri" w:hAnsi="Calibri" w:eastAsia="宋体" w:cs="Times New Roman"/>
              <w:color w:val="auto"/>
              <w:kern w:val="2"/>
              <w:sz w:val="28"/>
              <w:szCs w:val="24"/>
              <w:u w:val="single"/>
              <w:lang w:val="en-US" w:eastAsia="zh-CN" w:bidi="ar-SA"/>
            </w:rPr>
            <w:t>发展原则</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_Toc148683021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8</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"_Toc148683022"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（三）</w:t>
          </w:r>
          <w:r>
            <w:rPr>
              <w:rFonts w:ascii="Calibri" w:hAnsi="Calibri" w:eastAsia="宋体" w:cs="Times New Roman"/>
              <w:color w:val="auto"/>
              <w:kern w:val="2"/>
              <w:sz w:val="28"/>
              <w:szCs w:val="24"/>
              <w:u w:val="single"/>
              <w:lang w:val="en-US" w:eastAsia="zh-CN" w:bidi="ar-SA"/>
            </w:rPr>
            <w:t>发展目标</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_Toc148683022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8</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680"/>
              <w:tab w:val="right" w:leader="dot" w:pos="8300"/>
            </w:tabs>
            <w:spacing w:before="0" w:beforeLines="0" w:line="360" w:lineRule="auto"/>
            <w:ind w:left="420" w:leftChars="200"/>
            <w:jc w:val="left"/>
            <w:rPr>
              <w:rFonts w:ascii="Calibri" w:hAnsi="Calibri" w:eastAsia="宋体" w:cs="Times New Roman"/>
              <w:b w:val="0"/>
              <w:bCs w:val="0"/>
              <w:color w:val="auto"/>
              <w:kern w:val="2"/>
              <w:sz w:val="22"/>
              <w:szCs w:val="22"/>
              <w:lang w:val="en-US" w:eastAsia="zh-CN" w:bidi="ar-SA"/>
            </w:rPr>
          </w:pPr>
          <w:r>
            <w:rPr>
              <w:rFonts w:ascii="仿宋" w:hAnsi="仿宋" w:eastAsia="宋体" w:cs="Times New Roman"/>
              <w:b/>
              <w:bCs/>
              <w:color w:val="auto"/>
              <w:kern w:val="2"/>
              <w:sz w:val="28"/>
              <w:szCs w:val="32"/>
              <w:lang w:val="en-US" w:eastAsia="zh-CN" w:bidi="ar-SA"/>
            </w:rPr>
            <w:fldChar w:fldCharType="begin"/>
          </w:r>
          <w:r>
            <w:rPr>
              <w:rFonts w:ascii="仿宋" w:hAnsi="仿宋" w:eastAsia="宋体" w:cs="Times New Roman"/>
              <w:b/>
              <w:bCs/>
              <w:color w:val="auto"/>
              <w:kern w:val="2"/>
              <w:sz w:val="28"/>
              <w:szCs w:val="32"/>
              <w:lang w:val="en-US" w:eastAsia="zh-CN" w:bidi="ar-SA"/>
            </w:rPr>
            <w:instrText xml:space="preserve"> HYPERLINK \l "_Toc148683023" </w:instrText>
          </w:r>
          <w:r>
            <w:rPr>
              <w:rFonts w:ascii="仿宋" w:hAnsi="仿宋" w:eastAsia="宋体" w:cs="Times New Roman"/>
              <w:b/>
              <w:bCs/>
              <w:color w:val="auto"/>
              <w:kern w:val="2"/>
              <w:sz w:val="28"/>
              <w:szCs w:val="32"/>
              <w:lang w:val="en-US" w:eastAsia="zh-CN" w:bidi="ar-SA"/>
            </w:rPr>
            <w:fldChar w:fldCharType="separate"/>
          </w:r>
          <w:r>
            <w:rPr>
              <w:rFonts w:ascii="Calibri" w:hAnsi="Calibri" w:eastAsia="宋体" w:cs="Times New Roman"/>
              <w:b/>
              <w:bCs/>
              <w:color w:val="auto"/>
              <w:kern w:val="2"/>
              <w:sz w:val="32"/>
              <w:szCs w:val="24"/>
              <w:u w:val="single"/>
              <w:lang w:val="en-US" w:eastAsia="zh-CN" w:bidi="ar-SA"/>
            </w:rPr>
            <w:t>四</w:t>
          </w:r>
          <w:r>
            <w:rPr>
              <w:rFonts w:hint="eastAsia" w:ascii="Calibri" w:hAnsi="Calibri" w:eastAsia="宋体" w:cs="Times New Roman"/>
              <w:b/>
              <w:bCs/>
              <w:color w:val="auto"/>
              <w:kern w:val="2"/>
              <w:sz w:val="32"/>
              <w:szCs w:val="24"/>
              <w:u w:val="single"/>
              <w:lang w:val="en-US" w:eastAsia="zh-CN" w:bidi="ar-SA"/>
            </w:rPr>
            <w:t>、</w:t>
          </w:r>
          <w:r>
            <w:rPr>
              <w:rFonts w:ascii="Calibri" w:hAnsi="Calibri" w:eastAsia="宋体" w:cs="Times New Roman"/>
              <w:b/>
              <w:bCs/>
              <w:color w:val="auto"/>
              <w:kern w:val="2"/>
              <w:sz w:val="32"/>
              <w:szCs w:val="24"/>
              <w:u w:val="single"/>
              <w:lang w:val="en-US" w:eastAsia="zh-CN" w:bidi="ar-SA"/>
            </w:rPr>
            <w:t>主要任务</w:t>
          </w:r>
          <w:r>
            <w:rPr>
              <w:rFonts w:ascii="仿宋" w:hAnsi="仿宋" w:eastAsia="宋体" w:cs="Times New Roman"/>
              <w:b/>
              <w:bCs/>
              <w:color w:val="auto"/>
              <w:kern w:val="2"/>
              <w:sz w:val="32"/>
              <w:szCs w:val="32"/>
              <w:lang w:val="en-US" w:eastAsia="zh-CN" w:bidi="ar-SA"/>
            </w:rPr>
            <w:tab/>
          </w:r>
          <w:r>
            <w:rPr>
              <w:rFonts w:ascii="仿宋" w:hAnsi="仿宋" w:eastAsia="宋体" w:cs="Times New Roman"/>
              <w:b/>
              <w:bCs/>
              <w:color w:val="auto"/>
              <w:kern w:val="2"/>
              <w:sz w:val="32"/>
              <w:szCs w:val="32"/>
              <w:lang w:val="en-US" w:eastAsia="zh-CN" w:bidi="ar-SA"/>
            </w:rPr>
            <w:fldChar w:fldCharType="begin"/>
          </w:r>
          <w:r>
            <w:rPr>
              <w:rFonts w:ascii="仿宋" w:hAnsi="仿宋" w:eastAsia="宋体" w:cs="Times New Roman"/>
              <w:b/>
              <w:bCs/>
              <w:color w:val="auto"/>
              <w:kern w:val="2"/>
              <w:sz w:val="32"/>
              <w:szCs w:val="32"/>
              <w:lang w:val="en-US" w:eastAsia="zh-CN" w:bidi="ar-SA"/>
            </w:rPr>
            <w:instrText xml:space="preserve"> PAGEREF _Toc148683023 \h </w:instrText>
          </w:r>
          <w:r>
            <w:rPr>
              <w:rFonts w:ascii="仿宋" w:hAnsi="仿宋" w:eastAsia="宋体" w:cs="Times New Roman"/>
              <w:b/>
              <w:bCs/>
              <w:color w:val="auto"/>
              <w:kern w:val="2"/>
              <w:sz w:val="32"/>
              <w:szCs w:val="32"/>
              <w:lang w:val="en-US" w:eastAsia="zh-CN" w:bidi="ar-SA"/>
            </w:rPr>
            <w:fldChar w:fldCharType="separate"/>
          </w:r>
          <w:r>
            <w:rPr>
              <w:rFonts w:ascii="仿宋" w:hAnsi="仿宋" w:eastAsia="宋体" w:cs="Times New Roman"/>
              <w:b/>
              <w:bCs/>
              <w:color w:val="auto"/>
              <w:kern w:val="2"/>
              <w:sz w:val="32"/>
              <w:szCs w:val="32"/>
              <w:lang w:val="en-US" w:eastAsia="zh-CN" w:bidi="ar-SA"/>
            </w:rPr>
            <w:t>9</w:t>
          </w:r>
          <w:r>
            <w:rPr>
              <w:rFonts w:ascii="仿宋" w:hAnsi="仿宋" w:eastAsia="宋体" w:cs="Times New Roman"/>
              <w:b/>
              <w:bCs/>
              <w:color w:val="auto"/>
              <w:kern w:val="2"/>
              <w:sz w:val="32"/>
              <w:szCs w:val="32"/>
              <w:lang w:val="en-US" w:eastAsia="zh-CN" w:bidi="ar-SA"/>
            </w:rPr>
            <w:fldChar w:fldCharType="end"/>
          </w:r>
          <w:r>
            <w:rPr>
              <w:rFonts w:ascii="仿宋" w:hAnsi="仿宋" w:eastAsia="宋体" w:cs="Times New Roman"/>
              <w:b/>
              <w:bCs/>
              <w:color w:val="auto"/>
              <w:kern w:val="2"/>
              <w:sz w:val="32"/>
              <w:szCs w:val="32"/>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"_Toc148683024"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（一）</w:t>
          </w:r>
          <w:r>
            <w:rPr>
              <w:rFonts w:ascii="Calibri" w:hAnsi="Calibri" w:eastAsia="宋体" w:cs="Times New Roman"/>
              <w:color w:val="auto"/>
              <w:kern w:val="2"/>
              <w:sz w:val="28"/>
              <w:szCs w:val="24"/>
              <w:u w:val="single"/>
              <w:lang w:val="en-US" w:eastAsia="zh-CN" w:bidi="ar-SA"/>
            </w:rPr>
            <w:t>加快充电基础设施体系建设</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_Toc148683024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9</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Calibri" w:hAnsi="Calibri" w:eastAsia="宋体" w:cs="Times New Roman"/>
              <w:color w:val="auto"/>
              <w:kern w:val="2"/>
              <w:sz w:val="28"/>
              <w:szCs w:val="24"/>
              <w:u w:val="single"/>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"_Toc148683025"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（二）加快推动中心城区公用充电设施建设                10</w:t>
          </w:r>
        </w:p>
        <w:p>
          <w:pPr>
            <w:keepNext w:val="0"/>
            <w:keepLines w:val="0"/>
            <w:pageBreakBefore w:val="0"/>
            <w:widowControl w:val="0"/>
            <w:tabs>
              <w:tab w:val="left" w:pos="1260"/>
              <w:tab w:val="right" w:leader="dot" w:pos="8300"/>
            </w:tabs>
            <w:kinsoku/>
            <w:wordWrap/>
            <w:overflowPunct/>
            <w:topLinePunct w:val="0"/>
            <w:autoSpaceDE/>
            <w:autoSpaceDN/>
            <w:bidi w:val="0"/>
            <w:adjustRightInd/>
            <w:snapToGrid/>
            <w:spacing w:before="0" w:beforeLines="0" w:line="360" w:lineRule="auto"/>
            <w:ind w:firstLine="560" w:firstLineChars="200"/>
            <w:jc w:val="left"/>
            <w:textAlignment w:val="auto"/>
            <w:rPr>
              <w:rFonts w:hint="default" w:ascii="Calibri" w:hAnsi="Calibri" w:eastAsia="宋体" w:cs="Times New Roman"/>
              <w:color w:val="auto"/>
              <w:kern w:val="2"/>
              <w:sz w:val="22"/>
              <w:szCs w:val="22"/>
              <w:lang w:val="en-US" w:eastAsia="zh-CN" w:bidi="ar-SA"/>
            </w:rPr>
          </w:pPr>
          <w:r>
            <w:rPr>
              <w:rFonts w:hint="eastAsia" w:ascii="Calibri" w:hAnsi="Calibri" w:eastAsia="宋体" w:cs="Times New Roman"/>
              <w:color w:val="auto"/>
              <w:kern w:val="2"/>
              <w:sz w:val="28"/>
              <w:szCs w:val="24"/>
              <w:u w:val="single"/>
              <w:lang w:val="en-US" w:eastAsia="zh-CN" w:bidi="ar-SA"/>
            </w:rPr>
            <w:t>（三）推动公共机构内部专用充电基础设施建设</w:t>
          </w:r>
          <w:r>
            <w:rPr>
              <w:rFonts w:ascii="仿宋" w:hAnsi="仿宋" w:eastAsia="宋体" w:cs="Times New Roman"/>
              <w:color w:val="auto"/>
              <w:kern w:val="2"/>
              <w:sz w:val="28"/>
              <w:szCs w:val="36"/>
              <w:lang w:val="en-US" w:eastAsia="zh-CN" w:bidi="ar-SA"/>
            </w:rPr>
            <w:tab/>
          </w:r>
          <w:r>
            <w:rPr>
              <w:rFonts w:hint="eastAsia" w:ascii="仿宋" w:hAnsi="仿宋" w:eastAsia="宋体" w:cs="Times New Roman"/>
              <w:color w:val="auto"/>
              <w:kern w:val="2"/>
              <w:sz w:val="28"/>
              <w:szCs w:val="36"/>
              <w:lang w:val="en-US" w:eastAsia="zh-CN" w:bidi="ar-SA"/>
            </w:rPr>
            <w:t>1</w:t>
          </w:r>
          <w:r>
            <w:rPr>
              <w:rFonts w:ascii="仿宋" w:hAnsi="仿宋" w:eastAsia="宋体" w:cs="Times New Roman"/>
              <w:color w:val="auto"/>
              <w:kern w:val="2"/>
              <w:sz w:val="28"/>
              <w:szCs w:val="36"/>
              <w:lang w:val="en-US" w:eastAsia="zh-CN" w:bidi="ar-SA"/>
            </w:rPr>
            <w:fldChar w:fldCharType="end"/>
          </w:r>
          <w:r>
            <w:rPr>
              <w:rFonts w:hint="eastAsia" w:ascii="仿宋" w:hAnsi="仿宋" w:eastAsia="宋体" w:cs="Times New Roman"/>
              <w:color w:val="auto"/>
              <w:kern w:val="2"/>
              <w:sz w:val="28"/>
              <w:szCs w:val="36"/>
              <w:lang w:val="en-US" w:eastAsia="zh-CN" w:bidi="ar-SA"/>
            </w:rPr>
            <w:t>1</w:t>
          </w:r>
        </w:p>
        <w:p>
          <w:pPr>
            <w:widowControl w:val="0"/>
            <w:tabs>
              <w:tab w:val="left" w:pos="1260"/>
              <w:tab w:val="right" w:leader="dot" w:pos="8300"/>
            </w:tabs>
            <w:spacing w:before="0" w:beforeLines="0" w:line="360" w:lineRule="auto"/>
            <w:ind w:left="420" w:leftChars="200"/>
            <w:jc w:val="left"/>
            <w:rPr>
              <w:rFonts w:ascii="Calibri" w:hAnsi="Calibri" w:eastAsia="宋体" w:cs="Times New Roman"/>
              <w:color w:val="auto"/>
              <w:kern w:val="2"/>
              <w:sz w:val="22"/>
              <w:szCs w:val="22"/>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"_Toc148683026"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（四）有序推进各县（市、区）充电设施建设</w:t>
          </w:r>
          <w:r>
            <w:rPr>
              <w:rFonts w:ascii="仿宋" w:hAnsi="仿宋" w:eastAsia="宋体" w:cs="Times New Roman"/>
              <w:color w:val="auto"/>
              <w:kern w:val="2"/>
              <w:sz w:val="28"/>
              <w:szCs w:val="36"/>
              <w:lang w:val="en-US" w:eastAsia="zh-CN" w:bidi="ar-SA"/>
            </w:rPr>
            <w:tab/>
          </w:r>
          <w:r>
            <w:rPr>
              <w:rFonts w:ascii="仿宋" w:hAnsi="仿宋" w:eastAsia="宋体" w:cs="Times New Roman"/>
              <w:color w:val="auto"/>
              <w:kern w:val="2"/>
              <w:sz w:val="28"/>
              <w:szCs w:val="36"/>
              <w:lang w:val="en-US" w:eastAsia="zh-CN" w:bidi="ar-SA"/>
            </w:rPr>
            <w:fldChar w:fldCharType="begin"/>
          </w:r>
          <w:r>
            <w:rPr>
              <w:rFonts w:ascii="仿宋" w:hAnsi="仿宋" w:eastAsia="宋体" w:cs="Times New Roman"/>
              <w:color w:val="auto"/>
              <w:kern w:val="2"/>
              <w:sz w:val="28"/>
              <w:szCs w:val="36"/>
              <w:lang w:val="en-US" w:eastAsia="zh-CN" w:bidi="ar-SA"/>
            </w:rPr>
            <w:instrText xml:space="preserve"> PAGEREF _Toc148683026 \h </w:instrText>
          </w:r>
          <w:r>
            <w:rPr>
              <w:rFonts w:ascii="仿宋" w:hAnsi="仿宋" w:eastAsia="宋体" w:cs="Times New Roman"/>
              <w:color w:val="auto"/>
              <w:kern w:val="2"/>
              <w:sz w:val="28"/>
              <w:szCs w:val="36"/>
              <w:lang w:val="en-US" w:eastAsia="zh-CN" w:bidi="ar-SA"/>
            </w:rPr>
            <w:fldChar w:fldCharType="separate"/>
          </w:r>
          <w:r>
            <w:rPr>
              <w:rFonts w:ascii="仿宋" w:hAnsi="仿宋" w:eastAsia="宋体" w:cs="Times New Roman"/>
              <w:color w:val="auto"/>
              <w:kern w:val="2"/>
              <w:sz w:val="28"/>
              <w:szCs w:val="36"/>
              <w:lang w:val="en-US" w:eastAsia="zh-CN" w:bidi="ar-SA"/>
            </w:rPr>
            <w:t>13</w:t>
          </w:r>
          <w:r>
            <w:rPr>
              <w:rFonts w:ascii="仿宋" w:hAnsi="仿宋" w:eastAsia="宋体" w:cs="Times New Roman"/>
              <w:color w:val="auto"/>
              <w:kern w:val="2"/>
              <w:sz w:val="28"/>
              <w:szCs w:val="36"/>
              <w:lang w:val="en-US" w:eastAsia="zh-CN" w:bidi="ar-SA"/>
            </w:rPr>
            <w:fldChar w:fldCharType="end"/>
          </w:r>
          <w:r>
            <w:rPr>
              <w:rFonts w:ascii="仿宋" w:hAnsi="仿宋" w:eastAsia="宋体" w:cs="Times New Roman"/>
              <w:color w:val="auto"/>
              <w:kern w:val="2"/>
              <w:sz w:val="28"/>
              <w:szCs w:val="36"/>
              <w:lang w:val="en-US" w:eastAsia="zh-CN" w:bidi="ar-SA"/>
            </w:rPr>
            <w:fldChar w:fldCharType="end"/>
          </w:r>
        </w:p>
        <w:p>
          <w:pPr>
            <w:widowControl w:val="0"/>
            <w:tabs>
              <w:tab w:val="left" w:pos="1260"/>
              <w:tab w:val="right" w:leader="dot" w:pos="8300"/>
            </w:tabs>
            <w:spacing w:before="0" w:beforeLines="0" w:line="360" w:lineRule="auto"/>
            <w:ind w:left="420" w:leftChars="200"/>
            <w:jc w:val="left"/>
            <w:rPr>
              <w:rFonts w:hint="default" w:ascii="仿宋" w:hAnsi="仿宋" w:eastAsia="宋体" w:cs="Times New Roman"/>
              <w:color w:val="auto"/>
              <w:kern w:val="2"/>
              <w:sz w:val="28"/>
              <w:szCs w:val="36"/>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"_Toc148683027"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（五）不断完善城际充电基础设施</w:t>
          </w:r>
          <w:r>
            <w:rPr>
              <w:rFonts w:ascii="仿宋" w:hAnsi="仿宋" w:eastAsia="宋体" w:cs="Times New Roman"/>
              <w:color w:val="auto"/>
              <w:kern w:val="2"/>
              <w:sz w:val="28"/>
              <w:szCs w:val="36"/>
              <w:lang w:val="en-US" w:eastAsia="zh-CN" w:bidi="ar-SA"/>
            </w:rPr>
            <w:tab/>
          </w:r>
          <w:r>
            <w:rPr>
              <w:rFonts w:hint="eastAsia" w:ascii="仿宋" w:hAnsi="仿宋" w:eastAsia="宋体" w:cs="Times New Roman"/>
              <w:color w:val="auto"/>
              <w:kern w:val="2"/>
              <w:sz w:val="28"/>
              <w:szCs w:val="36"/>
              <w:lang w:val="en-US" w:eastAsia="zh-CN" w:bidi="ar-SA"/>
            </w:rPr>
            <w:t>1</w:t>
          </w:r>
          <w:r>
            <w:rPr>
              <w:rFonts w:ascii="仿宋" w:hAnsi="仿宋" w:eastAsia="宋体" w:cs="Times New Roman"/>
              <w:color w:val="auto"/>
              <w:kern w:val="2"/>
              <w:sz w:val="28"/>
              <w:szCs w:val="36"/>
              <w:lang w:val="en-US" w:eastAsia="zh-CN" w:bidi="ar-SA"/>
            </w:rPr>
            <w:fldChar w:fldCharType="end"/>
          </w:r>
          <w:r>
            <w:rPr>
              <w:rFonts w:hint="eastAsia" w:ascii="仿宋" w:hAnsi="仿宋" w:eastAsia="宋体" w:cs="Times New Roman"/>
              <w:color w:val="auto"/>
              <w:kern w:val="2"/>
              <w:sz w:val="28"/>
              <w:szCs w:val="36"/>
              <w:lang w:val="en-US" w:eastAsia="zh-CN" w:bidi="ar-SA"/>
            </w:rPr>
            <w:t>4</w:t>
          </w:r>
        </w:p>
        <w:p>
          <w:pPr>
            <w:widowControl w:val="0"/>
            <w:tabs>
              <w:tab w:val="left" w:pos="1260"/>
              <w:tab w:val="right" w:leader="dot" w:pos="8300"/>
            </w:tabs>
            <w:spacing w:before="0" w:beforeLines="0" w:line="360" w:lineRule="auto"/>
            <w:ind w:left="420" w:leftChars="200"/>
            <w:jc w:val="left"/>
            <w:rPr>
              <w:rFonts w:hint="default" w:ascii="仿宋" w:hAnsi="仿宋" w:eastAsia="宋体" w:cs="Times New Roman"/>
              <w:color w:val="auto"/>
              <w:kern w:val="2"/>
              <w:sz w:val="28"/>
              <w:szCs w:val="36"/>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"_Toc148683027"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（六）强化充电基础设施安全管理</w:t>
          </w:r>
          <w:r>
            <w:rPr>
              <w:rFonts w:ascii="仿宋" w:hAnsi="仿宋" w:eastAsia="宋体" w:cs="Times New Roman"/>
              <w:color w:val="auto"/>
              <w:kern w:val="2"/>
              <w:sz w:val="28"/>
              <w:szCs w:val="36"/>
              <w:lang w:val="en-US" w:eastAsia="zh-CN" w:bidi="ar-SA"/>
            </w:rPr>
            <w:tab/>
          </w:r>
          <w:r>
            <w:rPr>
              <w:rFonts w:hint="eastAsia" w:ascii="仿宋" w:hAnsi="仿宋" w:eastAsia="宋体" w:cs="Times New Roman"/>
              <w:color w:val="auto"/>
              <w:kern w:val="2"/>
              <w:sz w:val="28"/>
              <w:szCs w:val="36"/>
              <w:lang w:val="en-US" w:eastAsia="zh-CN" w:bidi="ar-SA"/>
            </w:rPr>
            <w:t>1</w:t>
          </w:r>
          <w:r>
            <w:rPr>
              <w:rFonts w:ascii="仿宋" w:hAnsi="仿宋" w:eastAsia="宋体" w:cs="Times New Roman"/>
              <w:color w:val="auto"/>
              <w:kern w:val="2"/>
              <w:sz w:val="28"/>
              <w:szCs w:val="36"/>
              <w:lang w:val="en-US" w:eastAsia="zh-CN" w:bidi="ar-SA"/>
            </w:rPr>
            <w:fldChar w:fldCharType="end"/>
          </w:r>
          <w:r>
            <w:rPr>
              <w:rFonts w:hint="eastAsia" w:ascii="仿宋" w:hAnsi="仿宋" w:eastAsia="宋体" w:cs="Times New Roman"/>
              <w:color w:val="auto"/>
              <w:kern w:val="2"/>
              <w:sz w:val="28"/>
              <w:szCs w:val="36"/>
              <w:lang w:val="en-US" w:eastAsia="zh-CN" w:bidi="ar-SA"/>
            </w:rPr>
            <w:t>5</w:t>
          </w:r>
        </w:p>
        <w:p>
          <w:pPr>
            <w:widowControl w:val="0"/>
            <w:tabs>
              <w:tab w:val="left" w:pos="1260"/>
              <w:tab w:val="right" w:leader="dot" w:pos="8300"/>
            </w:tabs>
            <w:spacing w:before="0" w:beforeLines="0" w:line="360" w:lineRule="auto"/>
            <w:ind w:left="420" w:leftChars="200"/>
            <w:jc w:val="left"/>
            <w:rPr>
              <w:rFonts w:hint="eastAsia" w:ascii="仿宋" w:hAnsi="仿宋" w:eastAsia="宋体" w:cs="Times New Roman"/>
              <w:color w:val="auto"/>
              <w:kern w:val="2"/>
              <w:sz w:val="28"/>
              <w:szCs w:val="36"/>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"_Toc148683027"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（七）加强配套供电服务</w:t>
          </w:r>
          <w:r>
            <w:rPr>
              <w:rFonts w:ascii="仿宋" w:hAnsi="仿宋" w:eastAsia="宋体" w:cs="Times New Roman"/>
              <w:color w:val="auto"/>
              <w:kern w:val="2"/>
              <w:sz w:val="28"/>
              <w:szCs w:val="36"/>
              <w:lang w:val="en-US" w:eastAsia="zh-CN" w:bidi="ar-SA"/>
            </w:rPr>
            <w:tab/>
          </w:r>
          <w:r>
            <w:rPr>
              <w:rFonts w:hint="eastAsia" w:ascii="仿宋" w:hAnsi="仿宋" w:eastAsia="宋体" w:cs="Times New Roman"/>
              <w:color w:val="auto"/>
              <w:kern w:val="2"/>
              <w:sz w:val="28"/>
              <w:szCs w:val="36"/>
              <w:lang w:val="en-US" w:eastAsia="zh-CN" w:bidi="ar-SA"/>
            </w:rPr>
            <w:t>1</w:t>
          </w:r>
          <w:r>
            <w:rPr>
              <w:rFonts w:ascii="仿宋" w:hAnsi="仿宋" w:eastAsia="宋体" w:cs="Times New Roman"/>
              <w:color w:val="auto"/>
              <w:kern w:val="2"/>
              <w:sz w:val="28"/>
              <w:szCs w:val="36"/>
              <w:lang w:val="en-US" w:eastAsia="zh-CN" w:bidi="ar-SA"/>
            </w:rPr>
            <w:fldChar w:fldCharType="end"/>
          </w:r>
          <w:r>
            <w:rPr>
              <w:rFonts w:hint="eastAsia" w:ascii="仿宋" w:hAnsi="仿宋" w:eastAsia="宋体" w:cs="Times New Roman"/>
              <w:color w:val="auto"/>
              <w:kern w:val="2"/>
              <w:sz w:val="28"/>
              <w:szCs w:val="36"/>
              <w:lang w:val="en-US" w:eastAsia="zh-CN" w:bidi="ar-SA"/>
            </w:rPr>
            <w:t>5</w:t>
          </w:r>
        </w:p>
        <w:p>
          <w:pPr>
            <w:widowControl w:val="0"/>
            <w:tabs>
              <w:tab w:val="left" w:pos="1260"/>
              <w:tab w:val="right" w:leader="dot" w:pos="8300"/>
            </w:tabs>
            <w:spacing w:before="0" w:beforeLines="0" w:line="360" w:lineRule="auto"/>
            <w:ind w:left="420" w:leftChars="200"/>
            <w:jc w:val="left"/>
            <w:rPr>
              <w:rFonts w:hint="default" w:ascii="仿宋" w:hAnsi="仿宋" w:eastAsia="宋体" w:cs="Times New Roman"/>
              <w:color w:val="auto"/>
              <w:kern w:val="2"/>
              <w:sz w:val="28"/>
              <w:szCs w:val="36"/>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"_Toc148683027"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（八）推动车桩网高效互动</w:t>
          </w:r>
          <w:r>
            <w:rPr>
              <w:rFonts w:ascii="仿宋" w:hAnsi="仿宋" w:eastAsia="宋体" w:cs="Times New Roman"/>
              <w:color w:val="auto"/>
              <w:kern w:val="2"/>
              <w:sz w:val="28"/>
              <w:szCs w:val="36"/>
              <w:lang w:val="en-US" w:eastAsia="zh-CN" w:bidi="ar-SA"/>
            </w:rPr>
            <w:tab/>
          </w:r>
          <w:r>
            <w:rPr>
              <w:rFonts w:hint="eastAsia" w:ascii="仿宋" w:hAnsi="仿宋" w:eastAsia="宋体" w:cs="Times New Roman"/>
              <w:color w:val="auto"/>
              <w:kern w:val="2"/>
              <w:sz w:val="28"/>
              <w:szCs w:val="36"/>
              <w:lang w:val="en-US" w:eastAsia="zh-CN" w:bidi="ar-SA"/>
            </w:rPr>
            <w:t>1</w:t>
          </w:r>
          <w:r>
            <w:rPr>
              <w:rFonts w:ascii="仿宋" w:hAnsi="仿宋" w:eastAsia="宋体" w:cs="Times New Roman"/>
              <w:color w:val="auto"/>
              <w:kern w:val="2"/>
              <w:sz w:val="28"/>
              <w:szCs w:val="36"/>
              <w:lang w:val="en-US" w:eastAsia="zh-CN" w:bidi="ar-SA"/>
            </w:rPr>
            <w:fldChar w:fldCharType="end"/>
          </w:r>
          <w:r>
            <w:rPr>
              <w:rFonts w:hint="eastAsia" w:ascii="仿宋" w:hAnsi="仿宋" w:eastAsia="宋体" w:cs="Times New Roman"/>
              <w:color w:val="auto"/>
              <w:kern w:val="2"/>
              <w:sz w:val="28"/>
              <w:szCs w:val="36"/>
              <w:lang w:val="en-US" w:eastAsia="zh-CN" w:bidi="ar-SA"/>
            </w:rPr>
            <w:t>5</w:t>
          </w:r>
        </w:p>
        <w:p>
          <w:pPr>
            <w:widowControl w:val="0"/>
            <w:tabs>
              <w:tab w:val="left" w:pos="1260"/>
              <w:tab w:val="right" w:leader="dot" w:pos="8300"/>
            </w:tabs>
            <w:spacing w:before="0" w:beforeLines="0" w:line="360" w:lineRule="auto"/>
            <w:ind w:left="420" w:leftChars="200"/>
            <w:jc w:val="left"/>
            <w:rPr>
              <w:rFonts w:hint="eastAsia" w:ascii="仿宋" w:hAnsi="仿宋" w:eastAsia="宋体" w:cs="Times New Roman"/>
              <w:color w:val="auto"/>
              <w:kern w:val="2"/>
              <w:sz w:val="28"/>
              <w:szCs w:val="36"/>
              <w:lang w:val="en-US" w:eastAsia="zh-CN" w:bidi="ar-SA"/>
            </w:rPr>
          </w:pPr>
          <w:r>
            <w:rPr>
              <w:rFonts w:ascii="仿宋" w:hAnsi="仿宋" w:eastAsia="宋体" w:cs="Times New Roman"/>
              <w:color w:val="auto"/>
              <w:kern w:val="2"/>
              <w:sz w:val="24"/>
              <w:szCs w:val="36"/>
              <w:lang w:val="en-US" w:eastAsia="zh-CN" w:bidi="ar-SA"/>
            </w:rPr>
            <w:fldChar w:fldCharType="begin"/>
          </w:r>
          <w:r>
            <w:rPr>
              <w:rFonts w:ascii="仿宋" w:hAnsi="仿宋" w:eastAsia="宋体" w:cs="Times New Roman"/>
              <w:color w:val="auto"/>
              <w:kern w:val="2"/>
              <w:sz w:val="24"/>
              <w:szCs w:val="36"/>
              <w:lang w:val="en-US" w:eastAsia="zh-CN" w:bidi="ar-SA"/>
            </w:rPr>
            <w:instrText xml:space="preserve"> HYPERLINK \l "_Toc148683027" </w:instrText>
          </w:r>
          <w:r>
            <w:rPr>
              <w:rFonts w:ascii="仿宋" w:hAnsi="仿宋" w:eastAsia="宋体" w:cs="Times New Roman"/>
              <w:color w:val="auto"/>
              <w:kern w:val="2"/>
              <w:sz w:val="24"/>
              <w:szCs w:val="36"/>
              <w:lang w:val="en-US" w:eastAsia="zh-CN" w:bidi="ar-SA"/>
            </w:rPr>
            <w:fldChar w:fldCharType="separate"/>
          </w:r>
          <w:r>
            <w:rPr>
              <w:rFonts w:hint="eastAsia" w:ascii="Calibri" w:hAnsi="Calibri" w:eastAsia="宋体" w:cs="Times New Roman"/>
              <w:color w:val="auto"/>
              <w:kern w:val="2"/>
              <w:sz w:val="28"/>
              <w:szCs w:val="24"/>
              <w:u w:val="single"/>
              <w:lang w:val="en-US" w:eastAsia="zh-CN" w:bidi="ar-SA"/>
            </w:rPr>
            <w:t>（九）鼓励“光储充换”综合型充换电场站建设</w:t>
          </w:r>
          <w:r>
            <w:rPr>
              <w:rFonts w:ascii="仿宋" w:hAnsi="仿宋" w:eastAsia="宋体" w:cs="Times New Roman"/>
              <w:color w:val="auto"/>
              <w:kern w:val="2"/>
              <w:sz w:val="28"/>
              <w:szCs w:val="36"/>
              <w:lang w:val="en-US" w:eastAsia="zh-CN" w:bidi="ar-SA"/>
            </w:rPr>
            <w:tab/>
          </w:r>
          <w:r>
            <w:rPr>
              <w:rFonts w:hint="eastAsia" w:ascii="仿宋" w:hAnsi="仿宋" w:eastAsia="宋体" w:cs="Times New Roman"/>
              <w:color w:val="auto"/>
              <w:kern w:val="2"/>
              <w:sz w:val="28"/>
              <w:szCs w:val="36"/>
              <w:lang w:val="en-US" w:eastAsia="zh-CN" w:bidi="ar-SA"/>
            </w:rPr>
            <w:t>1</w:t>
          </w:r>
          <w:r>
            <w:rPr>
              <w:rFonts w:ascii="仿宋" w:hAnsi="仿宋" w:eastAsia="宋体" w:cs="Times New Roman"/>
              <w:color w:val="auto"/>
              <w:kern w:val="2"/>
              <w:sz w:val="28"/>
              <w:szCs w:val="36"/>
              <w:lang w:val="en-US" w:eastAsia="zh-CN" w:bidi="ar-SA"/>
            </w:rPr>
            <w:fldChar w:fldCharType="end"/>
          </w:r>
          <w:r>
            <w:rPr>
              <w:rFonts w:hint="eastAsia" w:ascii="仿宋" w:hAnsi="仿宋" w:eastAsia="宋体" w:cs="Times New Roman"/>
              <w:color w:val="auto"/>
              <w:kern w:val="2"/>
              <w:sz w:val="28"/>
              <w:szCs w:val="36"/>
              <w:lang w:val="en-US" w:eastAsia="zh-CN" w:bidi="ar-SA"/>
            </w:rPr>
            <w:t>6</w:t>
          </w:r>
        </w:p>
        <w:p>
          <w:pPr>
            <w:widowControl w:val="0"/>
            <w:tabs>
              <w:tab w:val="left" w:pos="1680"/>
              <w:tab w:val="right" w:leader="dot" w:pos="8300"/>
            </w:tabs>
            <w:spacing w:before="0" w:beforeLines="0" w:line="360" w:lineRule="auto"/>
            <w:ind w:left="420" w:leftChars="200"/>
            <w:jc w:val="left"/>
            <w:rPr>
              <w:rFonts w:ascii="Calibri" w:hAnsi="Calibri" w:eastAsia="宋体" w:cs="Times New Roman"/>
              <w:b w:val="0"/>
              <w:bCs w:val="0"/>
              <w:color w:val="auto"/>
              <w:kern w:val="2"/>
              <w:sz w:val="22"/>
              <w:szCs w:val="22"/>
              <w:lang w:val="en-US" w:eastAsia="zh-CN" w:bidi="ar-SA"/>
            </w:rPr>
          </w:pPr>
          <w:r>
            <w:rPr>
              <w:rFonts w:ascii="仿宋" w:hAnsi="仿宋" w:eastAsia="宋体" w:cs="Times New Roman"/>
              <w:b/>
              <w:bCs/>
              <w:color w:val="auto"/>
              <w:kern w:val="2"/>
              <w:sz w:val="28"/>
              <w:szCs w:val="32"/>
              <w:lang w:val="en-US" w:eastAsia="zh-CN" w:bidi="ar-SA"/>
            </w:rPr>
            <w:fldChar w:fldCharType="begin"/>
          </w:r>
          <w:r>
            <w:rPr>
              <w:rFonts w:ascii="仿宋" w:hAnsi="仿宋" w:eastAsia="宋体" w:cs="Times New Roman"/>
              <w:b/>
              <w:bCs/>
              <w:color w:val="auto"/>
              <w:kern w:val="2"/>
              <w:sz w:val="28"/>
              <w:szCs w:val="32"/>
              <w:lang w:val="en-US" w:eastAsia="zh-CN" w:bidi="ar-SA"/>
            </w:rPr>
            <w:instrText xml:space="preserve"> HYPERLINK \l "_Toc148683028" </w:instrText>
          </w:r>
          <w:r>
            <w:rPr>
              <w:rFonts w:ascii="仿宋" w:hAnsi="仿宋" w:eastAsia="宋体" w:cs="Times New Roman"/>
              <w:b/>
              <w:bCs/>
              <w:color w:val="auto"/>
              <w:kern w:val="2"/>
              <w:sz w:val="28"/>
              <w:szCs w:val="32"/>
              <w:lang w:val="en-US" w:eastAsia="zh-CN" w:bidi="ar-SA"/>
            </w:rPr>
            <w:fldChar w:fldCharType="separate"/>
          </w:r>
          <w:r>
            <w:rPr>
              <w:rFonts w:ascii="Calibri" w:hAnsi="Calibri" w:eastAsia="宋体" w:cs="Times New Roman"/>
              <w:b/>
              <w:bCs/>
              <w:color w:val="auto"/>
              <w:kern w:val="2"/>
              <w:sz w:val="32"/>
              <w:szCs w:val="24"/>
              <w:u w:val="single"/>
              <w:lang w:val="en-US" w:eastAsia="zh-CN" w:bidi="ar-SA"/>
            </w:rPr>
            <w:t>五</w:t>
          </w:r>
          <w:r>
            <w:rPr>
              <w:rFonts w:hint="eastAsia" w:ascii="Calibri" w:hAnsi="Calibri" w:eastAsia="宋体" w:cs="Times New Roman"/>
              <w:b/>
              <w:bCs/>
              <w:color w:val="auto"/>
              <w:kern w:val="2"/>
              <w:sz w:val="32"/>
              <w:szCs w:val="24"/>
              <w:u w:val="single"/>
              <w:lang w:val="en-US" w:eastAsia="zh-CN" w:bidi="ar-SA"/>
            </w:rPr>
            <w:t>、</w:t>
          </w:r>
          <w:r>
            <w:rPr>
              <w:rFonts w:ascii="Calibri" w:hAnsi="Calibri" w:eastAsia="宋体" w:cs="Times New Roman"/>
              <w:b/>
              <w:bCs/>
              <w:color w:val="auto"/>
              <w:kern w:val="2"/>
              <w:sz w:val="32"/>
              <w:szCs w:val="24"/>
              <w:u w:val="single"/>
              <w:lang w:val="en-US" w:eastAsia="zh-CN" w:bidi="ar-SA"/>
            </w:rPr>
            <w:t>规划实施</w:t>
          </w:r>
          <w:r>
            <w:rPr>
              <w:rFonts w:ascii="仿宋" w:hAnsi="仿宋" w:eastAsia="宋体" w:cs="Times New Roman"/>
              <w:b/>
              <w:bCs/>
              <w:color w:val="auto"/>
              <w:kern w:val="2"/>
              <w:sz w:val="32"/>
              <w:szCs w:val="32"/>
              <w:lang w:val="en-US" w:eastAsia="zh-CN" w:bidi="ar-SA"/>
            </w:rPr>
            <w:tab/>
          </w:r>
          <w:r>
            <w:rPr>
              <w:rFonts w:ascii="仿宋" w:hAnsi="仿宋" w:eastAsia="宋体" w:cs="Times New Roman"/>
              <w:b/>
              <w:bCs/>
              <w:color w:val="auto"/>
              <w:kern w:val="2"/>
              <w:sz w:val="32"/>
              <w:szCs w:val="32"/>
              <w:lang w:val="en-US" w:eastAsia="zh-CN" w:bidi="ar-SA"/>
            </w:rPr>
            <w:fldChar w:fldCharType="begin"/>
          </w:r>
          <w:r>
            <w:rPr>
              <w:rFonts w:ascii="仿宋" w:hAnsi="仿宋" w:eastAsia="宋体" w:cs="Times New Roman"/>
              <w:b/>
              <w:bCs/>
              <w:color w:val="auto"/>
              <w:kern w:val="2"/>
              <w:sz w:val="32"/>
              <w:szCs w:val="32"/>
              <w:lang w:val="en-US" w:eastAsia="zh-CN" w:bidi="ar-SA"/>
            </w:rPr>
            <w:instrText xml:space="preserve"> PAGEREF _Toc148683028 \h </w:instrText>
          </w:r>
          <w:r>
            <w:rPr>
              <w:rFonts w:ascii="仿宋" w:hAnsi="仿宋" w:eastAsia="宋体" w:cs="Times New Roman"/>
              <w:b/>
              <w:bCs/>
              <w:color w:val="auto"/>
              <w:kern w:val="2"/>
              <w:sz w:val="32"/>
              <w:szCs w:val="32"/>
              <w:lang w:val="en-US" w:eastAsia="zh-CN" w:bidi="ar-SA"/>
            </w:rPr>
            <w:fldChar w:fldCharType="separate"/>
          </w:r>
          <w:r>
            <w:rPr>
              <w:rFonts w:ascii="仿宋" w:hAnsi="仿宋" w:eastAsia="宋体" w:cs="Times New Roman"/>
              <w:b/>
              <w:bCs/>
              <w:color w:val="auto"/>
              <w:kern w:val="2"/>
              <w:sz w:val="32"/>
              <w:szCs w:val="32"/>
              <w:lang w:val="en-US" w:eastAsia="zh-CN" w:bidi="ar-SA"/>
            </w:rPr>
            <w:t>14</w:t>
          </w:r>
          <w:r>
            <w:rPr>
              <w:rFonts w:ascii="仿宋" w:hAnsi="仿宋" w:eastAsia="宋体" w:cs="Times New Roman"/>
              <w:b/>
              <w:bCs/>
              <w:color w:val="auto"/>
              <w:kern w:val="2"/>
              <w:sz w:val="32"/>
              <w:szCs w:val="32"/>
              <w:lang w:val="en-US" w:eastAsia="zh-CN" w:bidi="ar-SA"/>
            </w:rPr>
            <w:fldChar w:fldCharType="end"/>
          </w:r>
          <w:r>
            <w:rPr>
              <w:rFonts w:ascii="仿宋" w:hAnsi="仿宋" w:eastAsia="宋体" w:cs="Times New Roman"/>
              <w:b/>
              <w:bCs/>
              <w:color w:val="auto"/>
              <w:kern w:val="2"/>
              <w:sz w:val="32"/>
              <w:szCs w:val="32"/>
              <w:lang w:val="en-US" w:eastAsia="zh-CN" w:bidi="ar-SA"/>
            </w:rPr>
            <w:fldChar w:fldCharType="end"/>
          </w:r>
        </w:p>
        <w:p>
          <w:pPr>
            <w:widowControl w:val="0"/>
            <w:tabs>
              <w:tab w:val="right" w:leader="dot" w:pos="8300"/>
            </w:tabs>
            <w:spacing w:before="0" w:beforeLines="0" w:line="360" w:lineRule="auto"/>
            <w:ind w:left="420" w:leftChars="200"/>
            <w:jc w:val="left"/>
            <w:rPr>
              <w:rFonts w:ascii="Calibri" w:hAnsi="Calibri" w:eastAsia="宋体" w:cs="Times New Roman"/>
              <w:b w:val="0"/>
              <w:bCs w:val="0"/>
              <w:color w:val="auto"/>
              <w:kern w:val="2"/>
              <w:sz w:val="22"/>
              <w:szCs w:val="22"/>
              <w:lang w:val="en-US" w:eastAsia="zh-CN" w:bidi="ar-SA"/>
            </w:rPr>
          </w:pPr>
          <w:r>
            <w:rPr>
              <w:rFonts w:ascii="仿宋" w:hAnsi="仿宋" w:eastAsia="宋体" w:cs="Times New Roman"/>
              <w:b/>
              <w:bCs/>
              <w:color w:val="auto"/>
              <w:kern w:val="2"/>
              <w:sz w:val="28"/>
              <w:szCs w:val="32"/>
              <w:lang w:val="en-US" w:eastAsia="zh-CN" w:bidi="ar-SA"/>
            </w:rPr>
            <w:fldChar w:fldCharType="begin"/>
          </w:r>
          <w:r>
            <w:rPr>
              <w:rFonts w:ascii="仿宋" w:hAnsi="仿宋" w:eastAsia="宋体" w:cs="Times New Roman"/>
              <w:b/>
              <w:bCs/>
              <w:color w:val="auto"/>
              <w:kern w:val="2"/>
              <w:sz w:val="28"/>
              <w:szCs w:val="32"/>
              <w:lang w:val="en-US" w:eastAsia="zh-CN" w:bidi="ar-SA"/>
            </w:rPr>
            <w:instrText xml:space="preserve"> HYPERLINK \l "_Toc148683029" </w:instrText>
          </w:r>
          <w:r>
            <w:rPr>
              <w:rFonts w:ascii="仿宋" w:hAnsi="仿宋" w:eastAsia="宋体" w:cs="Times New Roman"/>
              <w:b/>
              <w:bCs/>
              <w:color w:val="auto"/>
              <w:kern w:val="2"/>
              <w:sz w:val="28"/>
              <w:szCs w:val="32"/>
              <w:lang w:val="en-US" w:eastAsia="zh-CN" w:bidi="ar-SA"/>
            </w:rPr>
            <w:fldChar w:fldCharType="separate"/>
          </w:r>
          <w:r>
            <w:rPr>
              <w:rFonts w:ascii="Calibri" w:hAnsi="Calibri" w:eastAsia="宋体" w:cs="Times New Roman"/>
              <w:b/>
              <w:bCs/>
              <w:color w:val="auto"/>
              <w:kern w:val="2"/>
              <w:sz w:val="32"/>
              <w:szCs w:val="24"/>
              <w:u w:val="single"/>
              <w:lang w:val="en-US" w:eastAsia="zh-CN" w:bidi="ar-SA"/>
            </w:rPr>
            <w:t>附件</w:t>
          </w:r>
          <w:r>
            <w:rPr>
              <w:rFonts w:ascii="仿宋" w:hAnsi="仿宋" w:eastAsia="宋体" w:cs="Times New Roman"/>
              <w:b/>
              <w:bCs/>
              <w:color w:val="auto"/>
              <w:kern w:val="2"/>
              <w:sz w:val="32"/>
              <w:szCs w:val="32"/>
              <w:lang w:val="en-US" w:eastAsia="zh-CN" w:bidi="ar-SA"/>
            </w:rPr>
            <w:tab/>
          </w:r>
          <w:r>
            <w:rPr>
              <w:rFonts w:hint="eastAsia" w:ascii="仿宋" w:hAnsi="仿宋" w:eastAsia="宋体" w:cs="Times New Roman"/>
              <w:b/>
              <w:bCs/>
              <w:color w:val="auto"/>
              <w:kern w:val="2"/>
              <w:sz w:val="32"/>
              <w:szCs w:val="32"/>
              <w:lang w:val="en-US" w:eastAsia="zh-CN" w:bidi="ar-SA"/>
            </w:rPr>
            <w:t xml:space="preserve"> </w:t>
          </w:r>
          <w:r>
            <w:rPr>
              <w:rFonts w:ascii="仿宋" w:hAnsi="仿宋" w:eastAsia="宋体" w:cs="Times New Roman"/>
              <w:b/>
              <w:bCs/>
              <w:color w:val="auto"/>
              <w:kern w:val="2"/>
              <w:sz w:val="32"/>
              <w:szCs w:val="32"/>
              <w:lang w:val="en-US" w:eastAsia="zh-CN" w:bidi="ar-SA"/>
            </w:rPr>
            <w:fldChar w:fldCharType="end"/>
          </w:r>
        </w:p>
        <w:p>
          <w:pPr>
            <w:spacing w:before="120" w:beforeLines="50" w:line="360" w:lineRule="auto"/>
          </w:pPr>
          <w:r>
            <w:rPr>
              <w:rFonts w:ascii="仿宋" w:hAnsi="仿宋" w:eastAsia="宋体" w:cs="Times New Roman"/>
              <w:color w:val="auto"/>
              <w:sz w:val="36"/>
              <w:szCs w:val="28"/>
            </w:rPr>
            <w:fldChar w:fldCharType="end"/>
          </w:r>
        </w:p>
      </w:sdtContent>
    </w:sdt>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充电基础设施建设是国家新型基础设施建设的重要领域，积极推进充电基础设施建设是促进电动汽车推广应用的基础保障。为指导我市“十四五”时期充电基础设施建设发展，提升充电保障能力，促进我市电动汽车应用规模持续扩大，根据国家发展改革委 国家能源局《关于加快推进充电基础设施建设更好支持新能源汽车下乡和乡村振兴的实施意见》（发改综合〔2023〕545号）《广东省人民政府办公厅转发国务院办公厅关于加快电动汽车充电基础设施建设指导意见的通知》（粤府办〔2015〕59号）《广东省电动汽车充电基础设施发展“十四五”规划》（粤能电力〔2022〕114号）等相关工作要求，结合我市实际，编制本规划。</w:t>
      </w:r>
    </w:p>
    <w:p>
      <w:pPr>
        <w:keepNext/>
        <w:keepLines/>
        <w:widowControl w:val="0"/>
        <w:numPr>
          <w:ilvl w:val="0"/>
          <w:numId w:val="0"/>
        </w:numPr>
        <w:spacing w:before="240" w:beforeLines="100" w:after="240" w:line="240" w:lineRule="auto"/>
        <w:jc w:val="both"/>
        <w:outlineLvl w:val="0"/>
        <w:rPr>
          <w:rFonts w:hint="eastAsia" w:ascii="文星黑体" w:hAnsi="文星黑体" w:eastAsia="文星黑体" w:cs="文星黑体"/>
          <w:b w:val="0"/>
          <w:bCs w:val="0"/>
          <w:color w:val="auto"/>
          <w:kern w:val="44"/>
          <w:sz w:val="32"/>
          <w:szCs w:val="32"/>
          <w:lang w:val="en-US" w:eastAsia="zh-CN" w:bidi="ar-SA"/>
        </w:rPr>
      </w:pPr>
      <w:bookmarkStart w:id="3" w:name="_Toc148683012"/>
      <w:r>
        <w:rPr>
          <w:rFonts w:hint="eastAsia" w:ascii="文星黑体" w:hAnsi="文星黑体" w:eastAsia="文星黑体" w:cs="文星黑体"/>
          <w:b w:val="0"/>
          <w:bCs w:val="0"/>
          <w:color w:val="auto"/>
          <w:kern w:val="44"/>
          <w:sz w:val="32"/>
          <w:szCs w:val="32"/>
          <w:lang w:val="en-US" w:eastAsia="zh-CN" w:bidi="ar-SA"/>
        </w:rPr>
        <w:t>一、发展基础</w:t>
      </w:r>
      <w:bookmarkEnd w:id="3"/>
    </w:p>
    <w:p>
      <w:pPr>
        <w:keepNext/>
        <w:keepLines/>
        <w:widowControl w:val="0"/>
        <w:numPr>
          <w:ilvl w:val="0"/>
          <w:numId w:val="0"/>
        </w:numPr>
        <w:spacing w:before="240" w:beforeLines="100" w:after="240" w:line="240" w:lineRule="auto"/>
        <w:jc w:val="both"/>
        <w:outlineLvl w:val="0"/>
        <w:rPr>
          <w:rFonts w:hint="eastAsia" w:ascii="文星楷体" w:hAnsi="文星楷体" w:eastAsia="文星楷体" w:cs="文星楷体"/>
          <w:b w:val="0"/>
          <w:bCs w:val="0"/>
          <w:color w:val="auto"/>
          <w:kern w:val="2"/>
          <w:sz w:val="32"/>
          <w:szCs w:val="32"/>
          <w:lang w:val="en-US" w:eastAsia="zh-CN" w:bidi="ar-SA"/>
        </w:rPr>
      </w:pPr>
      <w:bookmarkStart w:id="4" w:name="_Toc148683013"/>
      <w:r>
        <w:rPr>
          <w:rFonts w:hint="eastAsia" w:ascii="文星楷体" w:hAnsi="文星楷体" w:eastAsia="文星楷体" w:cs="文星楷体"/>
          <w:b w:val="0"/>
          <w:bCs w:val="0"/>
          <w:color w:val="auto"/>
          <w:kern w:val="2"/>
          <w:sz w:val="32"/>
          <w:szCs w:val="32"/>
          <w:lang w:val="en-US" w:eastAsia="zh-CN" w:bidi="ar-SA"/>
        </w:rPr>
        <w:t>（一）发展现状</w:t>
      </w:r>
      <w:bookmarkEnd w:id="4"/>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电动汽车快速增长。截至2020年底，全国新能源汽车约492万辆，其中电动汽车保有量约400万辆，占机动汽车保有量1.42%；我省新能源汽车约82.6万辆，其中电动汽车保有量约60万辆，占省内机动车保有量的1.78%。根据梅州市统计年报等有关材料，截止到2022年底，全市电动汽车保有量约1.32万辆。</w:t>
      </w:r>
    </w:p>
    <w:p>
      <w:pPr>
        <w:widowControl w:val="0"/>
        <w:autoSpaceDE w:val="0"/>
        <w:autoSpaceDN w:val="0"/>
        <w:adjustRightInd w:val="0"/>
        <w:snapToGrid w:val="0"/>
        <w:spacing w:before="120" w:beforeLines="50" w:line="360" w:lineRule="auto"/>
        <w:ind w:firstLine="612" w:firstLineChars="200"/>
        <w:jc w:val="both"/>
        <w:rPr>
          <w:rFonts w:ascii="Times New Roman" w:hAnsi="Times New Roman" w:eastAsia="宋体" w:cs="宋体"/>
          <w:bCs/>
          <w:color w:val="auto"/>
          <w:spacing w:val="-7"/>
          <w:kern w:val="0"/>
          <w:sz w:val="28"/>
          <w:szCs w:val="28"/>
          <w:lang w:val="en-US" w:eastAsia="zh-CN" w:bidi="ar-SA"/>
        </w:rPr>
      </w:pPr>
      <w:r>
        <w:rPr>
          <w:rFonts w:hint="eastAsia" w:ascii="文星仿宋" w:hAnsi="文星仿宋" w:eastAsia="文星仿宋" w:cs="文星仿宋"/>
          <w:bCs/>
          <w:color w:val="auto"/>
          <w:spacing w:val="-7"/>
          <w:kern w:val="0"/>
          <w:sz w:val="32"/>
          <w:szCs w:val="32"/>
          <w:lang w:val="en-US" w:eastAsia="zh-CN" w:bidi="ar-SA"/>
        </w:rPr>
        <w:t>——初步形成适度超前的充电服务网络体系。截至2020年底，全国累计建成集中式充电站6.38万座（含高速公路快充站），公共充电桩80.7 万个；我省建成集中式充电站约3450座，高速公路快充站354座，公共充电桩约15.7万个，公共充电桩与电动汽车的桩车比为1:4。截止2022年底，全市建成的公共充电桩2512个，其中接入粤易充平台的公共充电桩2244个（不含高速公路和个人充电桩），公共机构、国有企业专用桩268个，实现梅州境内所有乡镇充电网络全覆盖。</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电动汽车及充电配套政策体系加快完善。“十三五”以来，广东省出台了《广东省发展改革委关于印发&lt;广东省电动汽车充电基础设施规划（2016—2020年）&gt;的通知》（粤发改能电〔2016〕632号）、《广东省电动汽车充电基础设施发展“十四五”规划》（粤能电力〔2022〕114号）、《广东省发展改革委关于印发&lt;广东省电动汽车充电基础设施建设运营管理办法&gt;的通知》（粤发改能电〔2016〕691号）、《关于印发做好广东省新能源汽车推广应用地方财政补贴工作的通知》（粤发改产业函〔2018〕518号）、《电动汽车充电基础设施建设技术规程》（DBJ/T15-150-2018）等一系列政策性文件，为充电基础设施发展提供了政策保障。</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5" w:name="_Toc148683015"/>
      <w:r>
        <w:rPr>
          <w:rFonts w:hint="eastAsia" w:ascii="文星楷体" w:hAnsi="文星楷体" w:eastAsia="文星楷体" w:cs="文星楷体"/>
          <w:b w:val="0"/>
          <w:bCs w:val="0"/>
          <w:color w:val="auto"/>
          <w:kern w:val="2"/>
          <w:sz w:val="32"/>
          <w:szCs w:val="32"/>
          <w:lang w:val="en-US" w:eastAsia="zh-CN" w:bidi="ar-SA"/>
        </w:rPr>
        <w:t>（二）发展形势</w:t>
      </w:r>
      <w:bookmarkEnd w:id="5"/>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在碳达峰、碳中和目标要求下，“十四五”时期，我国新能源汽车将进入加速发展新阶段，充电设施产业也迎来了重要机遇期。</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新能源汽车提速发展促进充电基础设施加快建设。随着我国持续加大对新能源汽车研发投入和产业布局，未来新能源汽车技术水平将显著提升，产业体系日趋完善，到2025年，全国新能源汽车新车销售量达到汽车新车销售总量的20%左右，对充换电基础设施能力提出更高要求，便捷、高效、安全的充电需求将为充电设施行业创造巨大发展空间，“十三五”充电设施存量利用将全面盘活，“十四五”充电设施增量建设将全面激活。</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车充网跨界深度融合促进更好发挥充电设施网络在能源结构调整中的作用。新能源汽车与信息通信融合发展，充电网、能源网、车联网、互联网、交通网等多网融合是必然趋势，充电基础设施作为车辆、能源、交通等数据、信息的接口，将在电力系统和互联网基础设施之间起到融合作用，有效平衡电动汽车充放储电和电力系统调度需求，提升电网调峰调频、应急响应能力，实现电动汽车与电网能量高效互动。</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大功率、快充桩的研发运用促进大幅提升充电效率。充电设施朝着大功率、快充方向发展，充电效率大幅提升；同时随着充电设施智能化发展，充电桩利用效率也将不断提升，能更好满足电动汽车充电需求；并且，随着私人桩的普及，有效满足私人电动汽车的居家充电补能。公共桩桩车比可适当降低。</w:t>
      </w:r>
    </w:p>
    <w:p>
      <w:pPr>
        <w:keepNext/>
        <w:keepLines/>
        <w:widowControl w:val="0"/>
        <w:numPr>
          <w:ilvl w:val="0"/>
          <w:numId w:val="0"/>
        </w:numPr>
        <w:spacing w:before="240" w:beforeLines="100" w:after="240" w:line="240" w:lineRule="auto"/>
        <w:jc w:val="both"/>
        <w:outlineLvl w:val="0"/>
        <w:rPr>
          <w:rFonts w:hint="eastAsia" w:ascii="文星黑体" w:hAnsi="文星黑体" w:eastAsia="文星黑体" w:cs="文星黑体"/>
          <w:b w:val="0"/>
          <w:bCs w:val="0"/>
          <w:color w:val="auto"/>
          <w:kern w:val="44"/>
          <w:sz w:val="32"/>
          <w:szCs w:val="32"/>
          <w:lang w:val="en-US" w:eastAsia="zh-CN" w:bidi="ar-SA"/>
        </w:rPr>
      </w:pPr>
      <w:bookmarkStart w:id="6" w:name="_Toc148683016"/>
      <w:r>
        <w:rPr>
          <w:rFonts w:hint="eastAsia" w:ascii="文星黑体" w:hAnsi="文星黑体" w:eastAsia="文星黑体" w:cs="文星黑体"/>
          <w:b w:val="0"/>
          <w:bCs w:val="0"/>
          <w:color w:val="auto"/>
          <w:kern w:val="44"/>
          <w:sz w:val="32"/>
          <w:szCs w:val="32"/>
          <w:lang w:val="en-US" w:eastAsia="zh-CN" w:bidi="ar-SA"/>
        </w:rPr>
        <w:t>二、需求预测</w:t>
      </w:r>
      <w:bookmarkEnd w:id="6"/>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7" w:name="_Toc148683017"/>
      <w:r>
        <w:rPr>
          <w:rFonts w:hint="eastAsia" w:ascii="文星楷体" w:hAnsi="文星楷体" w:eastAsia="文星楷体" w:cs="文星楷体"/>
          <w:b w:val="0"/>
          <w:bCs w:val="0"/>
          <w:color w:val="auto"/>
          <w:kern w:val="2"/>
          <w:sz w:val="32"/>
          <w:szCs w:val="32"/>
          <w:lang w:val="en-US" w:eastAsia="zh-CN" w:bidi="ar-SA"/>
        </w:rPr>
        <w:t>（一）电动汽车需求预测</w:t>
      </w:r>
      <w:bookmarkEnd w:id="7"/>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结合《广东省电动基础设施发展“十四五”规划》和梅州市内电动汽车的发展的实际情况。采用电动汽车占比法及线性回归法综合预测梅州市2025年电动汽车保有量。</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r>
        <w:rPr>
          <w:rFonts w:hint="eastAsia" w:ascii="文星楷体" w:hAnsi="文星楷体" w:eastAsia="文星楷体" w:cs="文星楷体"/>
          <w:b w:val="0"/>
          <w:bCs w:val="0"/>
          <w:color w:val="auto"/>
          <w:kern w:val="2"/>
          <w:sz w:val="32"/>
          <w:szCs w:val="32"/>
          <w:lang w:val="en-US" w:eastAsia="zh-CN" w:bidi="ar-SA"/>
        </w:rPr>
        <w:t>（二）电动汽车占比法</w:t>
      </w: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根据《梅州市成品油零售体系“十四五”发展规划（2021-2025）》，至2025年，梅州市全市汽车保有量为895796辆。根据《广东省电动基础设施发展“十四五”规划》，2025年，全省电动汽车保有量占省内机动车保有量的4.1%，结合梅州市实际，选取3%，则2025年梅州市电动汽车保有量为26874辆。</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r>
        <w:rPr>
          <w:rFonts w:hint="eastAsia" w:ascii="文星楷体" w:hAnsi="文星楷体" w:eastAsia="文星楷体" w:cs="文星楷体"/>
          <w:b w:val="0"/>
          <w:bCs w:val="0"/>
          <w:color w:val="auto"/>
          <w:kern w:val="2"/>
          <w:sz w:val="32"/>
          <w:szCs w:val="32"/>
          <w:lang w:val="en-US" w:eastAsia="zh-CN" w:bidi="ar-SA"/>
        </w:rPr>
        <w:t>（三）线性回归分析法</w:t>
      </w: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通过2018-2023年梅州市电动汽车保有量变动情况，测算出线性增长趋势，推算出2025年汽车保有量：计算公式如下：</w:t>
      </w:r>
    </w:p>
    <w:p>
      <w:pPr>
        <w:widowControl w:val="0"/>
        <w:autoSpaceDE w:val="0"/>
        <w:autoSpaceDN w:val="0"/>
        <w:spacing w:before="120" w:beforeLines="50" w:line="360" w:lineRule="auto"/>
        <w:ind w:firstLine="612" w:firstLineChars="200"/>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Y=AX+B</w:t>
      </w: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其中Y为预测年汽车保有量，X为回归变量，A、B为待定系数。</w:t>
      </w: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通过代入数据得到A为2015.7，B为-4244522.2，则得到线性方程Y=+2015.7x-4244522.2；代入数据测算得到2025年电动汽车保有量为19521辆。</w:t>
      </w:r>
    </w:p>
    <w:p>
      <w:pPr>
        <w:widowControl w:val="0"/>
        <w:spacing w:before="120" w:beforeLines="50" w:line="36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表2-1梅州市电动汽车保有量一览表</w:t>
      </w:r>
    </w:p>
    <w:tbl>
      <w:tblPr>
        <w:tblStyle w:val="4"/>
        <w:tblW w:w="5098" w:type="dxa"/>
        <w:jc w:val="cente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autofit"/>
        <w:tblCellMar>
          <w:top w:w="0" w:type="dxa"/>
          <w:left w:w="108" w:type="dxa"/>
          <w:bottom w:w="0" w:type="dxa"/>
          <w:right w:w="108" w:type="dxa"/>
        </w:tblCellMar>
      </w:tblPr>
      <w:tblGrid>
        <w:gridCol w:w="1838"/>
        <w:gridCol w:w="3260"/>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97" w:hRule="atLeast"/>
          <w:jc w:val="center"/>
        </w:trPr>
        <w:tc>
          <w:tcPr>
            <w:tcW w:w="1838" w:type="dxa"/>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年份</w:t>
            </w:r>
          </w:p>
        </w:tc>
        <w:tc>
          <w:tcPr>
            <w:tcW w:w="3260" w:type="dxa"/>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电动汽车保有量（辆）</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97" w:hRule="atLeast"/>
          <w:jc w:val="center"/>
        </w:trPr>
        <w:tc>
          <w:tcPr>
            <w:tcW w:w="1838" w:type="dxa"/>
            <w:shd w:val="clear" w:color="auto" w:fill="F1F1F1"/>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2018</w:t>
            </w:r>
          </w:p>
        </w:tc>
        <w:tc>
          <w:tcPr>
            <w:tcW w:w="3260" w:type="dxa"/>
            <w:shd w:val="clear" w:color="auto" w:fill="F1F1F1"/>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4161</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97" w:hRule="atLeast"/>
          <w:jc w:val="center"/>
        </w:trPr>
        <w:tc>
          <w:tcPr>
            <w:tcW w:w="1838" w:type="dxa"/>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2019</w:t>
            </w:r>
          </w:p>
        </w:tc>
        <w:tc>
          <w:tcPr>
            <w:tcW w:w="3260" w:type="dxa"/>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7177</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97" w:hRule="atLeast"/>
          <w:jc w:val="center"/>
        </w:trPr>
        <w:tc>
          <w:tcPr>
            <w:tcW w:w="1838" w:type="dxa"/>
            <w:shd w:val="clear" w:color="auto" w:fill="F1F1F1"/>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2020</w:t>
            </w:r>
          </w:p>
        </w:tc>
        <w:tc>
          <w:tcPr>
            <w:tcW w:w="3260" w:type="dxa"/>
            <w:shd w:val="clear" w:color="auto" w:fill="F1F1F1"/>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9832</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0" w:type="dxa"/>
            <w:left w:w="108" w:type="dxa"/>
            <w:bottom w:w="0" w:type="dxa"/>
            <w:right w:w="108" w:type="dxa"/>
          </w:tblCellMar>
        </w:tblPrEx>
        <w:trPr>
          <w:trHeight w:val="397" w:hRule="atLeast"/>
          <w:jc w:val="center"/>
        </w:trPr>
        <w:tc>
          <w:tcPr>
            <w:tcW w:w="1838" w:type="dxa"/>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2023.06</w:t>
            </w:r>
          </w:p>
        </w:tc>
        <w:tc>
          <w:tcPr>
            <w:tcW w:w="3260" w:type="dxa"/>
          </w:tcPr>
          <w:p>
            <w:pPr>
              <w:spacing w:before="120" w:beforeLines="50" w:line="240" w:lineRule="auto"/>
              <w:jc w:val="center"/>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16100</w:t>
            </w:r>
          </w:p>
        </w:tc>
      </w:tr>
    </w:tbl>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综合以上两种测算方法，同时考虑各类预测模型的局限性，本次电动汽车保有量取值为两种预测方法的平均值，则至2025年梅州市电动汽车保有量约为23197辆。</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8" w:name="_Toc148683018"/>
      <w:r>
        <w:rPr>
          <w:rFonts w:hint="eastAsia" w:ascii="文星楷体" w:hAnsi="文星楷体" w:eastAsia="文星楷体" w:cs="文星楷体"/>
          <w:b w:val="0"/>
          <w:bCs w:val="0"/>
          <w:color w:val="auto"/>
          <w:kern w:val="2"/>
          <w:sz w:val="32"/>
          <w:szCs w:val="32"/>
          <w:lang w:val="en-US" w:eastAsia="zh-CN" w:bidi="ar-SA"/>
        </w:rPr>
        <w:t>（四）充电设施需求预测</w:t>
      </w:r>
      <w:bookmarkEnd w:id="8"/>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根据《广东省人民政府办公厅关于印发广东省推进新型基础设施建设三年实施方案（2020—2022年）的通知》（粤府办〔2020〕24号）、《广东省电动基础设施发展“十四五”规划》提出的电动汽车充电设施建设要求，到2025年底，粤东西北地区城市核心区充电设施服务半径不超过2千米，公共桩桩车比约1:6.4。</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根据前文预测，梅州市至2025年电动汽车保有量为23197辆，为达到公共桩桩车比约1:6.4，到2025年梅州市需建成公共充电桩3624个。</w:t>
      </w:r>
    </w:p>
    <w:p>
      <w:pPr>
        <w:keepNext/>
        <w:keepLines/>
        <w:widowControl w:val="0"/>
        <w:numPr>
          <w:ilvl w:val="0"/>
          <w:numId w:val="0"/>
        </w:numPr>
        <w:spacing w:before="240" w:beforeLines="100" w:after="240" w:line="240" w:lineRule="auto"/>
        <w:jc w:val="both"/>
        <w:outlineLvl w:val="0"/>
        <w:rPr>
          <w:rFonts w:hint="eastAsia" w:ascii="文星黑体" w:hAnsi="文星黑体" w:eastAsia="文星黑体" w:cs="文星黑体"/>
          <w:b w:val="0"/>
          <w:bCs w:val="0"/>
          <w:color w:val="auto"/>
          <w:kern w:val="44"/>
          <w:sz w:val="32"/>
          <w:szCs w:val="32"/>
          <w:lang w:val="en-US" w:eastAsia="zh-CN" w:bidi="ar-SA"/>
        </w:rPr>
      </w:pPr>
      <w:bookmarkStart w:id="9" w:name="_Toc148683019"/>
      <w:r>
        <w:rPr>
          <w:rFonts w:hint="eastAsia" w:ascii="文星黑体" w:hAnsi="文星黑体" w:eastAsia="文星黑体" w:cs="文星黑体"/>
          <w:b w:val="0"/>
          <w:bCs w:val="0"/>
          <w:color w:val="auto"/>
          <w:kern w:val="44"/>
          <w:sz w:val="32"/>
          <w:szCs w:val="32"/>
          <w:lang w:val="en-US" w:eastAsia="zh-CN" w:bidi="ar-SA"/>
        </w:rPr>
        <w:t>三、总体要求和发展目标</w:t>
      </w:r>
      <w:bookmarkEnd w:id="9"/>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10" w:name="_Toc148683020"/>
      <w:r>
        <w:rPr>
          <w:rFonts w:hint="eastAsia" w:ascii="文星楷体" w:hAnsi="文星楷体" w:eastAsia="文星楷体" w:cs="文星楷体"/>
          <w:b w:val="0"/>
          <w:bCs w:val="0"/>
          <w:color w:val="auto"/>
          <w:kern w:val="2"/>
          <w:sz w:val="32"/>
          <w:szCs w:val="32"/>
          <w:lang w:val="en-US" w:eastAsia="zh-CN" w:bidi="ar-SA"/>
        </w:rPr>
        <w:t>（一）指导思想</w:t>
      </w:r>
      <w:bookmarkEnd w:id="10"/>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坚持以习近平新时代中国特色社会主义思想为指导，全面贯彻党的二十大和历届全会精神，深入落实党中央、国务院及省委、省政府关于新能源汽车发展的部署，助力我市实现碳达峰、碳中和目标，以支撑电动汽车推广应用为核心，坚持市场主导和政府引导相结合，全面推动充电基础设施科学布局建设，加快构建智能、高效、便捷、安全的充电服务体系，提升充电服务水平，保障和促进电动汽车产业高质量可持续发展。</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11" w:name="_Toc148683021"/>
      <w:r>
        <w:rPr>
          <w:rFonts w:hint="eastAsia" w:ascii="文星楷体" w:hAnsi="文星楷体" w:eastAsia="文星楷体" w:cs="文星楷体"/>
          <w:b w:val="0"/>
          <w:bCs w:val="0"/>
          <w:color w:val="auto"/>
          <w:kern w:val="2"/>
          <w:sz w:val="32"/>
          <w:szCs w:val="32"/>
          <w:lang w:val="en-US" w:eastAsia="zh-CN" w:bidi="ar-SA"/>
        </w:rPr>
        <w:t>（二）发展原则</w:t>
      </w:r>
      <w:bookmarkEnd w:id="11"/>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——适度超前。按照“车桩联动、桩站先行”模式，加强充电设施统筹规划，推动充电设施适度超前建设，形成完善的充电基础设施体系，充电设施总体服务能力满足全市电动汽车推广应用需求。</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科学布局。遵循“市场主导、快慢互济”的导向，根据不同区域、不同类型电动汽车充电需求，分类合理布局充电设施，推广智能有序慢充为主、应急快充为辅的居民区充电服务模式，加快形成适度超前、快充为主、慢充为辅的城乡公共充电网络。</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智能高效。依托“互联网+”智慧能源，提升充电设施智能化水平和互联互通水平，推动智能有序充电、大功率充电、无线充电等新型充电技术创新；推动电池通用化与换电设施规模化产业化，探索动力电池梯次利用。鼓励进行服务和商业模式创新，在拓展数据服务、新零售等业务的同时，鼓励电动汽车与电网能量高效互动，服务电网调峰调频、安全应急响应，同时利用峰谷电价提升充电站点运营收益，促进电网和电动汽车协同发展。</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12" w:name="_Toc148683022"/>
      <w:r>
        <w:rPr>
          <w:rFonts w:hint="eastAsia" w:ascii="文星楷体" w:hAnsi="文星楷体" w:eastAsia="文星楷体" w:cs="文星楷体"/>
          <w:b w:val="0"/>
          <w:bCs w:val="0"/>
          <w:color w:val="auto"/>
          <w:kern w:val="2"/>
          <w:sz w:val="32"/>
          <w:szCs w:val="32"/>
          <w:lang w:val="en-US" w:eastAsia="zh-CN" w:bidi="ar-SA"/>
        </w:rPr>
        <w:t>（三）发展目标</w:t>
      </w:r>
      <w:bookmarkEnd w:id="12"/>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截止2022年底，全市建成的公共充电桩2512个，其中接入粤易充平台的公共充电桩2244个（不含高速公路和个人充电桩），公共机构、国有企业专用桩268个。按照公共桩桩车比约1:6.4的要求，到2025年梅州市需累计建成公共充电桩3624个，2023-2025年需新增公共充电桩1112个。</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若电动汽车增长超预期，可在相应的年度充电设施建设计划中调整充电桩建设规模。</w:t>
      </w:r>
    </w:p>
    <w:p>
      <w:pPr>
        <w:keepNext/>
        <w:keepLines/>
        <w:widowControl w:val="0"/>
        <w:numPr>
          <w:ilvl w:val="0"/>
          <w:numId w:val="0"/>
        </w:numPr>
        <w:spacing w:before="240" w:beforeLines="100" w:after="240" w:line="240" w:lineRule="auto"/>
        <w:jc w:val="both"/>
        <w:outlineLvl w:val="0"/>
        <w:rPr>
          <w:rFonts w:hint="eastAsia" w:ascii="文星黑体" w:hAnsi="文星黑体" w:eastAsia="文星黑体" w:cs="文星黑体"/>
          <w:b w:val="0"/>
          <w:bCs w:val="0"/>
          <w:color w:val="auto"/>
          <w:kern w:val="44"/>
          <w:sz w:val="32"/>
          <w:szCs w:val="32"/>
          <w:lang w:val="en-US" w:eastAsia="zh-CN" w:bidi="ar-SA"/>
        </w:rPr>
      </w:pPr>
      <w:bookmarkStart w:id="13" w:name="_Toc148683023"/>
      <w:r>
        <w:rPr>
          <w:rFonts w:hint="eastAsia" w:ascii="文星黑体" w:hAnsi="文星黑体" w:eastAsia="文星黑体" w:cs="文星黑体"/>
          <w:b w:val="0"/>
          <w:bCs w:val="0"/>
          <w:color w:val="auto"/>
          <w:kern w:val="44"/>
          <w:sz w:val="32"/>
          <w:szCs w:val="32"/>
          <w:lang w:val="en-US" w:eastAsia="zh-CN" w:bidi="ar-SA"/>
        </w:rPr>
        <w:t>四、主要任务</w:t>
      </w:r>
      <w:bookmarkEnd w:id="13"/>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14" w:name="_Toc148683024"/>
      <w:r>
        <w:rPr>
          <w:rFonts w:hint="eastAsia" w:ascii="文星楷体" w:hAnsi="文星楷体" w:eastAsia="文星楷体" w:cs="文星楷体"/>
          <w:b w:val="0"/>
          <w:bCs w:val="0"/>
          <w:color w:val="auto"/>
          <w:kern w:val="2"/>
          <w:sz w:val="32"/>
          <w:szCs w:val="32"/>
          <w:lang w:val="en-US" w:eastAsia="zh-CN" w:bidi="ar-SA"/>
        </w:rPr>
        <w:t>（一）加快充电基础设施体系建设</w:t>
      </w:r>
      <w:bookmarkEnd w:id="14"/>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1.落实好充电设施建设的用地政策，在既有停车位安装充电设施的，免予或无需办理规划许可手续。新建公共停车场及新增的路内收费停车位应按照不低于30%的比例建设快速充电桩。</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2.在确保安全前提下，鼓励加油站配建公共充（换）电设施，积极推进建设加油站、充换电等业务一体的综合供能服务站。</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3.加快旅游景区公共充电基础设施建设，A级以上景区结合游客接待量和充电需求配建充电基础设施，倡导4A级以上景区设立电动汽车公共充电区域；</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4.鼓励在大型商场、超市等建筑物配建的停车场建设公共充电设施。推进公交、环卫等领域专用充电设施建设，鼓励具备条件的充电设施站点对外提供公共充电服务。加快形成适度超前、快充为主、慢充为辅的公共充电网络。</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5.鼓励有运营或维护资质的企业统筹郊区乡镇公共充电基础设施建设，助力电动汽车下乡。</w:t>
      </w:r>
    </w:p>
    <w:p>
      <w:pPr>
        <w:widowControl w:val="0"/>
        <w:autoSpaceDE w:val="0"/>
        <w:autoSpaceDN w:val="0"/>
        <w:adjustRightInd w:val="0"/>
        <w:snapToGrid w:val="0"/>
        <w:spacing w:before="120" w:beforeLines="50" w:line="360" w:lineRule="auto"/>
        <w:ind w:firstLine="612" w:firstLineChars="200"/>
        <w:jc w:val="both"/>
        <w:rPr>
          <w:rFonts w:hint="default"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6.加强充电运营市场秩序监管，严厉打击行业垄断、价格垄断、恶性竞争等市场不正当竞争行为，维护充电运营市场正常秩序，提高充电行业可持续发展能力；加强充电产品质量监管，促进加强行业自律，提升充电设施检测和服务管理能力。</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r>
        <w:rPr>
          <w:rFonts w:hint="eastAsia" w:ascii="文星楷体" w:hAnsi="文星楷体" w:eastAsia="文星楷体" w:cs="文星楷体"/>
          <w:b w:val="0"/>
          <w:bCs w:val="0"/>
          <w:color w:val="auto"/>
          <w:kern w:val="2"/>
          <w:sz w:val="32"/>
          <w:szCs w:val="32"/>
          <w:lang w:val="en-US" w:eastAsia="zh-CN" w:bidi="ar-SA"/>
        </w:rPr>
        <w:t>（二）加快推动中心城区公用充电设施建设</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已建大型商场、酒店宾馆、文体场馆、旅游景区、城市公园、医疗机构、交通枢纽、公共停车场、路内收费停车位等公共场所，按照不低于总停车位数量 10%的比例配设公共充电桩或预留建设安装条件。新建公共停车场及新增的路内收费停车位应按照不低于30%的比例建设快速充电桩。（本规划中按照两个公共停车泊位配置一个公用充电桩计算）。</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拟选择梅州市中心城区32个公共停车场，共计4390个泊位数，至2025年新增170个公用充电桩。</w:t>
      </w:r>
    </w:p>
    <w:p>
      <w:pPr>
        <w:widowControl w:val="0"/>
        <w:spacing w:before="120" w:beforeLines="50" w:line="360" w:lineRule="auto"/>
        <w:jc w:val="center"/>
        <w:rPr>
          <w:rFonts w:hint="eastAsia" w:ascii="Calibri Light" w:hAnsi="Calibri Light" w:eastAsia="宋体" w:cs="Times New Roman"/>
          <w:color w:val="auto"/>
          <w:kern w:val="2"/>
          <w:sz w:val="24"/>
          <w:szCs w:val="20"/>
          <w:lang w:val="en-US" w:eastAsia="zh-CN" w:bidi="ar-SA"/>
        </w:rPr>
      </w:pPr>
      <w:r>
        <w:rPr>
          <w:rFonts w:hint="eastAsia" w:ascii="Calibri Light" w:hAnsi="Calibri Light" w:eastAsia="宋体" w:cs="Times New Roman"/>
          <w:color w:val="auto"/>
          <w:kern w:val="2"/>
          <w:sz w:val="24"/>
          <w:szCs w:val="20"/>
          <w:lang w:val="en-US" w:eastAsia="zh-CN" w:bidi="ar-SA"/>
        </w:rPr>
        <w:t>表</w:t>
      </w:r>
      <w:r>
        <w:rPr>
          <w:rFonts w:ascii="Calibri Light" w:hAnsi="Calibri Light" w:eastAsia="宋体" w:cs="Times New Roman"/>
          <w:color w:val="auto"/>
          <w:kern w:val="2"/>
          <w:sz w:val="24"/>
          <w:szCs w:val="20"/>
          <w:lang w:val="en-US" w:eastAsia="zh-CN" w:bidi="ar-SA"/>
        </w:rPr>
        <w:t>4</w:t>
      </w:r>
      <w:r>
        <w:rPr>
          <w:rFonts w:hint="eastAsia" w:ascii="Calibri Light" w:hAnsi="Calibri Light" w:eastAsia="宋体" w:cs="Times New Roman"/>
          <w:color w:val="auto"/>
          <w:kern w:val="2"/>
          <w:sz w:val="24"/>
          <w:szCs w:val="20"/>
          <w:lang w:val="en-US" w:eastAsia="zh-CN" w:bidi="ar-SA"/>
        </w:rPr>
        <w:t>-</w:t>
      </w:r>
      <w:r>
        <w:rPr>
          <w:rFonts w:ascii="Calibri Light" w:hAnsi="Calibri Light" w:eastAsia="宋体" w:cs="Times New Roman"/>
          <w:color w:val="auto"/>
          <w:kern w:val="2"/>
          <w:sz w:val="24"/>
          <w:szCs w:val="20"/>
          <w:lang w:val="en-US" w:eastAsia="zh-CN" w:bidi="ar-SA"/>
        </w:rPr>
        <w:t>1</w:t>
      </w:r>
      <w:r>
        <w:rPr>
          <w:rFonts w:hint="eastAsia" w:ascii="Calibri Light" w:hAnsi="Calibri Light" w:eastAsia="宋体" w:cs="Times New Roman"/>
          <w:color w:val="auto"/>
          <w:kern w:val="2"/>
          <w:sz w:val="24"/>
          <w:szCs w:val="20"/>
          <w:lang w:val="en-US" w:eastAsia="zh-CN" w:bidi="ar-SA"/>
        </w:rPr>
        <w:t>梅州市中心城区公用充电桩规划一览表（结合规划停车场）</w:t>
      </w:r>
    </w:p>
    <w:p>
      <w:pPr>
        <w:widowControl w:val="0"/>
        <w:spacing w:before="120" w:beforeLines="50" w:line="360" w:lineRule="auto"/>
        <w:jc w:val="center"/>
        <w:rPr>
          <w:rFonts w:hint="eastAsia" w:ascii="Calibri Light" w:hAnsi="Calibri Light" w:eastAsia="宋体" w:cs="Times New Roman"/>
          <w:color w:val="auto"/>
          <w:kern w:val="2"/>
          <w:sz w:val="24"/>
          <w:szCs w:val="20"/>
          <w:lang w:val="en-US" w:eastAsia="zh-CN" w:bidi="ar-SA"/>
        </w:rPr>
      </w:pP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结合部分站点停车场资料，重点选择独立占地大型公建、景区公园等配套建设的公用停车场作为超充站的建设选址，对中心城区及各县（市、区）超充站充电桩进行规划。</w:t>
      </w: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综合停车场及储备用地布局，规划新增18处超充站，配置199个充电桩。则至2025年，梅州市共有20处超充站（现状已建成2处），配置223个充电桩（现状已建成24个）。</w:t>
      </w:r>
    </w:p>
    <w:p>
      <w:pPr>
        <w:widowControl w:val="0"/>
        <w:spacing w:before="120" w:beforeLines="50" w:line="360" w:lineRule="auto"/>
        <w:jc w:val="center"/>
        <w:rPr>
          <w:rFonts w:ascii="Calibri Light" w:hAnsi="Calibri Light" w:eastAsia="宋体" w:cs="Times New Roman"/>
          <w:color w:val="auto"/>
          <w:kern w:val="2"/>
          <w:sz w:val="24"/>
          <w:szCs w:val="20"/>
          <w:lang w:val="en-US" w:eastAsia="zh-CN" w:bidi="ar-SA"/>
        </w:rPr>
      </w:pPr>
      <w:r>
        <w:rPr>
          <w:rFonts w:hint="eastAsia" w:ascii="Calibri Light" w:hAnsi="Calibri Light" w:eastAsia="宋体" w:cs="Times New Roman"/>
          <w:color w:val="auto"/>
          <w:kern w:val="2"/>
          <w:sz w:val="24"/>
          <w:szCs w:val="20"/>
          <w:lang w:val="en-US" w:eastAsia="zh-CN" w:bidi="ar-SA"/>
        </w:rPr>
        <w:t>表</w:t>
      </w:r>
      <w:r>
        <w:rPr>
          <w:rFonts w:ascii="Calibri Light" w:hAnsi="Calibri Light" w:eastAsia="宋体" w:cs="Times New Roman"/>
          <w:color w:val="auto"/>
          <w:kern w:val="2"/>
          <w:sz w:val="24"/>
          <w:szCs w:val="20"/>
          <w:lang w:val="en-US" w:eastAsia="zh-CN" w:bidi="ar-SA"/>
        </w:rPr>
        <w:t>4</w:t>
      </w:r>
      <w:r>
        <w:rPr>
          <w:rFonts w:hint="eastAsia" w:ascii="Calibri Light" w:hAnsi="Calibri Light" w:eastAsia="宋体" w:cs="Times New Roman"/>
          <w:color w:val="auto"/>
          <w:kern w:val="2"/>
          <w:sz w:val="24"/>
          <w:szCs w:val="20"/>
          <w:lang w:val="en-US" w:eastAsia="zh-CN" w:bidi="ar-SA"/>
        </w:rPr>
        <w:t>-</w:t>
      </w:r>
      <w:r>
        <w:rPr>
          <w:rFonts w:ascii="Calibri Light" w:hAnsi="Calibri Light" w:eastAsia="宋体" w:cs="Times New Roman"/>
          <w:color w:val="auto"/>
          <w:kern w:val="2"/>
          <w:sz w:val="24"/>
          <w:szCs w:val="20"/>
          <w:lang w:val="en-US" w:eastAsia="zh-CN" w:bidi="ar-SA"/>
        </w:rPr>
        <w:t>2</w:t>
      </w:r>
      <w:r>
        <w:rPr>
          <w:rFonts w:hint="eastAsia" w:ascii="Calibri Light" w:hAnsi="Calibri Light" w:eastAsia="宋体" w:cs="Times New Roman"/>
          <w:color w:val="auto"/>
          <w:kern w:val="2"/>
          <w:sz w:val="24"/>
          <w:szCs w:val="20"/>
          <w:lang w:val="en-US" w:eastAsia="zh-CN" w:bidi="ar-SA"/>
        </w:rPr>
        <w:t>梅州市中心城区规划超级充电站总体布局一览表</w:t>
      </w:r>
    </w:p>
    <w:p>
      <w:pPr>
        <w:widowControl w:val="0"/>
        <w:autoSpaceDE w:val="0"/>
        <w:autoSpaceDN w:val="0"/>
        <w:spacing w:before="120" w:beforeLines="50" w:line="360" w:lineRule="auto"/>
        <w:ind w:firstLine="480" w:firstLineChars="200"/>
        <w:jc w:val="both"/>
        <w:rPr>
          <w:rFonts w:hint="eastAsia" w:ascii="宋体" w:hAnsi="宋体" w:eastAsia="宋体" w:cs="宋体"/>
          <w:color w:val="auto"/>
          <w:kern w:val="0"/>
          <w:sz w:val="24"/>
          <w:szCs w:val="24"/>
          <w:lang w:val="en-US" w:eastAsia="zh-CN" w:bidi="ar-SA"/>
        </w:rPr>
      </w:pPr>
    </w:p>
    <w:p>
      <w:pPr>
        <w:widowControl w:val="0"/>
        <w:autoSpaceDE w:val="0"/>
        <w:autoSpaceDN w:val="0"/>
        <w:spacing w:before="120" w:beforeLines="50" w:line="360" w:lineRule="auto"/>
        <w:ind w:firstLine="480" w:firstLineChars="200"/>
        <w:jc w:val="both"/>
        <w:rPr>
          <w:rFonts w:hint="default" w:ascii="宋体" w:hAnsi="宋体" w:eastAsia="宋体" w:cs="宋体"/>
          <w:color w:val="auto"/>
          <w:kern w:val="0"/>
          <w:sz w:val="24"/>
          <w:szCs w:val="24"/>
          <w:lang w:val="en-US" w:eastAsia="zh-CN" w:bidi="ar-SA"/>
        </w:rPr>
      </w:pPr>
      <w:r>
        <w:rPr>
          <w:rFonts w:hint="eastAsia" w:ascii="宋体" w:hAnsi="宋体" w:eastAsia="宋体" w:cs="宋体"/>
          <w:color w:val="auto"/>
          <w:kern w:val="0"/>
          <w:sz w:val="24"/>
          <w:szCs w:val="24"/>
          <w:lang w:val="en-US" w:eastAsia="zh-CN" w:bidi="ar-SA"/>
        </w:rPr>
        <w:t>注：1.本规划所述每个超级充电站点至少配备2个超级充电桩，剩余充电桩为快充桩，并可根据需要替换成超级充电桩。2.储备用地统一按照新建公共停车场及新增的路内收费停车位不低于30%的比例建设快速充电桩。</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结合停车场及新增超充站，至2025年，梅州市中心城区新增公用充电桩共达到260个。</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r>
        <w:rPr>
          <w:rFonts w:hint="eastAsia" w:ascii="文星楷体" w:hAnsi="文星楷体" w:eastAsia="文星楷体" w:cs="文星楷体"/>
          <w:b w:val="0"/>
          <w:bCs w:val="0"/>
          <w:color w:val="auto"/>
          <w:kern w:val="2"/>
          <w:sz w:val="32"/>
          <w:szCs w:val="32"/>
          <w:lang w:val="en-US" w:eastAsia="zh-CN" w:bidi="ar-SA"/>
        </w:rPr>
        <w:t>（三）推动公共机构、企业内部专用充电基础设施建设</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各级政府机关、公共机构及企事业单位要提高新能源汽车专用停车位、停车位配建充电桩比例。鼓励企业自用车使用电动汽车，具备条件的企业内部停车场配建充电桩并对外开放。各公共机构、国有企业充电基础设施按照新建和既有停车场要按照不低于10%的比例规划建设配备充电设施(或预留建设安装条件)。</w:t>
      </w:r>
    </w:p>
    <w:p>
      <w:pPr>
        <w:widowControl w:val="0"/>
        <w:spacing w:before="120" w:beforeLines="50" w:line="360" w:lineRule="auto"/>
        <w:jc w:val="center"/>
        <w:rPr>
          <w:rFonts w:hint="eastAsia" w:ascii="Times New Roman" w:hAnsi="Times New Roman" w:eastAsia="宋体" w:cs="Times New Roman"/>
          <w:bCs/>
          <w:color w:val="auto"/>
          <w:spacing w:val="-7"/>
          <w:kern w:val="2"/>
          <w:sz w:val="24"/>
          <w:szCs w:val="20"/>
          <w:lang w:val="en-US" w:eastAsia="zh-CN" w:bidi="ar-SA"/>
        </w:rPr>
      </w:pPr>
      <w:r>
        <w:rPr>
          <w:rFonts w:hint="eastAsia" w:ascii="Calibri Light" w:hAnsi="Calibri Light" w:eastAsia="宋体" w:cs="Times New Roman"/>
          <w:color w:val="auto"/>
          <w:kern w:val="2"/>
          <w:sz w:val="24"/>
          <w:szCs w:val="20"/>
          <w:lang w:val="en-US" w:eastAsia="zh-CN" w:bidi="ar-SA"/>
        </w:rPr>
        <w:t>表4-3梅州市中心城区公共机构、国有企业充电基础设施建设情况表</w:t>
      </w:r>
    </w:p>
    <w:p>
      <w:pPr>
        <w:widowControl w:val="0"/>
        <w:spacing w:before="120" w:beforeLines="50" w:line="360" w:lineRule="auto"/>
        <w:jc w:val="center"/>
        <w:rPr>
          <w:rFonts w:hint="eastAsia" w:ascii="Times New Roman" w:hAnsi="Times New Roman" w:eastAsia="宋体" w:cs="Times New Roman"/>
          <w:bCs/>
          <w:color w:val="auto"/>
          <w:spacing w:val="-7"/>
          <w:kern w:val="2"/>
          <w:sz w:val="24"/>
          <w:szCs w:val="20"/>
          <w:lang w:val="en-US" w:eastAsia="zh-CN" w:bidi="ar-SA"/>
        </w:rPr>
      </w:pP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r>
        <w:rPr>
          <w:rFonts w:hint="eastAsia" w:ascii="文星楷体" w:hAnsi="文星楷体" w:eastAsia="文星楷体" w:cs="文星楷体"/>
          <w:b w:val="0"/>
          <w:bCs w:val="0"/>
          <w:color w:val="auto"/>
          <w:kern w:val="2"/>
          <w:sz w:val="32"/>
          <w:szCs w:val="32"/>
          <w:lang w:val="en-US" w:eastAsia="zh-CN" w:bidi="ar-SA"/>
        </w:rPr>
        <w:t>（四）有序推进各县（市、区）充电设施建设</w:t>
      </w:r>
    </w:p>
    <w:p>
      <w:pPr>
        <w:widowControl w:val="0"/>
        <w:autoSpaceDE w:val="0"/>
        <w:autoSpaceDN w:val="0"/>
        <w:spacing w:before="120" w:beforeLines="50" w:line="360" w:lineRule="auto"/>
        <w:ind w:firstLine="532" w:firstLineChars="200"/>
        <w:jc w:val="both"/>
        <w:rPr>
          <w:rFonts w:hint="eastAsia" w:ascii="文星楷体" w:hAnsi="文星楷体" w:eastAsia="文星楷体" w:cs="文星楷体"/>
          <w:b w:val="0"/>
          <w:bCs/>
          <w:color w:val="auto"/>
          <w:spacing w:val="-7"/>
          <w:kern w:val="0"/>
          <w:sz w:val="28"/>
          <w:szCs w:val="28"/>
          <w:lang w:val="en-US" w:eastAsia="zh-CN" w:bidi="ar-SA"/>
        </w:rPr>
      </w:pPr>
      <w:r>
        <w:rPr>
          <w:rFonts w:hint="eastAsia" w:ascii="文星楷体" w:hAnsi="文星楷体" w:eastAsia="文星楷体" w:cs="文星楷体"/>
          <w:b w:val="0"/>
          <w:bCs/>
          <w:color w:val="auto"/>
          <w:spacing w:val="-7"/>
          <w:kern w:val="0"/>
          <w:sz w:val="28"/>
          <w:szCs w:val="28"/>
          <w:lang w:val="en-US" w:eastAsia="zh-CN" w:bidi="ar-SA"/>
        </w:rPr>
        <w:t>1.各县（市、区）公共充电桩</w:t>
      </w:r>
      <w:r>
        <w:rPr>
          <w:rFonts w:hint="eastAsia" w:ascii="文星楷体" w:hAnsi="文星楷体" w:eastAsia="文星楷体" w:cs="文星楷体"/>
          <w:b w:val="0"/>
          <w:bCs/>
          <w:color w:val="auto"/>
          <w:kern w:val="0"/>
          <w:sz w:val="28"/>
          <w:szCs w:val="28"/>
          <w:lang w:val="en-US" w:eastAsia="zh-CN" w:bidi="ar-SA"/>
        </w:rPr>
        <w:t>总体布局</w:t>
      </w: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根据充电设施需求预测分析，至2025年，梅州市建成3624个公共充电桩，新建1112个充电桩；其中梅州市中心城区规划260个公用充电桩（结合停车场及新增超充站）和0个专用充电桩，则梅州市各县（市、区）共需新增852个公共充电桩，其中梅江区、梅县区的年度建设任务不包含已规划布点建设的充电基础设施。</w:t>
      </w:r>
      <w:bookmarkStart w:id="20" w:name="_GoBack"/>
      <w:bookmarkEnd w:id="20"/>
    </w:p>
    <w:p>
      <w:pPr>
        <w:widowControl w:val="0"/>
        <w:spacing w:before="120" w:beforeLines="50" w:line="360" w:lineRule="auto"/>
        <w:jc w:val="center"/>
        <w:rPr>
          <w:rFonts w:hint="eastAsia" w:ascii="Calibri Light" w:hAnsi="Calibri Light" w:eastAsia="宋体" w:cs="Times New Roman"/>
          <w:color w:val="auto"/>
          <w:kern w:val="2"/>
          <w:sz w:val="24"/>
          <w:szCs w:val="20"/>
          <w:lang w:val="en-US" w:eastAsia="zh-CN" w:bidi="ar-SA"/>
        </w:rPr>
      </w:pPr>
      <w:r>
        <w:rPr>
          <w:rFonts w:hint="eastAsia" w:ascii="Calibri Light" w:hAnsi="Calibri Light" w:eastAsia="宋体" w:cs="Times New Roman"/>
          <w:color w:val="auto"/>
          <w:kern w:val="2"/>
          <w:sz w:val="24"/>
          <w:szCs w:val="20"/>
          <w:lang w:val="en-US" w:eastAsia="zh-CN" w:bidi="ar-SA"/>
        </w:rPr>
        <w:t>表</w:t>
      </w:r>
      <w:r>
        <w:rPr>
          <w:rFonts w:ascii="Calibri Light" w:hAnsi="Calibri Light" w:eastAsia="宋体" w:cs="Times New Roman"/>
          <w:color w:val="auto"/>
          <w:kern w:val="2"/>
          <w:sz w:val="24"/>
          <w:szCs w:val="20"/>
          <w:lang w:val="en-US" w:eastAsia="zh-CN" w:bidi="ar-SA"/>
        </w:rPr>
        <w:t>4</w:t>
      </w:r>
      <w:r>
        <w:rPr>
          <w:rFonts w:hint="eastAsia" w:ascii="Calibri Light" w:hAnsi="Calibri Light" w:eastAsia="宋体" w:cs="Times New Roman"/>
          <w:color w:val="auto"/>
          <w:kern w:val="2"/>
          <w:sz w:val="24"/>
          <w:szCs w:val="20"/>
          <w:lang w:val="en-US" w:eastAsia="zh-CN" w:bidi="ar-SA"/>
        </w:rPr>
        <w:t>-4</w:t>
      </w:r>
      <w:r>
        <w:rPr>
          <w:rFonts w:ascii="Calibri Light" w:hAnsi="Calibri Light" w:eastAsia="宋体" w:cs="Times New Roman"/>
          <w:color w:val="auto"/>
          <w:kern w:val="2"/>
          <w:sz w:val="24"/>
          <w:szCs w:val="20"/>
          <w:lang w:val="en-US" w:eastAsia="zh-CN" w:bidi="ar-SA"/>
        </w:rPr>
        <w:t xml:space="preserve"> </w:t>
      </w:r>
      <w:r>
        <w:rPr>
          <w:rFonts w:hint="eastAsia" w:ascii="Calibri Light" w:hAnsi="Calibri Light" w:eastAsia="宋体" w:cs="Times New Roman"/>
          <w:color w:val="auto"/>
          <w:kern w:val="2"/>
          <w:sz w:val="24"/>
          <w:szCs w:val="20"/>
          <w:lang w:val="en-US" w:eastAsia="zh-CN" w:bidi="ar-SA"/>
        </w:rPr>
        <w:t>各县（市、区）公共充电基础设施建设目标任务表（2023-2025年）</w:t>
      </w:r>
    </w:p>
    <w:tbl>
      <w:tblPr>
        <w:tblStyle w:val="2"/>
        <w:tblW w:w="909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80"/>
        <w:gridCol w:w="2063"/>
        <w:gridCol w:w="2025"/>
        <w:gridCol w:w="1785"/>
        <w:gridCol w:w="2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各县（市、区）</w:t>
            </w:r>
          </w:p>
        </w:tc>
        <w:tc>
          <w:tcPr>
            <w:tcW w:w="8018"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2023-2025年公共充电桩建设任务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20"/>
                <w:szCs w:val="20"/>
                <w:u w:val="none"/>
              </w:rPr>
            </w:pP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2023年新增充电桩（个）</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2024年新增充电桩（个）</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2025年新增充电桩（个）</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ind w:right="985" w:rightChars="469"/>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2023-2025年合计新增充电桩（个）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梅江</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262</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45</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25</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梅县</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170</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50</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兴宁</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30</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30</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10</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平远</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7</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蕉岭</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6</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大埔</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12</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10</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丰顺</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15</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15</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10</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五华</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50</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40</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10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合计</w:t>
            </w:r>
          </w:p>
        </w:tc>
        <w:tc>
          <w:tcPr>
            <w:tcW w:w="2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552</w:t>
            </w:r>
          </w:p>
        </w:tc>
        <w:tc>
          <w:tcPr>
            <w:tcW w:w="20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rPr>
            </w:pPr>
            <w:r>
              <w:rPr>
                <w:rFonts w:hint="eastAsia" w:ascii="宋体" w:hAnsi="宋体" w:eastAsia="宋体" w:cs="宋体"/>
                <w:i w:val="0"/>
                <w:iCs w:val="0"/>
                <w:color w:val="auto"/>
                <w:kern w:val="0"/>
                <w:sz w:val="20"/>
                <w:szCs w:val="20"/>
                <w:u w:val="none"/>
                <w:lang w:val="en-US" w:eastAsia="zh-CN" w:bidi="ar"/>
              </w:rPr>
              <w:t>200</w:t>
            </w:r>
          </w:p>
        </w:tc>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lang w:val="en-US"/>
              </w:rPr>
            </w:pPr>
            <w:r>
              <w:rPr>
                <w:rFonts w:hint="eastAsia" w:ascii="宋体" w:hAnsi="宋体" w:eastAsia="宋体" w:cs="宋体"/>
                <w:i w:val="0"/>
                <w:iCs w:val="0"/>
                <w:color w:val="auto"/>
                <w:kern w:val="0"/>
                <w:sz w:val="20"/>
                <w:szCs w:val="20"/>
                <w:u w:val="none"/>
                <w:lang w:val="en-US" w:eastAsia="zh-CN" w:bidi="ar"/>
              </w:rPr>
              <w:t>100</w:t>
            </w:r>
          </w:p>
        </w:tc>
        <w:tc>
          <w:tcPr>
            <w:tcW w:w="21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20"/>
                <w:szCs w:val="20"/>
                <w:u w:val="none"/>
                <w:lang w:val="en-US"/>
              </w:rPr>
            </w:pPr>
            <w:r>
              <w:rPr>
                <w:rFonts w:hint="eastAsia" w:ascii="宋体" w:hAnsi="宋体" w:eastAsia="宋体" w:cs="宋体"/>
                <w:i w:val="0"/>
                <w:iCs w:val="0"/>
                <w:color w:val="auto"/>
                <w:kern w:val="0"/>
                <w:sz w:val="20"/>
                <w:szCs w:val="20"/>
                <w:u w:val="none"/>
                <w:lang w:val="en-US" w:eastAsia="zh-CN" w:bidi="ar"/>
              </w:rPr>
              <w:t>852</w:t>
            </w:r>
          </w:p>
        </w:tc>
      </w:tr>
    </w:tbl>
    <w:p>
      <w:pPr>
        <w:widowControl w:val="0"/>
        <w:spacing w:before="120" w:beforeLines="50" w:line="360" w:lineRule="auto"/>
        <w:jc w:val="center"/>
        <w:rPr>
          <w:rFonts w:hint="eastAsia" w:ascii="Calibri Light" w:hAnsi="Calibri Light" w:eastAsia="宋体" w:cs="Times New Roman"/>
          <w:color w:val="auto"/>
          <w:kern w:val="2"/>
          <w:sz w:val="24"/>
          <w:szCs w:val="20"/>
          <w:lang w:val="en-US" w:eastAsia="zh-CN" w:bidi="ar-SA"/>
        </w:rPr>
      </w:pPr>
    </w:p>
    <w:p>
      <w:pPr>
        <w:widowControl w:val="0"/>
        <w:autoSpaceDE w:val="0"/>
        <w:autoSpaceDN w:val="0"/>
        <w:spacing w:before="120" w:beforeLines="50" w:line="360" w:lineRule="auto"/>
        <w:ind w:left="420" w:leftChars="200" w:firstLine="0" w:firstLineChars="0"/>
        <w:jc w:val="both"/>
        <w:rPr>
          <w:rFonts w:ascii="宋体" w:hAnsi="宋体" w:eastAsia="宋体" w:cs="宋体"/>
          <w:color w:val="auto"/>
          <w:kern w:val="0"/>
          <w:sz w:val="28"/>
          <w:szCs w:val="28"/>
          <w:lang w:val="en-US" w:eastAsia="zh-CN" w:bidi="ar-SA"/>
        </w:rPr>
      </w:pPr>
      <w:r>
        <w:rPr>
          <w:rFonts w:hint="eastAsia" w:ascii="文星楷体" w:hAnsi="文星楷体" w:eastAsia="文星楷体" w:cs="文星楷体"/>
          <w:b w:val="0"/>
          <w:bCs/>
          <w:color w:val="auto"/>
          <w:spacing w:val="-7"/>
          <w:kern w:val="0"/>
          <w:sz w:val="28"/>
          <w:szCs w:val="28"/>
          <w:lang w:val="en-US" w:eastAsia="zh-CN" w:bidi="ar-SA"/>
        </w:rPr>
        <w:t>2.各县（市、区）超级充电站总体布局</w:t>
      </w:r>
      <w:r>
        <w:rPr>
          <w:rFonts w:ascii="宋体" w:hAnsi="宋体" w:eastAsia="宋体" w:cs="宋体"/>
          <w:color w:val="auto"/>
          <w:kern w:val="0"/>
          <w:sz w:val="28"/>
          <w:szCs w:val="28"/>
          <w:lang w:val="en-US" w:eastAsia="zh-CN" w:bidi="ar-SA"/>
        </w:rPr>
        <w:t xml:space="preserve"> </w:t>
      </w:r>
    </w:p>
    <w:p>
      <w:pPr>
        <w:widowControl w:val="0"/>
        <w:autoSpaceDE w:val="0"/>
        <w:autoSpaceDN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结合部分站点停车场资料，重点选择独立占地大型公建、景区公园等配套建设的公共停车场作为超充站的建设选址，对除梅江区、梅县区外的剩余县、市各规划布局一个超充站点。</w:t>
      </w:r>
    </w:p>
    <w:p>
      <w:pPr>
        <w:widowControl w:val="0"/>
        <w:spacing w:before="120" w:beforeLines="50" w:line="360" w:lineRule="auto"/>
        <w:ind w:left="894"/>
        <w:jc w:val="center"/>
        <w:rPr>
          <w:rFonts w:ascii="Calibri Light" w:hAnsi="Calibri Light" w:eastAsia="宋体" w:cs="Times New Roman"/>
          <w:color w:val="auto"/>
          <w:kern w:val="2"/>
          <w:sz w:val="24"/>
          <w:szCs w:val="20"/>
          <w:lang w:val="en-US" w:eastAsia="zh-CN" w:bidi="ar-SA"/>
        </w:rPr>
      </w:pPr>
      <w:r>
        <w:rPr>
          <w:rFonts w:hint="eastAsia" w:ascii="Calibri Light" w:hAnsi="Calibri Light" w:eastAsia="宋体" w:cs="Times New Roman"/>
          <w:color w:val="auto"/>
          <w:kern w:val="2"/>
          <w:sz w:val="24"/>
          <w:szCs w:val="20"/>
          <w:lang w:val="en-US" w:eastAsia="zh-CN" w:bidi="ar-SA"/>
        </w:rPr>
        <w:t>表</w:t>
      </w:r>
      <w:r>
        <w:rPr>
          <w:rFonts w:ascii="Calibri Light" w:hAnsi="Calibri Light" w:eastAsia="宋体" w:cs="Times New Roman"/>
          <w:color w:val="auto"/>
          <w:kern w:val="2"/>
          <w:sz w:val="24"/>
          <w:szCs w:val="20"/>
          <w:lang w:val="en-US" w:eastAsia="zh-CN" w:bidi="ar-SA"/>
        </w:rPr>
        <w:t>4</w:t>
      </w:r>
      <w:r>
        <w:rPr>
          <w:rFonts w:hint="eastAsia" w:ascii="Calibri Light" w:hAnsi="Calibri Light" w:eastAsia="宋体" w:cs="Times New Roman"/>
          <w:color w:val="auto"/>
          <w:kern w:val="2"/>
          <w:sz w:val="24"/>
          <w:szCs w:val="20"/>
          <w:lang w:val="en-US" w:eastAsia="zh-CN" w:bidi="ar-SA"/>
        </w:rPr>
        <w:t>-5梅州市各县（市、区）规划超级充电站一览表</w:t>
      </w:r>
    </w:p>
    <w:p>
      <w:pPr>
        <w:widowControl w:val="0"/>
        <w:autoSpaceDE w:val="0"/>
        <w:autoSpaceDN w:val="0"/>
        <w:adjustRightInd w:val="0"/>
        <w:snapToGrid w:val="0"/>
        <w:spacing w:before="120" w:beforeLines="50" w:line="360" w:lineRule="auto"/>
        <w:ind w:firstLine="200" w:firstLineChars="0"/>
        <w:jc w:val="both"/>
        <w:rPr>
          <w:rFonts w:hint="eastAsia" w:ascii="宋体" w:hAnsi="宋体" w:eastAsia="宋体" w:cs="宋体"/>
          <w:color w:val="auto"/>
          <w:kern w:val="0"/>
          <w:sz w:val="24"/>
          <w:szCs w:val="22"/>
          <w:lang w:val="en-US" w:eastAsia="zh-CN" w:bidi="ar-SA"/>
        </w:rPr>
      </w:pPr>
    </w:p>
    <w:p>
      <w:pPr>
        <w:widowControl w:val="0"/>
        <w:autoSpaceDE w:val="0"/>
        <w:autoSpaceDN w:val="0"/>
        <w:adjustRightInd w:val="0"/>
        <w:snapToGrid w:val="0"/>
        <w:spacing w:before="120" w:beforeLines="50" w:line="360" w:lineRule="auto"/>
        <w:ind w:firstLine="200" w:firstLineChars="0"/>
        <w:jc w:val="both"/>
        <w:rPr>
          <w:rFonts w:ascii="宋体" w:hAnsi="宋体" w:eastAsia="宋体" w:cs="宋体"/>
          <w:color w:val="auto"/>
          <w:kern w:val="0"/>
          <w:sz w:val="24"/>
          <w:szCs w:val="22"/>
          <w:lang w:val="en-US" w:eastAsia="zh-CN" w:bidi="ar-SA"/>
        </w:rPr>
      </w:pPr>
      <w:r>
        <w:rPr>
          <w:rFonts w:hint="eastAsia" w:ascii="宋体" w:hAnsi="宋体" w:eastAsia="宋体" w:cs="宋体"/>
          <w:color w:val="auto"/>
          <w:kern w:val="0"/>
          <w:sz w:val="24"/>
          <w:szCs w:val="22"/>
          <w:lang w:val="en-US" w:eastAsia="zh-CN" w:bidi="ar-SA"/>
        </w:rPr>
        <w:t>注：本规划所述每个超级充电站点至少配备2个超级充电桩，剩余充电桩为快充桩，并可根据需要替换成超级充电桩。</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r>
        <w:rPr>
          <w:rFonts w:hint="eastAsia" w:ascii="文星楷体" w:hAnsi="文星楷体" w:eastAsia="文星楷体" w:cs="文星楷体"/>
          <w:b w:val="0"/>
          <w:bCs w:val="0"/>
          <w:color w:val="auto"/>
          <w:kern w:val="2"/>
          <w:sz w:val="32"/>
          <w:szCs w:val="32"/>
          <w:lang w:val="en-US" w:eastAsia="zh-CN" w:bidi="ar-SA"/>
        </w:rPr>
        <w:t>（五）不断完善城际充电基础设施</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2023-2025年，全市建成国省干线服务区充电桩94个，其中计划新建81个，已建成13个，待建68个。鼓励增加国省干线公路服务区充电桩密度，不断提高配建比例，满足出行高峰时段的充电需求。结合我市普通国省干线公路服务设施布局规划，在国省干线公路服务区布设充电基础设施。鼓励国省干线公路服务区充电桩业主单位节假日前对充电桩进行全面“体检”，确保节假日期间充分发挥国省干线公路服务区全部充电桩的补能作用；鼓励在国省干线公路服务区合理配建换电站，提高补能效率。</w:t>
      </w:r>
    </w:p>
    <w:p>
      <w:pPr>
        <w:widowControl w:val="0"/>
        <w:spacing w:before="120" w:beforeLines="50" w:line="360" w:lineRule="auto"/>
        <w:jc w:val="center"/>
        <w:rPr>
          <w:rFonts w:ascii="Calibri Light" w:hAnsi="Calibri Light" w:eastAsia="宋体" w:cs="Times New Roman"/>
          <w:color w:val="auto"/>
          <w:kern w:val="2"/>
          <w:sz w:val="24"/>
          <w:szCs w:val="20"/>
          <w:lang w:val="en-US" w:eastAsia="zh-CN" w:bidi="ar-SA"/>
        </w:rPr>
      </w:pPr>
      <w:r>
        <w:rPr>
          <w:rFonts w:ascii="Calibri Light" w:hAnsi="Calibri Light" w:eastAsia="宋体" w:cs="Times New Roman"/>
          <w:color w:val="auto"/>
          <w:kern w:val="2"/>
          <w:sz w:val="24"/>
          <w:szCs w:val="20"/>
          <w:lang w:val="en-US" w:eastAsia="zh-CN" w:bidi="ar-SA"/>
        </w:rPr>
        <w:t>表4</w:t>
      </w:r>
      <w:r>
        <w:rPr>
          <w:rFonts w:hint="eastAsia" w:ascii="Calibri Light" w:hAnsi="Calibri Light" w:eastAsia="宋体" w:cs="Times New Roman"/>
          <w:color w:val="auto"/>
          <w:kern w:val="2"/>
          <w:sz w:val="24"/>
          <w:szCs w:val="20"/>
          <w:lang w:val="en-US" w:eastAsia="zh-CN" w:bidi="ar-SA"/>
        </w:rPr>
        <w:t>-6各县（市、区）国省干线公路服务区站点规划一览表</w:t>
      </w:r>
    </w:p>
    <w:p>
      <w:pPr>
        <w:keepNext/>
        <w:keepLines/>
        <w:widowControl w:val="0"/>
        <w:numPr>
          <w:ilvl w:val="-1"/>
          <w:numId w:val="0"/>
        </w:numPr>
        <w:spacing w:before="240" w:beforeLines="100" w:after="240" w:line="240" w:lineRule="auto"/>
        <w:ind w:left="0" w:firstLine="0"/>
        <w:jc w:val="left"/>
        <w:outlineLvl w:val="1"/>
        <w:rPr>
          <w:rFonts w:hint="eastAsia" w:ascii="文星楷体" w:hAnsi="文星楷体" w:eastAsia="文星楷体" w:cs="文星楷体"/>
          <w:b w:val="0"/>
          <w:bCs w:val="0"/>
          <w:color w:val="auto"/>
          <w:kern w:val="2"/>
          <w:sz w:val="32"/>
          <w:szCs w:val="32"/>
          <w:lang w:val="en-US" w:eastAsia="zh-CN" w:bidi="ar-SA"/>
        </w:rPr>
      </w:pPr>
      <w:bookmarkStart w:id="15" w:name="_Toc148683026"/>
      <w:r>
        <w:rPr>
          <w:rFonts w:hint="eastAsia" w:ascii="文星楷体" w:hAnsi="文星楷体" w:eastAsia="文星楷体" w:cs="文星楷体"/>
          <w:b w:val="0"/>
          <w:bCs w:val="0"/>
          <w:color w:val="auto"/>
          <w:kern w:val="2"/>
          <w:sz w:val="32"/>
          <w:szCs w:val="32"/>
          <w:lang w:val="en-US" w:eastAsia="zh-CN" w:bidi="ar-SA"/>
        </w:rPr>
        <w:t>（六）强化充电基础设施安全管理</w:t>
      </w:r>
      <w:bookmarkEnd w:id="15"/>
    </w:p>
    <w:p>
      <w:pPr>
        <w:widowControl w:val="0"/>
        <w:autoSpaceDE w:val="0"/>
        <w:autoSpaceDN w:val="0"/>
        <w:spacing w:before="120" w:beforeLines="50" w:line="360" w:lineRule="auto"/>
        <w:ind w:firstLine="532" w:firstLineChars="200"/>
        <w:jc w:val="both"/>
        <w:rPr>
          <w:rFonts w:hint="eastAsia" w:ascii="文星楷体" w:hAnsi="文星楷体" w:eastAsia="文星楷体" w:cs="文星楷体"/>
          <w:b w:val="0"/>
          <w:bCs/>
          <w:color w:val="auto"/>
          <w:spacing w:val="-7"/>
          <w:kern w:val="0"/>
          <w:sz w:val="28"/>
          <w:szCs w:val="28"/>
          <w:lang w:val="en-US" w:eastAsia="zh-CN" w:bidi="ar-SA"/>
        </w:rPr>
      </w:pPr>
      <w:r>
        <w:rPr>
          <w:rFonts w:hint="eastAsia" w:ascii="文星楷体" w:hAnsi="文星楷体" w:eastAsia="文星楷体" w:cs="文星楷体"/>
          <w:b w:val="0"/>
          <w:bCs/>
          <w:color w:val="auto"/>
          <w:spacing w:val="-7"/>
          <w:kern w:val="0"/>
          <w:sz w:val="28"/>
          <w:szCs w:val="28"/>
          <w:lang w:val="en-US" w:eastAsia="zh-CN" w:bidi="ar-SA"/>
        </w:rPr>
        <w:t>1.落实充电设施安全主体责任</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充电设施建设运营单位要严格按照国家及行业标准开展充电设施的设计、安装、建设、竣工验收和运营，确保产品设施质量和工程建设质量，未经验收合格的充电设施及配套设施不得投入使用。</w:t>
      </w:r>
    </w:p>
    <w:p>
      <w:pPr>
        <w:widowControl w:val="0"/>
        <w:autoSpaceDE w:val="0"/>
        <w:autoSpaceDN w:val="0"/>
        <w:spacing w:before="120" w:beforeLines="50" w:line="360" w:lineRule="auto"/>
        <w:ind w:firstLine="532" w:firstLineChars="200"/>
        <w:jc w:val="both"/>
        <w:rPr>
          <w:rFonts w:hint="eastAsia" w:ascii="文星楷体" w:hAnsi="文星楷体" w:eastAsia="文星楷体" w:cs="文星楷体"/>
          <w:b w:val="0"/>
          <w:bCs/>
          <w:color w:val="auto"/>
          <w:spacing w:val="-7"/>
          <w:kern w:val="0"/>
          <w:sz w:val="28"/>
          <w:szCs w:val="28"/>
          <w:lang w:val="en-US" w:eastAsia="zh-CN" w:bidi="ar-SA"/>
        </w:rPr>
      </w:pPr>
      <w:r>
        <w:rPr>
          <w:rFonts w:hint="eastAsia" w:ascii="文星楷体" w:hAnsi="文星楷体" w:eastAsia="文星楷体" w:cs="文星楷体"/>
          <w:b w:val="0"/>
          <w:bCs/>
          <w:color w:val="auto"/>
          <w:spacing w:val="-7"/>
          <w:kern w:val="0"/>
          <w:sz w:val="28"/>
          <w:szCs w:val="28"/>
          <w:lang w:val="en-US" w:eastAsia="zh-CN" w:bidi="ar-SA"/>
        </w:rPr>
        <w:t>2.加强充电设施安全监督</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各地充电设施安全监管部门要定期组织对区域内的电动汽车充电设施及站场进行安全隐患排查，督促充电基础设施运营单位加强对充电设施及场所的日常消防安全管理，建立健全安全管理制度，定期自查自纠，及时消除安全隐患，完善应急处置措施。加强对民众安全、规范使用充电桩的宣传教育。各相关行业主管部门督促本行业相关场所充电基础设施运营单位加强对充电设施及场所的日常消防安全管理。</w:t>
      </w:r>
    </w:p>
    <w:p>
      <w:pPr>
        <w:keepNext w:val="0"/>
        <w:keepLines w:val="0"/>
        <w:pageBreakBefore w:val="0"/>
        <w:widowControl w:val="0"/>
        <w:kinsoku/>
        <w:wordWrap/>
        <w:overflowPunct/>
        <w:topLinePunct w:val="0"/>
        <w:autoSpaceDE/>
        <w:autoSpaceDN/>
        <w:bidi w:val="0"/>
        <w:adjustRightInd/>
        <w:snapToGrid/>
        <w:spacing w:line="360" w:lineRule="auto"/>
        <w:ind w:right="0"/>
        <w:textAlignment w:val="auto"/>
        <w:rPr>
          <w:rStyle w:val="10"/>
          <w:rFonts w:hint="eastAsia" w:ascii="Times New Roman" w:hAnsi="Times New Roman" w:cs="Times New Roman"/>
          <w:color w:val="auto"/>
          <w:u w:val="none"/>
          <w:lang w:val="en-US" w:eastAsia="zh-CN"/>
        </w:rPr>
      </w:pPr>
      <w:r>
        <w:rPr>
          <w:rStyle w:val="10"/>
          <w:rFonts w:hint="eastAsia" w:ascii="Times New Roman" w:hAnsi="Times New Roman" w:cs="Times New Roman"/>
          <w:color w:val="auto"/>
          <w:u w:val="none"/>
          <w:lang w:val="en-US" w:eastAsia="zh-CN"/>
        </w:rPr>
        <w:t>（七）加强配套供电服务</w:t>
      </w:r>
    </w:p>
    <w:p>
      <w:pPr>
        <w:keepNext w:val="0"/>
        <w:keepLines w:val="0"/>
        <w:pageBreakBefore w:val="0"/>
        <w:widowControl w:val="0"/>
        <w:kinsoku/>
        <w:wordWrap/>
        <w:overflowPunct/>
        <w:topLinePunct w:val="0"/>
        <w:autoSpaceDE/>
        <w:autoSpaceDN/>
        <w:bidi w:val="0"/>
        <w:adjustRightInd/>
        <w:snapToGrid/>
        <w:spacing w:line="360" w:lineRule="auto"/>
        <w:ind w:right="0" w:firstLine="640" w:firstLineChars="200"/>
        <w:textAlignment w:val="auto"/>
        <w:rPr>
          <w:rFonts w:hint="eastAsia" w:ascii="Times New Roman" w:hAnsi="Times New Roman" w:eastAsia="文星仿宋" w:cs="Times New Roman"/>
          <w:b w:val="0"/>
          <w:bCs w:val="0"/>
          <w:color w:val="auto"/>
          <w:sz w:val="32"/>
          <w:szCs w:val="32"/>
          <w:u w:val="none"/>
          <w:lang w:val="en-US" w:eastAsia="zh-CN"/>
        </w:rPr>
      </w:pPr>
      <w:r>
        <w:rPr>
          <w:rFonts w:hint="eastAsia" w:ascii="Times New Roman" w:hAnsi="Times New Roman" w:eastAsia="文星仿宋" w:cs="Times New Roman"/>
          <w:b w:val="0"/>
          <w:bCs w:val="0"/>
          <w:color w:val="auto"/>
          <w:sz w:val="32"/>
          <w:szCs w:val="32"/>
          <w:u w:val="none"/>
          <w:lang w:val="en-US" w:eastAsia="zh-CN"/>
        </w:rPr>
        <w:t>落实新建建筑配建充电设施用电报装业务指引，主动告知业务流程、所需材料和技术标准等服务内容，为能够提供独立物业权属证明材料的充（换）电站安装独立电表，并为其出具电费发票。</w:t>
      </w:r>
      <w:r>
        <w:rPr>
          <w:rFonts w:hint="default" w:ascii="Times New Roman" w:hAnsi="Times New Roman" w:eastAsia="文星仿宋" w:cs="Times New Roman"/>
          <w:b w:val="0"/>
          <w:bCs w:val="0"/>
          <w:color w:val="auto"/>
          <w:sz w:val="32"/>
          <w:szCs w:val="32"/>
          <w:u w:val="none"/>
          <w:lang w:val="en-US" w:eastAsia="zh-CN"/>
        </w:rPr>
        <w:t>推动小区物业“批量背书”、“电表预装”等优化举措，破解小区充电桩用电物业同意难题。</w:t>
      </w:r>
      <w:r>
        <w:rPr>
          <w:rFonts w:hint="eastAsia" w:ascii="Times New Roman" w:hAnsi="Times New Roman" w:eastAsia="文星仿宋" w:cs="Times New Roman"/>
          <w:b w:val="0"/>
          <w:bCs w:val="0"/>
          <w:color w:val="auto"/>
          <w:sz w:val="32"/>
          <w:szCs w:val="32"/>
          <w:u w:val="none"/>
          <w:lang w:val="en-US" w:eastAsia="zh-CN"/>
        </w:rPr>
        <w:t>优化新建、扩建充电设施建设的报备、用电报装流程。充电设施建设运营企业、供电部门等进行用电及施工可行性勘察时，物业服务企业应积极配合，出具安装电动汽车充电设施施工建设同意书，不得无理阻挠充电设施安装等相关工作。</w:t>
      </w:r>
    </w:p>
    <w:p>
      <w:pPr>
        <w:keepNext w:val="0"/>
        <w:keepLines w:val="0"/>
        <w:pageBreakBefore w:val="0"/>
        <w:widowControl w:val="0"/>
        <w:kinsoku/>
        <w:wordWrap/>
        <w:overflowPunct/>
        <w:topLinePunct w:val="0"/>
        <w:autoSpaceDE/>
        <w:autoSpaceDN/>
        <w:bidi w:val="0"/>
        <w:adjustRightInd/>
        <w:snapToGrid/>
        <w:spacing w:line="360" w:lineRule="auto"/>
        <w:ind w:right="0"/>
        <w:textAlignment w:val="auto"/>
        <w:rPr>
          <w:rStyle w:val="10"/>
          <w:rFonts w:hint="eastAsia" w:ascii="Times New Roman" w:hAnsi="Times New Roman" w:cs="Times New Roman"/>
          <w:color w:val="auto"/>
          <w:u w:val="none"/>
          <w:lang w:val="en-US" w:eastAsia="zh-CN"/>
        </w:rPr>
      </w:pPr>
      <w:r>
        <w:rPr>
          <w:rStyle w:val="10"/>
          <w:rFonts w:hint="eastAsia" w:ascii="Times New Roman" w:hAnsi="Times New Roman" w:cs="Times New Roman"/>
          <w:color w:val="auto"/>
          <w:u w:val="none"/>
          <w:lang w:val="en-US" w:eastAsia="zh-CN"/>
        </w:rPr>
        <w:t>（八）推动车桩网高效互动</w:t>
      </w:r>
    </w:p>
    <w:p>
      <w:pPr>
        <w:keepNext w:val="0"/>
        <w:keepLines w:val="0"/>
        <w:pageBreakBefore w:val="0"/>
        <w:widowControl w:val="0"/>
        <w:kinsoku/>
        <w:wordWrap/>
        <w:overflowPunct/>
        <w:topLinePunct w:val="0"/>
        <w:autoSpaceDE/>
        <w:autoSpaceDN/>
        <w:bidi w:val="0"/>
        <w:adjustRightInd/>
        <w:snapToGrid/>
        <w:spacing w:line="360" w:lineRule="auto"/>
        <w:ind w:right="0" w:firstLine="640" w:firstLineChars="200"/>
        <w:textAlignment w:val="auto"/>
        <w:rPr>
          <w:rFonts w:hint="eastAsia" w:ascii="Times New Roman" w:hAnsi="Times New Roman" w:eastAsia="文星仿宋" w:cs="Times New Roman"/>
          <w:b w:val="0"/>
          <w:bCs w:val="0"/>
          <w:color w:val="auto"/>
          <w:sz w:val="32"/>
          <w:szCs w:val="32"/>
          <w:u w:val="none"/>
          <w:lang w:val="en-US" w:eastAsia="zh-CN"/>
        </w:rPr>
      </w:pPr>
      <w:r>
        <w:rPr>
          <w:rFonts w:hint="eastAsia" w:ascii="Times New Roman" w:hAnsi="Times New Roman" w:eastAsia="文星仿宋" w:cs="Times New Roman"/>
          <w:b w:val="0"/>
          <w:bCs w:val="0"/>
          <w:color w:val="auto"/>
          <w:sz w:val="32"/>
          <w:szCs w:val="32"/>
          <w:u w:val="none"/>
          <w:lang w:val="en-US" w:eastAsia="zh-CN"/>
        </w:rPr>
        <w:t>支持V2G技术</w:t>
      </w:r>
      <w:r>
        <w:rPr>
          <w:rFonts w:hint="eastAsia" w:ascii="Times New Roman" w:hAnsi="Times New Roman" w:eastAsia="文星仿宋" w:cs="Times New Roman"/>
          <w:b w:val="0"/>
          <w:bCs w:val="0"/>
          <w:i/>
          <w:iCs/>
          <w:color w:val="auto"/>
          <w:sz w:val="32"/>
          <w:szCs w:val="32"/>
          <w:u w:val="none"/>
          <w:lang w:val="en-US" w:eastAsia="zh-CN"/>
        </w:rPr>
        <w:t>（电动汽车往电网输送能量的技术）</w:t>
      </w:r>
      <w:r>
        <w:rPr>
          <w:rFonts w:hint="eastAsia" w:ascii="Times New Roman" w:hAnsi="Times New Roman" w:eastAsia="文星仿宋" w:cs="Times New Roman"/>
          <w:b w:val="0"/>
          <w:bCs w:val="0"/>
          <w:color w:val="auto"/>
          <w:sz w:val="32"/>
          <w:szCs w:val="32"/>
          <w:u w:val="none"/>
          <w:lang w:val="en-US" w:eastAsia="zh-CN"/>
        </w:rPr>
        <w:t>推广应用，鼓励车主利用电动汽车车载电池闲余的电量参与电网需求侧响应，实现电动汽车、充电设施、电网间的电量和信息互动。</w:t>
      </w:r>
    </w:p>
    <w:p>
      <w:pPr>
        <w:keepNext w:val="0"/>
        <w:keepLines w:val="0"/>
        <w:pageBreakBefore w:val="0"/>
        <w:widowControl w:val="0"/>
        <w:kinsoku/>
        <w:wordWrap/>
        <w:overflowPunct/>
        <w:topLinePunct w:val="0"/>
        <w:autoSpaceDE/>
        <w:autoSpaceDN/>
        <w:bidi w:val="0"/>
        <w:adjustRightInd/>
        <w:snapToGrid/>
        <w:spacing w:line="360" w:lineRule="auto"/>
        <w:ind w:right="0"/>
        <w:textAlignment w:val="auto"/>
        <w:rPr>
          <w:rStyle w:val="10"/>
          <w:rFonts w:hint="eastAsia" w:ascii="Times New Roman" w:hAnsi="Times New Roman" w:cs="Times New Roman"/>
          <w:color w:val="auto"/>
          <w:u w:val="none"/>
          <w:lang w:val="en-US" w:eastAsia="zh-CN"/>
        </w:rPr>
      </w:pPr>
      <w:r>
        <w:rPr>
          <w:rStyle w:val="10"/>
          <w:rFonts w:hint="eastAsia" w:ascii="Times New Roman" w:hAnsi="Times New Roman" w:cs="Times New Roman"/>
          <w:color w:val="auto"/>
          <w:u w:val="none"/>
          <w:lang w:val="en-US" w:eastAsia="zh-CN"/>
        </w:rPr>
        <w:t>（九）鼓励“光储充换”综合型充换电场站建设</w:t>
      </w:r>
    </w:p>
    <w:p>
      <w:pPr>
        <w:widowControl w:val="0"/>
        <w:autoSpaceDE w:val="0"/>
        <w:autoSpaceDN w:val="0"/>
        <w:adjustRightInd w:val="0"/>
        <w:snapToGrid w:val="0"/>
        <w:spacing w:before="120" w:beforeLines="50" w:line="360" w:lineRule="auto"/>
        <w:ind w:firstLine="640" w:firstLineChars="200"/>
        <w:jc w:val="both"/>
        <w:rPr>
          <w:rFonts w:hint="eastAsia" w:ascii="Times New Roman" w:hAnsi="Times New Roman" w:eastAsia="宋体" w:cs="宋体"/>
          <w:bCs/>
          <w:color w:val="auto"/>
          <w:spacing w:val="-7"/>
          <w:kern w:val="0"/>
          <w:sz w:val="28"/>
          <w:szCs w:val="28"/>
          <w:lang w:val="en-US" w:eastAsia="zh-CN" w:bidi="ar-SA"/>
        </w:rPr>
      </w:pPr>
      <w:r>
        <w:rPr>
          <w:rFonts w:hint="eastAsia" w:ascii="Times New Roman" w:hAnsi="Times New Roman" w:eastAsia="文星仿宋" w:cs="Times New Roman"/>
          <w:b w:val="0"/>
          <w:bCs w:val="0"/>
          <w:color w:val="auto"/>
          <w:sz w:val="32"/>
          <w:szCs w:val="32"/>
          <w:u w:val="none"/>
          <w:lang w:val="en-US" w:eastAsia="zh-CN"/>
        </w:rPr>
        <w:t>在自然和安全条件合适的站场，鼓励开展“光储充换”综合型充换电场站建设，推动超充设施建设或技术改造，并配建储能等设施。</w:t>
      </w:r>
    </w:p>
    <w:p>
      <w:pPr>
        <w:keepNext/>
        <w:keepLines/>
        <w:widowControl w:val="0"/>
        <w:numPr>
          <w:ilvl w:val="0"/>
          <w:numId w:val="0"/>
        </w:numPr>
        <w:spacing w:before="240" w:beforeLines="100" w:after="240" w:line="240" w:lineRule="auto"/>
        <w:jc w:val="both"/>
        <w:outlineLvl w:val="0"/>
        <w:rPr>
          <w:rFonts w:hint="eastAsia" w:ascii="文星黑体" w:hAnsi="文星黑体" w:eastAsia="文星黑体" w:cs="文星黑体"/>
          <w:b w:val="0"/>
          <w:bCs w:val="0"/>
          <w:color w:val="auto"/>
          <w:kern w:val="44"/>
          <w:sz w:val="32"/>
          <w:szCs w:val="32"/>
          <w:lang w:val="en-US" w:eastAsia="zh-CN" w:bidi="ar-SA"/>
        </w:rPr>
      </w:pPr>
      <w:bookmarkStart w:id="16" w:name="_Toc148683028"/>
      <w:r>
        <w:rPr>
          <w:rFonts w:hint="eastAsia" w:ascii="文星黑体" w:hAnsi="文星黑体" w:eastAsia="文星黑体" w:cs="文星黑体"/>
          <w:b w:val="0"/>
          <w:bCs w:val="0"/>
          <w:color w:val="auto"/>
          <w:kern w:val="44"/>
          <w:sz w:val="32"/>
          <w:szCs w:val="32"/>
          <w:lang w:val="en-US" w:eastAsia="zh-CN" w:bidi="ar-SA"/>
        </w:rPr>
        <w:t>五、规划实施</w:t>
      </w:r>
      <w:bookmarkEnd w:id="16"/>
    </w:p>
    <w:p>
      <w:pPr>
        <w:keepNext w:val="0"/>
        <w:keepLines w:val="0"/>
        <w:pageBreakBefore w:val="0"/>
        <w:widowControl w:val="0"/>
        <w:kinsoku/>
        <w:wordWrap/>
        <w:overflowPunct/>
        <w:topLinePunct w:val="0"/>
        <w:autoSpaceDE/>
        <w:autoSpaceDN/>
        <w:bidi w:val="0"/>
        <w:adjustRightInd/>
        <w:snapToGrid/>
        <w:spacing w:line="360" w:lineRule="auto"/>
        <w:ind w:right="0"/>
        <w:textAlignment w:val="auto"/>
        <w:rPr>
          <w:rStyle w:val="10"/>
          <w:rFonts w:hint="eastAsia" w:ascii="文星楷体" w:hAnsi="文星楷体" w:eastAsia="文星楷体" w:cs="文星楷体"/>
          <w:color w:val="auto"/>
          <w:u w:val="none"/>
          <w:lang w:val="en-US" w:eastAsia="zh-CN"/>
        </w:rPr>
      </w:pPr>
      <w:r>
        <w:rPr>
          <w:rStyle w:val="10"/>
          <w:rFonts w:hint="eastAsia" w:ascii="文星楷体" w:hAnsi="文星楷体" w:eastAsia="文星楷体" w:cs="文星楷体"/>
          <w:color w:val="auto"/>
          <w:u w:val="none"/>
          <w:lang w:val="en-US" w:eastAsia="zh-CN"/>
        </w:rPr>
        <w:t>（一）加强统筹协调</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形成部门协同、上下联动的工作机制。各县（市、区）落实主体责任，做好属地充电设施建设规划布局并组织实施，积极引导支持各类投资主体建设运营充电设施。市相关行业主管部门按职责分工为充电基础设施建设做好服务，落实相关支持政策，并督促本行业相关场所落实充电基础设施建设要求。广东电网公司梅州供电局要简化和规范充电设施用电报装业务指引，主动告知业务流程、所需材料和技术标准等服务内容，加强配套供电服务和配电网建设改造，为充电基础设施建设提供接网保障，并在充电基础设施建设中发挥主力军作用。</w:t>
      </w:r>
    </w:p>
    <w:p>
      <w:pPr>
        <w:keepNext w:val="0"/>
        <w:keepLines w:val="0"/>
        <w:pageBreakBefore w:val="0"/>
        <w:widowControl w:val="0"/>
        <w:kinsoku/>
        <w:wordWrap/>
        <w:overflowPunct/>
        <w:topLinePunct w:val="0"/>
        <w:autoSpaceDE/>
        <w:autoSpaceDN/>
        <w:bidi w:val="0"/>
        <w:adjustRightInd/>
        <w:snapToGrid/>
        <w:spacing w:line="360" w:lineRule="auto"/>
        <w:ind w:right="0"/>
        <w:textAlignment w:val="auto"/>
        <w:rPr>
          <w:rStyle w:val="10"/>
          <w:rFonts w:hint="eastAsia" w:ascii="文星楷体" w:hAnsi="文星楷体" w:eastAsia="文星楷体" w:cs="文星楷体"/>
          <w:color w:val="auto"/>
          <w:u w:val="none"/>
          <w:lang w:val="en-US" w:eastAsia="zh-CN"/>
        </w:rPr>
      </w:pPr>
      <w:r>
        <w:rPr>
          <w:rStyle w:val="10"/>
          <w:rFonts w:hint="eastAsia" w:ascii="文星楷体" w:hAnsi="文星楷体" w:eastAsia="文星楷体" w:cs="文星楷体"/>
          <w:color w:val="auto"/>
          <w:u w:val="none"/>
          <w:lang w:val="en-US" w:eastAsia="zh-CN"/>
        </w:rPr>
        <w:t>（二）加强工作落实</w:t>
      </w:r>
    </w:p>
    <w:p>
      <w:pPr>
        <w:keepNext w:val="0"/>
        <w:keepLines w:val="0"/>
        <w:pageBreakBefore w:val="0"/>
        <w:widowControl w:val="0"/>
        <w:numPr>
          <w:ilvl w:val="0"/>
          <w:numId w:val="0"/>
        </w:numPr>
        <w:kinsoku/>
        <w:wordWrap/>
        <w:overflowPunct/>
        <w:topLinePunct w:val="0"/>
        <w:autoSpaceDE w:val="0"/>
        <w:autoSpaceDN w:val="0"/>
        <w:bidi w:val="0"/>
        <w:adjustRightInd w:val="0"/>
        <w:snapToGrid w:val="0"/>
        <w:spacing w:before="0" w:beforeLines="0" w:line="360" w:lineRule="auto"/>
        <w:ind w:left="0" w:leftChars="0" w:firstLine="612" w:firstLineChars="200"/>
        <w:jc w:val="both"/>
        <w:textAlignment w:val="auto"/>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各县（市、区）及市有关单位认真践行以人民为中心的发展思想，围绕我市“十四五”电动汽车充电基础设施建设总体要求及主要任务，认真研究具体措施，抓好工作落实，切实解决好电动汽车“充电难”问题，不断提升人民群众的获得感、幸福感。各县（市、区）发展改革局于每季度结束后 10日内向市发展改革局报送辖区充电基础设施建设进展情况。</w:t>
      </w:r>
    </w:p>
    <w:p>
      <w:pPr>
        <w:widowControl w:val="0"/>
        <w:numPr>
          <w:ilvl w:val="0"/>
          <w:numId w:val="0"/>
        </w:numPr>
        <w:autoSpaceDE w:val="0"/>
        <w:autoSpaceDN w:val="0"/>
        <w:adjustRightInd w:val="0"/>
        <w:snapToGrid w:val="0"/>
        <w:spacing w:before="120" w:beforeLines="50" w:line="360" w:lineRule="auto"/>
        <w:jc w:val="both"/>
        <w:rPr>
          <w:rFonts w:hint="eastAsia" w:ascii="文星楷体" w:hAnsi="文星楷体" w:eastAsia="文星楷体" w:cs="文星楷体"/>
          <w:b w:val="0"/>
          <w:bCs/>
          <w:color w:val="auto"/>
          <w:spacing w:val="-7"/>
          <w:kern w:val="0"/>
          <w:sz w:val="32"/>
          <w:szCs w:val="32"/>
          <w:lang w:val="en-US" w:eastAsia="zh-CN" w:bidi="ar-SA"/>
        </w:rPr>
      </w:pPr>
      <w:r>
        <w:rPr>
          <w:rFonts w:hint="eastAsia" w:ascii="文星楷体" w:hAnsi="文星楷体" w:eastAsia="文星楷体" w:cs="文星楷体"/>
          <w:b w:val="0"/>
          <w:bCs/>
          <w:color w:val="auto"/>
          <w:spacing w:val="-7"/>
          <w:kern w:val="0"/>
          <w:sz w:val="32"/>
          <w:szCs w:val="32"/>
          <w:lang w:val="en-US" w:eastAsia="zh-CN" w:bidi="ar-SA"/>
        </w:rPr>
        <w:t>（三）加大用地支持</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各县（市、区）自然资源局在控制性详细规划中落实充电设施建设安排，完善独立占地的充电设施布局，明确独立占地充电设施规模，明确建筑物配建停车场、城市公共停车场预留充电设施建设条件的要求和比例，同步开展用地规划。适当超前对城市新开发区域的充电设施进行布局，预留充足的配套供电设施场址及供电走廊。在编制实施国土空间规划过程中，统筹考虑将独立占地的充换电站用地纳入公用设施营业网点用地范围，大型充换电站应同步预留变电站用地；按照加油加气站用地供应模式，根据可供应国有建设用地情况和充电基础设施及配套电网发展需要，优先安排土地供应。</w:t>
      </w:r>
    </w:p>
    <w:p>
      <w:pPr>
        <w:widowControl w:val="0"/>
        <w:numPr>
          <w:ilvl w:val="0"/>
          <w:numId w:val="0"/>
        </w:numPr>
        <w:autoSpaceDE w:val="0"/>
        <w:autoSpaceDN w:val="0"/>
        <w:adjustRightInd w:val="0"/>
        <w:snapToGrid w:val="0"/>
        <w:spacing w:before="120" w:beforeLines="50" w:line="360" w:lineRule="auto"/>
        <w:jc w:val="both"/>
        <w:rPr>
          <w:rFonts w:hint="eastAsia" w:ascii="文星楷体" w:hAnsi="文星楷体" w:eastAsia="文星楷体" w:cs="文星楷体"/>
          <w:b w:val="0"/>
          <w:bCs/>
          <w:color w:val="auto"/>
          <w:spacing w:val="-7"/>
          <w:kern w:val="0"/>
          <w:sz w:val="32"/>
          <w:szCs w:val="32"/>
          <w:lang w:val="en-US" w:eastAsia="zh-CN" w:bidi="ar-SA"/>
        </w:rPr>
      </w:pPr>
      <w:r>
        <w:rPr>
          <w:rFonts w:hint="eastAsia" w:ascii="文星楷体" w:hAnsi="文星楷体" w:eastAsia="文星楷体" w:cs="文星楷体"/>
          <w:b w:val="0"/>
          <w:bCs/>
          <w:color w:val="auto"/>
          <w:spacing w:val="-7"/>
          <w:kern w:val="0"/>
          <w:sz w:val="32"/>
          <w:szCs w:val="32"/>
          <w:lang w:val="en-US" w:eastAsia="zh-CN" w:bidi="ar-SA"/>
        </w:rPr>
        <w:t>（四）加强财政支持</w:t>
      </w:r>
    </w:p>
    <w:p>
      <w:pPr>
        <w:widowControl w:val="0"/>
        <w:autoSpaceDE w:val="0"/>
        <w:autoSpaceDN w:val="0"/>
        <w:adjustRightInd w:val="0"/>
        <w:snapToGrid w:val="0"/>
        <w:spacing w:before="120" w:beforeLines="50" w:line="360" w:lineRule="auto"/>
        <w:ind w:firstLine="612" w:firstLineChars="200"/>
        <w:jc w:val="both"/>
        <w:rPr>
          <w:rFonts w:hint="eastAsia" w:ascii="文星仿宋" w:hAnsi="文星仿宋" w:eastAsia="文星仿宋" w:cs="文星仿宋"/>
          <w:bCs/>
          <w:color w:val="auto"/>
          <w:spacing w:val="-7"/>
          <w:kern w:val="0"/>
          <w:sz w:val="32"/>
          <w:szCs w:val="32"/>
          <w:lang w:val="en-US" w:eastAsia="zh-CN" w:bidi="ar-SA"/>
        </w:rPr>
      </w:pPr>
      <w:r>
        <w:rPr>
          <w:rFonts w:hint="eastAsia" w:ascii="文星仿宋" w:hAnsi="文星仿宋" w:eastAsia="文星仿宋" w:cs="文星仿宋"/>
          <w:bCs/>
          <w:color w:val="auto"/>
          <w:spacing w:val="-7"/>
          <w:kern w:val="0"/>
          <w:sz w:val="32"/>
          <w:szCs w:val="32"/>
          <w:lang w:val="en-US" w:eastAsia="zh-CN" w:bidi="ar-SA"/>
        </w:rPr>
        <w:t>发挥财政资金引导作用，严格按照省里相关文件要求做好充电基础设施的补贴发放工作，利用国家、省级财政资金对满足补贴条件的公共充电基础设施给予适当的补贴支持。</w:t>
      </w:r>
    </w:p>
    <w:p>
      <w:pPr>
        <w:widowControl w:val="0"/>
        <w:numPr>
          <w:ilvl w:val="0"/>
          <w:numId w:val="0"/>
        </w:numPr>
        <w:autoSpaceDE w:val="0"/>
        <w:autoSpaceDN w:val="0"/>
        <w:adjustRightInd w:val="0"/>
        <w:snapToGrid w:val="0"/>
        <w:spacing w:before="120" w:beforeLines="50" w:line="360" w:lineRule="auto"/>
        <w:jc w:val="both"/>
        <w:rPr>
          <w:rFonts w:hint="eastAsia" w:ascii="文星楷体" w:hAnsi="文星楷体" w:eastAsia="文星楷体" w:cs="文星楷体"/>
          <w:b w:val="0"/>
          <w:bCs/>
          <w:color w:val="auto"/>
          <w:spacing w:val="-7"/>
          <w:kern w:val="0"/>
          <w:sz w:val="32"/>
          <w:szCs w:val="32"/>
          <w:lang w:val="en-US" w:eastAsia="zh-CN" w:bidi="ar-SA"/>
        </w:rPr>
      </w:pPr>
      <w:r>
        <w:rPr>
          <w:rFonts w:hint="eastAsia" w:ascii="文星楷体" w:hAnsi="文星楷体" w:eastAsia="文星楷体" w:cs="文星楷体"/>
          <w:b w:val="0"/>
          <w:bCs/>
          <w:color w:val="auto"/>
          <w:spacing w:val="-7"/>
          <w:kern w:val="0"/>
          <w:sz w:val="32"/>
          <w:szCs w:val="32"/>
          <w:lang w:val="en-US" w:eastAsia="zh-CN" w:bidi="ar-SA"/>
        </w:rPr>
        <w:t>（五）规划滚动调整</w:t>
      </w:r>
    </w:p>
    <w:p>
      <w:pPr>
        <w:widowControl w:val="0"/>
        <w:autoSpaceDE w:val="0"/>
        <w:autoSpaceDN w:val="0"/>
        <w:adjustRightInd w:val="0"/>
        <w:snapToGrid w:val="0"/>
        <w:spacing w:before="120" w:beforeLines="50" w:line="360" w:lineRule="auto"/>
        <w:ind w:firstLine="612" w:firstLineChars="200"/>
        <w:jc w:val="both"/>
        <w:rPr>
          <w:rFonts w:hint="default" w:ascii="Calibri Light" w:hAnsi="Calibri Light" w:eastAsia="宋体" w:cs="Times New Roman"/>
          <w:color w:val="auto"/>
          <w:kern w:val="2"/>
          <w:sz w:val="24"/>
          <w:szCs w:val="20"/>
          <w:lang w:val="en-US" w:eastAsia="zh-CN" w:bidi="ar-SA"/>
        </w:rPr>
      </w:pPr>
      <w:r>
        <w:rPr>
          <w:rFonts w:hint="eastAsia" w:ascii="文星仿宋" w:hAnsi="文星仿宋" w:eastAsia="文星仿宋" w:cs="文星仿宋"/>
          <w:bCs/>
          <w:color w:val="auto"/>
          <w:spacing w:val="-7"/>
          <w:kern w:val="0"/>
          <w:sz w:val="32"/>
          <w:szCs w:val="32"/>
          <w:lang w:val="en-US" w:eastAsia="zh-CN" w:bidi="ar-SA"/>
        </w:rPr>
        <w:t>建立规划滚动调整机制，视国家和省市的最新政策以及市内电动汽车实际保有量增长情况，动态调整充电站、充电桩规划建设数量。如果电动汽车超预期发展，在规划中期调整或每年下达建设计划任务时予以动态调整充电桩建设任务。</w:t>
      </w:r>
      <w:bookmarkEnd w:id="1"/>
      <w:bookmarkEnd w:id="2"/>
      <w:bookmarkStart w:id="17" w:name="2.2.3__有利于扩大就业，提升当地人民的生活水平"/>
      <w:bookmarkEnd w:id="17"/>
      <w:bookmarkStart w:id="18" w:name="1.1__项目基本情况"/>
      <w:bookmarkEnd w:id="18"/>
      <w:bookmarkStart w:id="19" w:name="2.2.2是外来投资的承接平台，利于招商引资"/>
      <w:bookmarkEnd w:id="19"/>
    </w:p>
    <w:sectPr>
      <w:footerReference r:id="rId9" w:type="default"/>
      <w:pgSz w:w="11910" w:h="16840"/>
      <w:pgMar w:top="1440" w:right="1430" w:bottom="1440" w:left="1800" w:header="0" w:footer="10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文星黑体">
    <w:panose1 w:val="0201060900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文星仿宋">
    <w:panose1 w:val="02010609000101010101"/>
    <w:charset w:val="86"/>
    <w:family w:val="auto"/>
    <w:pitch w:val="default"/>
    <w:sig w:usb0="00000001" w:usb1="080E0000" w:usb2="00000000" w:usb3="00000000" w:csb0="00040000" w:csb1="00000000"/>
  </w:font>
  <w:font w:name="文星楷体">
    <w:panose1 w:val="0201060900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spacing w:before="120" w:beforeLines="50" w:line="360" w:lineRule="auto"/>
      <w:jc w:val="left"/>
      <w:rPr>
        <w:rFonts w:ascii="Calibri" w:hAnsi="Calibri" w:eastAsia="宋体" w:cs="Times New Roman"/>
        <w:kern w:val="2"/>
        <w:sz w:val="18"/>
        <w:szCs w:val="24"/>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spacing w:before="120" w:beforeLines="50" w:line="360" w:lineRule="auto"/>
      <w:jc w:val="left"/>
      <w:rPr>
        <w:rFonts w:ascii="Calibri" w:hAnsi="Calibri" w:eastAsia="宋体" w:cs="Times New Roman"/>
        <w:kern w:val="2"/>
        <w:sz w:val="18"/>
        <w:szCs w:val="24"/>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spacing w:before="120" w:beforeLines="50" w:line="360" w:lineRule="auto"/>
      <w:jc w:val="left"/>
      <w:rPr>
        <w:rFonts w:ascii="Calibri" w:hAnsi="Calibri" w:eastAsia="宋体" w:cs="Times New Roman"/>
        <w:kern w:val="2"/>
        <w:sz w:val="18"/>
        <w:szCs w:val="24"/>
        <w:lang w:val="en-US" w:eastAsia="zh-CN"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alibri" w:hAnsi="Calibri" w:eastAsia="宋体" w:cs="Times New Roman"/>
        <w:kern w:val="2"/>
        <w:sz w:val="28"/>
        <w:szCs w:val="24"/>
        <w:lang w:val="en-US" w:eastAsia="zh-CN" w:bidi="ar-SA"/>
      </w:rPr>
      <w:id w:val="-878005442"/>
    </w:sdtPr>
    <w:sdtEndPr>
      <w:rPr>
        <w:rFonts w:ascii="Calibri" w:hAnsi="Calibri" w:eastAsia="宋体" w:cs="Times New Roman"/>
        <w:kern w:val="2"/>
        <w:sz w:val="18"/>
        <w:szCs w:val="24"/>
        <w:lang w:val="en-US" w:eastAsia="zh-CN" w:bidi="ar-SA"/>
      </w:rPr>
    </w:sdtEndPr>
    <w:sdtContent>
      <w:p>
        <w:pPr>
          <w:widowControl w:val="0"/>
          <w:tabs>
            <w:tab w:val="center" w:pos="4153"/>
            <w:tab w:val="right" w:pos="8306"/>
          </w:tabs>
          <w:snapToGrid w:val="0"/>
          <w:spacing w:before="120" w:beforeLines="50" w:line="360" w:lineRule="auto"/>
          <w:jc w:val="center"/>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w:fldChar w:fldCharType="begin"/>
        </w:r>
        <w:r>
          <w:rPr>
            <w:rFonts w:ascii="Calibri" w:hAnsi="Calibri" w:eastAsia="宋体" w:cs="Times New Roman"/>
            <w:kern w:val="2"/>
            <w:sz w:val="18"/>
            <w:szCs w:val="24"/>
            <w:lang w:val="en-US" w:eastAsia="zh-CN" w:bidi="ar-SA"/>
          </w:rPr>
          <w:instrText xml:space="preserve">PAGE   \* MERGEFORMAT</w:instrText>
        </w:r>
        <w:r>
          <w:rPr>
            <w:rFonts w:ascii="Calibri" w:hAnsi="Calibri" w:eastAsia="宋体" w:cs="Times New Roman"/>
            <w:kern w:val="2"/>
            <w:sz w:val="18"/>
            <w:szCs w:val="24"/>
            <w:lang w:val="en-US" w:eastAsia="zh-CN" w:bidi="ar-SA"/>
          </w:rPr>
          <w:fldChar w:fldCharType="separate"/>
        </w:r>
        <w:r>
          <w:rPr>
            <w:rFonts w:ascii="Calibri" w:hAnsi="Calibri" w:eastAsia="宋体" w:cs="Times New Roman"/>
            <w:kern w:val="2"/>
            <w:sz w:val="18"/>
            <w:szCs w:val="24"/>
            <w:lang w:val="zh-CN" w:eastAsia="zh-CN" w:bidi="ar-SA"/>
          </w:rPr>
          <w:t>3</w:t>
        </w:r>
        <w:r>
          <w:rPr>
            <w:rFonts w:ascii="Calibri" w:hAnsi="Calibri" w:eastAsia="宋体" w:cs="Times New Roman"/>
            <w:kern w:val="2"/>
            <w:sz w:val="18"/>
            <w:szCs w:val="24"/>
            <w:lang w:val="en-US" w:eastAsia="zh-CN" w:bidi="ar-SA"/>
          </w:rPr>
          <w:fldChar w:fldCharType="end"/>
        </w:r>
      </w:p>
    </w:sdtContent>
  </w:sdt>
  <w:p>
    <w:pPr>
      <w:widowControl w:val="0"/>
      <w:autoSpaceDE w:val="0"/>
      <w:autoSpaceDN w:val="0"/>
      <w:spacing w:before="120" w:beforeLines="50" w:line="14" w:lineRule="auto"/>
      <w:ind w:firstLine="400" w:firstLineChars="200"/>
      <w:jc w:val="both"/>
      <w:rPr>
        <w:rFonts w:ascii="宋体" w:hAnsi="宋体" w:eastAsia="宋体" w:cs="宋体"/>
        <w:kern w:val="0"/>
        <w:sz w:val="20"/>
        <w:szCs w:val="28"/>
        <w:lang w:val="en-US" w:eastAsia="en-US"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before="192" w:beforeLines="80" w:line="240" w:lineRule="auto"/>
      <w:ind w:left="210" w:leftChars="100" w:right="210" w:rightChars="100"/>
      <w:jc w:val="right"/>
      <w:rPr>
        <w:rFonts w:ascii="仿宋" w:hAnsi="仿宋" w:eastAsia="宋体" w:cs="Times New Roman"/>
        <w:kern w:val="2"/>
        <w:sz w:val="18"/>
        <w:szCs w:val="24"/>
        <w:lang w:val="en-US" w:eastAsia="zh-CN" w:bidi="ar-SA"/>
      </w:rPr>
    </w:pPr>
  </w:p>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before="192" w:beforeLines="80" w:line="240" w:lineRule="auto"/>
      <w:ind w:left="0" w:leftChars="0" w:right="0" w:rightChars="0" w:firstLine="160" w:firstLineChars="100"/>
      <w:jc w:val="center"/>
      <w:rPr>
        <w:rFonts w:ascii="仿宋" w:hAnsi="仿宋" w:eastAsia="宋体" w:cs="Times New Roman"/>
        <w:kern w:val="2"/>
        <w:sz w:val="16"/>
        <w:szCs w:val="22"/>
        <w:lang w:val="en-US" w:eastAsia="zh-CN" w:bidi="ar-SA"/>
      </w:rPr>
    </w:pPr>
    <w:r>
      <w:rPr>
        <w:rFonts w:hint="eastAsia" w:ascii="仿宋" w:hAnsi="仿宋" w:eastAsia="宋体" w:cs="Times New Roman"/>
        <w:kern w:val="2"/>
        <w:sz w:val="16"/>
        <w:szCs w:val="22"/>
        <w:lang w:val="en-US" w:eastAsia="zh-CN" w:bidi="ar-SA"/>
      </w:rPr>
      <w:t>梅州市电动汽车充电基础设施发展“十四五”规划（征求意见稿）</w:t>
    </w:r>
    <w:r>
      <w:rPr>
        <w:rFonts w:ascii="仿宋" w:hAnsi="仿宋" w:eastAsia="宋体" w:cs="Times New Roman"/>
        <w:kern w:val="2"/>
        <w:sz w:val="2"/>
        <w:szCs w:val="8"/>
        <w:lang w:val="en-US" w:eastAsia="zh-CN" w:bidi="ar-SA"/>
      </w:rPr>
      <w:pict>
        <v:rect id="_x0000_i1025" o:spt="1" style="height:0.35pt;width:410.5pt;" fillcolor="#A0A0A0" filled="t" stroked="f" coordsize="21600,21600" o:hr="t" o:hrstd="t" o:hrpct="988" o:hralign="center">
          <v:path/>
          <v:fill on="t" focussize="0,0"/>
          <v:stroke on="f"/>
          <v:imagedata o:title=""/>
          <o:lock v:ext="edit"/>
          <w10:wrap type="none"/>
          <w10:anchorlock/>
        </v:rect>
      </w:pict>
    </w:r>
  </w:p>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before="0" w:beforeLines="0" w:line="240" w:lineRule="auto"/>
      <w:ind w:left="210" w:leftChars="100" w:right="210" w:rightChars="100"/>
      <w:jc w:val="right"/>
      <w:rPr>
        <w:rFonts w:ascii="仿宋" w:hAnsi="仿宋" w:eastAsia="宋体" w:cs="Times New Roman"/>
        <w:kern w:val="2"/>
        <w:sz w:val="2"/>
        <w:szCs w:val="8"/>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before="120" w:beforeLines="0" w:line="240" w:lineRule="auto"/>
      <w:ind w:left="210" w:leftChars="100" w:right="210" w:rightChars="100"/>
      <w:jc w:val="right"/>
      <w:rPr>
        <w:rFonts w:ascii="Calibri" w:hAnsi="Calibri" w:eastAsia="宋体" w:cs="Times New Roman"/>
        <w:kern w:val="2"/>
        <w:sz w:val="18"/>
        <w:szCs w:val="24"/>
        <w:lang w:val="en-US" w:eastAsia="zh-CN"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before="120" w:beforeLines="0" w:line="240" w:lineRule="auto"/>
      <w:ind w:left="210" w:leftChars="100" w:right="210" w:rightChars="100"/>
      <w:jc w:val="right"/>
      <w:rPr>
        <w:rFonts w:ascii="Calibri" w:hAnsi="Calibri" w:eastAsia="宋体" w:cs="Times New Roman"/>
        <w:kern w:val="2"/>
        <w:sz w:val="18"/>
        <w:szCs w:val="24"/>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869A1"/>
    <w:multiLevelType w:val="singleLevel"/>
    <w:tmpl w:val="070869A1"/>
    <w:lvl w:ilvl="0" w:tentative="0">
      <w:start w:val="1"/>
      <w:numFmt w:val="chineseCountingThousand"/>
      <w:pStyle w:val="11"/>
      <w:suff w:val="nothing"/>
      <w:lvlText w:val="（%1）"/>
      <w:lvlJc w:val="left"/>
      <w:pPr>
        <w:tabs>
          <w:tab w:val="left" w:pos="42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YjY2NTdjMTE0YmQwZDg0MTZmYTljZGY2M2Q5MTAifQ=="/>
  </w:docVars>
  <w:rsids>
    <w:rsidRoot w:val="07AE2DCB"/>
    <w:rsid w:val="07AE2DCB"/>
    <w:rsid w:val="088D6653"/>
    <w:rsid w:val="22C000A9"/>
    <w:rsid w:val="2AD83D90"/>
    <w:rsid w:val="2EA302B5"/>
    <w:rsid w:val="31704C1F"/>
    <w:rsid w:val="3D453EB0"/>
    <w:rsid w:val="418A2BE8"/>
    <w:rsid w:val="57DF791A"/>
    <w:rsid w:val="66556140"/>
    <w:rsid w:val="739420A2"/>
    <w:rsid w:val="73EA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无格式表格 11"/>
    <w:qFormat/>
    <w:uiPriority w:val="41"/>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tblStylePr w:type="firstRow">
      <w:rPr>
        <w:b/>
        <w:bCs/>
      </w:rPr>
    </w:tblStylePr>
    <w:tblStylePr w:type="lastRow">
      <w:rPr>
        <w:b/>
        <w:bCs/>
      </w:rPr>
      <w:tcPr>
        <w:tcBorders>
          <w:top w:val="double" w:color="BEBEBE" w:sz="4" w:space="0"/>
        </w:tcBorders>
      </w:tcPr>
    </w:tblStylePr>
    <w:tblStylePr w:type="firstCol">
      <w:rPr>
        <w:b/>
        <w:bCs/>
      </w:rPr>
    </w:tblStylePr>
    <w:tblStylePr w:type="lastCol">
      <w:rPr>
        <w:b/>
        <w:bCs/>
      </w:rPr>
    </w:tblStylePr>
    <w:tblStylePr w:type="band1Vert">
      <w:tcPr>
        <w:shd w:val="clear" w:color="auto" w:fill="F1F1F1"/>
      </w:tcPr>
    </w:tblStylePr>
    <w:tblStylePr w:type="band1Horz">
      <w:tcPr>
        <w:shd w:val="clear" w:color="auto" w:fill="F1F1F1"/>
      </w:tcPr>
    </w:tblStylePr>
  </w:style>
  <w:style w:type="table" w:customStyle="1" w:styleId="5">
    <w:name w:val="网格型浅色1"/>
    <w:qFormat/>
    <w:uiPriority w:val="40"/>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style>
  <w:style w:type="character" w:customStyle="1" w:styleId="6">
    <w:name w:val="font11"/>
    <w:basedOn w:val="3"/>
    <w:qFormat/>
    <w:uiPriority w:val="0"/>
    <w:rPr>
      <w:rFonts w:hint="eastAsia" w:ascii="方正小标宋简体" w:hAnsi="方正小标宋简体" w:eastAsia="方正小标宋简体" w:cs="方正小标宋简体"/>
      <w:color w:val="000000"/>
      <w:sz w:val="32"/>
      <w:szCs w:val="32"/>
      <w:u w:val="none"/>
    </w:rPr>
  </w:style>
  <w:style w:type="character" w:customStyle="1" w:styleId="7">
    <w:name w:val="font51"/>
    <w:basedOn w:val="3"/>
    <w:qFormat/>
    <w:uiPriority w:val="0"/>
    <w:rPr>
      <w:rFonts w:hint="default" w:ascii="Times New Roman" w:hAnsi="Times New Roman" w:cs="Times New Roman"/>
      <w:color w:val="000000"/>
      <w:sz w:val="32"/>
      <w:szCs w:val="32"/>
      <w:u w:val="none"/>
    </w:rPr>
  </w:style>
  <w:style w:type="character" w:customStyle="1" w:styleId="8">
    <w:name w:val="font21"/>
    <w:basedOn w:val="3"/>
    <w:qFormat/>
    <w:uiPriority w:val="0"/>
    <w:rPr>
      <w:rFonts w:hint="eastAsia" w:ascii="仿宋_GB2312" w:eastAsia="仿宋_GB2312" w:cs="仿宋_GB2312"/>
      <w:color w:val="000000"/>
      <w:sz w:val="28"/>
      <w:szCs w:val="28"/>
      <w:u w:val="none"/>
    </w:rPr>
  </w:style>
  <w:style w:type="character" w:customStyle="1" w:styleId="9">
    <w:name w:val="font31"/>
    <w:basedOn w:val="3"/>
    <w:qFormat/>
    <w:uiPriority w:val="0"/>
    <w:rPr>
      <w:rFonts w:hint="default" w:ascii="Times New Roman" w:hAnsi="Times New Roman" w:cs="Times New Roman"/>
      <w:color w:val="000000"/>
      <w:sz w:val="28"/>
      <w:szCs w:val="28"/>
      <w:u w:val="none"/>
    </w:rPr>
  </w:style>
  <w:style w:type="character" w:customStyle="1" w:styleId="10">
    <w:name w:val="公文:2级标题 Char"/>
    <w:link w:val="11"/>
    <w:qFormat/>
    <w:uiPriority w:val="0"/>
    <w:rPr>
      <w:rFonts w:ascii="Times New Roman" w:hAnsi="Times New Roman" w:eastAsia="楷体_GB2312" w:cs="Times New Roman"/>
      <w:sz w:val="32"/>
      <w:lang w:bidi="ar-SA"/>
    </w:rPr>
  </w:style>
  <w:style w:type="paragraph" w:customStyle="1" w:styleId="11">
    <w:name w:val="公文:2级标题"/>
    <w:link w:val="10"/>
    <w:qFormat/>
    <w:uiPriority w:val="0"/>
    <w:pPr>
      <w:numPr>
        <w:ilvl w:val="0"/>
        <w:numId w:val="1"/>
      </w:numPr>
      <w:spacing w:line="580" w:lineRule="exact"/>
      <w:ind w:firstLine="880" w:firstLineChars="200"/>
      <w:outlineLvl w:val="1"/>
    </w:pPr>
    <w:rPr>
      <w:rFonts w:ascii="Times New Roman" w:hAnsi="Times New Roman" w:eastAsia="楷体_GB2312" w:cs="Times New Roman"/>
      <w:sz w:val="32"/>
      <w:lang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2023-11-06T10:00:00Z</dcterms:created>
  <dc:creator>WPS_1338792321</dc:creator>
  <cp:lastModifiedBy>WPS_1338792321</cp:lastModifiedBy>
  <cp:lastPrinted>2023-11-09T01:44:55Z</cp:lastPrinted>
  <dcterms:modified xsi:type="dcterms:W3CDTF">2023-11-09T02:08:28Z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B7E299C465CB41C3AB3B87BACBF66DC2_11</vt:lpwstr>
  </property>
</Properties>
</file>