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11" w:beforeLines="50" w:after="423" w:afterLines="100"/>
        <w:ind w:firstLine="0" w:firstLineChars="0"/>
        <w:jc w:val="center"/>
        <w:rPr>
          <w:rFonts w:ascii="宋体" w:hAnsi="宋体" w:eastAsia="宋体"/>
          <w:b/>
          <w:sz w:val="32"/>
          <w:szCs w:val="32"/>
        </w:rPr>
      </w:pPr>
      <w:r>
        <w:fldChar w:fldCharType="begin"/>
      </w:r>
      <w:r>
        <w:instrText xml:space="preserve"> HYPERLINK "https://alphalawyer.cn/ilawregu-search/api/v1/lawregu/redict/5a10d96396a9a3b78b8ed05a49d47666" </w:instrText>
      </w:r>
      <w:r>
        <w:fldChar w:fldCharType="separate"/>
      </w:r>
      <w:r>
        <w:rPr>
          <w:rFonts w:hint="eastAsia" w:ascii="宋体" w:hAnsi="宋体" w:eastAsia="宋体"/>
          <w:b/>
          <w:sz w:val="32"/>
          <w:szCs w:val="32"/>
        </w:rPr>
        <w:t>深圳市发展和改革委员会关于印发《深圳市新能源汽车充换电设施管理办法》的通知</w:t>
      </w:r>
      <w:r>
        <w:rPr>
          <w:rFonts w:hint="eastAsia" w:ascii="宋体" w:hAnsi="宋体" w:eastAsia="宋体"/>
          <w:b/>
          <w:sz w:val="32"/>
          <w:szCs w:val="32"/>
        </w:rPr>
        <w:fldChar w:fldCharType="end"/>
      </w:r>
    </w:p>
    <w:p>
      <w:pPr>
        <w:spacing w:before="105"/>
        <w:ind w:firstLine="420"/>
      </w:pPr>
      <w:r>
        <w:rPr>
          <w:rStyle w:val="44"/>
          <w:rFonts w:ascii="宋体" w:hAnsi="宋体" w:eastAsia="宋体"/>
        </w:rPr>
        <w:t xml:space="preserve">时效性：  </w:t>
      </w:r>
      <w:r>
        <w:rPr>
          <w:rStyle w:val="44"/>
          <w:b w:val="0"/>
        </w:rPr>
        <w:t xml:space="preserve">  </w:t>
      </w:r>
      <w:r>
        <w:rPr>
          <w:rFonts w:ascii="宋体" w:hAnsi="宋体" w:eastAsia="宋体"/>
        </w:rPr>
        <w:t>现行有效</w:t>
      </w:r>
    </w:p>
    <w:p>
      <w:pPr>
        <w:spacing w:before="105"/>
        <w:ind w:firstLine="420"/>
      </w:pPr>
      <w:r>
        <w:rPr>
          <w:rStyle w:val="44"/>
          <w:rFonts w:ascii="宋体" w:hAnsi="宋体" w:eastAsia="宋体"/>
        </w:rPr>
        <w:t>发文机关：</w:t>
      </w:r>
      <w:r>
        <w:rPr>
          <w:rStyle w:val="44"/>
          <w:b w:val="0"/>
        </w:rPr>
        <w:t xml:space="preserve">  </w:t>
      </w:r>
      <w:r>
        <w:rPr>
          <w:rFonts w:ascii="宋体" w:hAnsi="宋体" w:eastAsia="宋体"/>
        </w:rPr>
        <w:t>深圳市发展和改革委员会</w:t>
      </w:r>
    </w:p>
    <w:p>
      <w:pPr>
        <w:spacing w:before="105"/>
        <w:ind w:firstLine="420"/>
      </w:pPr>
      <w:r>
        <w:rPr>
          <w:rStyle w:val="44"/>
          <w:rFonts w:ascii="宋体" w:hAnsi="宋体" w:eastAsia="宋体"/>
        </w:rPr>
        <w:t xml:space="preserve">文号：    </w:t>
      </w:r>
      <w:r>
        <w:rPr>
          <w:rStyle w:val="44"/>
          <w:b w:val="0"/>
        </w:rPr>
        <w:t xml:space="preserve">  </w:t>
      </w:r>
      <w:r>
        <w:rPr>
          <w:rFonts w:ascii="宋体" w:hAnsi="宋体" w:eastAsia="宋体"/>
        </w:rPr>
        <w:t>深发改规〔2023〕10号</w:t>
      </w:r>
    </w:p>
    <w:p>
      <w:pPr>
        <w:spacing w:before="105"/>
        <w:ind w:firstLine="420"/>
      </w:pPr>
      <w:r>
        <w:rPr>
          <w:rStyle w:val="44"/>
          <w:rFonts w:ascii="宋体" w:hAnsi="宋体" w:eastAsia="宋体"/>
        </w:rPr>
        <w:t>发文日期：</w:t>
      </w:r>
      <w:r>
        <w:rPr>
          <w:rStyle w:val="44"/>
          <w:b w:val="0"/>
        </w:rPr>
        <w:t xml:space="preserve">  </w:t>
      </w:r>
      <w:r>
        <w:rPr>
          <w:rFonts w:ascii="宋体" w:hAnsi="宋体" w:eastAsia="宋体"/>
        </w:rPr>
        <w:t>2023年09月26日</w:t>
      </w:r>
    </w:p>
    <w:p>
      <w:pPr>
        <w:spacing w:before="105"/>
        <w:ind w:firstLine="420"/>
      </w:pPr>
      <w:r>
        <w:rPr>
          <w:rStyle w:val="44"/>
          <w:rFonts w:ascii="宋体" w:hAnsi="宋体" w:eastAsia="宋体"/>
        </w:rPr>
        <w:t>施行日期：</w:t>
      </w:r>
      <w:r>
        <w:rPr>
          <w:rStyle w:val="44"/>
          <w:b w:val="0"/>
        </w:rPr>
        <w:t xml:space="preserve">  </w:t>
      </w:r>
      <w:r>
        <w:rPr>
          <w:rFonts w:ascii="宋体" w:hAnsi="宋体" w:eastAsia="宋体"/>
        </w:rPr>
        <w:t>2023年10月08日</w:t>
      </w:r>
    </w:p>
    <w:p>
      <w:pPr>
        <w:spacing w:before="105"/>
        <w:ind w:firstLine="420"/>
      </w:pPr>
      <w:r>
        <w:rPr>
          <w:rStyle w:val="44"/>
          <w:rFonts w:ascii="宋体" w:hAnsi="宋体" w:eastAsia="宋体"/>
        </w:rPr>
        <w:t>效力级别：</w:t>
      </w:r>
      <w:r>
        <w:rPr>
          <w:rStyle w:val="44"/>
          <w:b w:val="0"/>
        </w:rPr>
        <w:t xml:space="preserve">  </w:t>
      </w:r>
      <w:r>
        <w:rPr>
          <w:rFonts w:ascii="宋体" w:hAnsi="宋体" w:eastAsia="宋体"/>
        </w:rPr>
        <w:t>地方规范性文件</w:t>
      </w:r>
    </w:p>
    <w:p>
      <w:pPr>
        <w:spacing w:before="211" w:beforeLines="50" w:after="211" w:afterLines="50"/>
        <w:rPr>
          <w:rFonts w:ascii="宋体" w:hAnsi="宋体" w:eastAsia="宋体"/>
          <w:color w:val="000000"/>
          <w:kern w:val="0"/>
          <w:sz w:val="28"/>
        </w:rPr>
      </w:pPr>
    </w:p>
    <w:p>
      <w:pPr>
        <w:spacing w:before="0" w:beforeLines="0" w:after="0" w:afterLines="0"/>
        <w:ind w:firstLine="420" w:firstLineChars="200"/>
      </w:pPr>
      <w:r>
        <w:rPr>
          <w:rFonts w:hint="default" w:ascii="宋体" w:hAnsi="宋体" w:eastAsia="宋体"/>
        </w:rPr>
        <w:t>各区政府、大鹏新区管委会、深汕特别合作区管委会、前海管理局，各有关单位：</w:t>
      </w:r>
    </w:p>
    <w:p>
      <w:pPr>
        <w:spacing w:before="0" w:beforeLines="0" w:after="0" w:afterLines="0"/>
        <w:ind w:firstLine="420" w:firstLineChars="200"/>
      </w:pPr>
      <w:r>
        <w:rPr>
          <w:rFonts w:hint="default" w:ascii="宋体" w:hAnsi="宋体" w:eastAsia="宋体"/>
        </w:rPr>
        <w:t>《深圳市新能源汽车充换电设施管理办法》已经市政府同意，现印发给你们，请认真贯彻执行。</w:t>
      </w:r>
    </w:p>
    <w:p>
      <w:pPr>
        <w:spacing w:before="0" w:beforeLines="0" w:after="0" w:afterLines="0"/>
        <w:ind w:firstLine="420" w:firstLineChars="200"/>
      </w:pPr>
      <w:r>
        <w:rPr>
          <w:rFonts w:hint="default" w:ascii="宋体" w:hAnsi="宋体" w:eastAsia="宋体"/>
        </w:rPr>
        <w:t>特此通知。</w:t>
      </w:r>
    </w:p>
    <w:p>
      <w:pPr>
        <w:spacing w:before="0" w:beforeLines="0" w:after="0" w:afterLines="0"/>
        <w:ind w:firstLine="420" w:firstLineChars="200"/>
      </w:pPr>
      <w:r>
        <w:rPr>
          <w:rFonts w:hint="default" w:ascii="宋体" w:hAnsi="宋体" w:eastAsia="宋体"/>
        </w:rPr>
        <w:t>深圳市发展和改革委员会</w:t>
      </w:r>
    </w:p>
    <w:p>
      <w:pPr>
        <w:spacing w:before="0" w:beforeLines="0" w:after="0" w:afterLines="0"/>
        <w:ind w:firstLine="420" w:firstLineChars="200"/>
      </w:pPr>
      <w:r>
        <w:rPr>
          <w:rFonts w:hint="default" w:ascii="宋体" w:hAnsi="宋体" w:eastAsia="宋体"/>
        </w:rPr>
        <w:t>2023年9月26日</w:t>
      </w:r>
    </w:p>
    <w:p>
      <w:pPr>
        <w:spacing w:before="0" w:beforeLines="0" w:after="0" w:afterLines="0"/>
        <w:ind w:firstLine="420" w:firstLineChars="200"/>
      </w:pPr>
      <w:r>
        <w:rPr>
          <w:rFonts w:hint="default" w:ascii="宋体" w:hAnsi="宋体" w:eastAsia="宋体"/>
        </w:rPr>
        <w:t>深圳市新能源汽车充换电设施管理办法</w:t>
      </w:r>
    </w:p>
    <w:p>
      <w:pPr>
        <w:spacing w:before="0" w:beforeLines="0" w:after="0" w:afterLines="0"/>
        <w:ind w:firstLine="420" w:firstLineChars="200"/>
      </w:pPr>
      <w:r>
        <w:rPr>
          <w:rFonts w:hint="default" w:ascii="宋体" w:hAnsi="宋体" w:eastAsia="宋体"/>
        </w:rPr>
        <w:t>第一章  总  则</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第一条</w:t>
      </w:r>
      <w:r>
        <w:rPr>
          <w:rStyle w:val="44"/>
          <w:rFonts w:ascii="宋体" w:hAnsi="宋体" w:eastAsia="宋体"/>
          <w:b w:val="0"/>
          <w:lang w:eastAsia="zh-CN"/>
        </w:rPr>
        <w:t xml:space="preserve">    </w:t>
      </w:r>
      <w:r>
        <w:rPr>
          <w:rFonts w:hint="default" w:ascii="宋体" w:hAnsi="宋体" w:eastAsia="宋体"/>
        </w:rPr>
        <w:t>为统一布局规划建设和运营我市新能源汽车充换电设施，优化供给结构，提升充换电设施技术水平、运营质量和效率，鼓励充换电商业模式创新示范，根据《国务院办公厅关于进一步构建高质量充电基础设施体系的指导意见》（国办发〔2023〕19号）、《国家发展改革委等部门关于进一步提升电动汽车充电基础设施服务保障能力的实施意见》（发改能源规〔2022〕53号）、《国家发展改革委商务部关于深圳建设中国特色社会主义先行示范区放宽市场准入若干特别措施的意见》（发改体改〔2022〕135号）等文件精神，制定本办法。
</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第二条</w:t>
      </w:r>
      <w:r>
        <w:rPr>
          <w:rStyle w:val="44"/>
          <w:rFonts w:ascii="宋体" w:hAnsi="宋体" w:eastAsia="宋体"/>
          <w:b w:val="0"/>
          <w:lang w:eastAsia="zh-CN"/>
        </w:rPr>
        <w:t xml:space="preserve">    </w:t>
      </w:r>
      <w:r>
        <w:rPr>
          <w:rFonts w:hint="default" w:ascii="宋体" w:hAnsi="宋体" w:eastAsia="宋体"/>
        </w:rPr>
        <w:t>本管理办法适用于深圳市范围内建设运营的新能源汽车充换电设施。
</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第三条</w:t>
      </w:r>
      <w:r>
        <w:rPr>
          <w:rStyle w:val="44"/>
          <w:rFonts w:ascii="宋体" w:hAnsi="宋体" w:eastAsia="宋体"/>
          <w:b w:val="0"/>
          <w:lang w:eastAsia="zh-CN"/>
        </w:rPr>
        <w:t xml:space="preserve">    </w:t>
      </w:r>
      <w:r>
        <w:rPr>
          <w:rFonts w:hint="default" w:ascii="宋体" w:hAnsi="宋体" w:eastAsia="宋体"/>
        </w:rPr>
        <w:t>各部门按照职责分工，紧密协同做好充换电设施建设管理和推进工作。</w:t>
      </w:r>
    </w:p>
    <w:p>
      <w:pPr>
        <w:spacing w:before="0" w:beforeLines="0" w:after="0" w:afterLines="0"/>
        <w:ind w:firstLine="420" w:firstLineChars="200"/>
      </w:pPr>
      <w:r>
        <w:rPr>
          <w:rFonts w:hint="default" w:ascii="宋体" w:hAnsi="宋体" w:eastAsia="宋体"/>
        </w:rPr>
        <w:t>（一）市发展改革部门负责统筹规划新能源汽车充换电设施建设、建立市级新能源汽车充换电设施安全监控平台、指导各区（含新区，下同）开展充换电设施运营监管工作，对充换电设施运营主体的运营情况进行考核，完善长期失效桩认定与退出机制，组织第三方专业技术机构对深圳市范围内充换电设施进行安全抽查，并通报检查结果。</w:t>
      </w:r>
    </w:p>
    <w:p>
      <w:pPr>
        <w:spacing w:before="0" w:beforeLines="0" w:after="0" w:afterLines="0"/>
        <w:ind w:firstLine="420" w:firstLineChars="200"/>
      </w:pPr>
      <w:r>
        <w:rPr>
          <w:rFonts w:hint="default" w:ascii="宋体" w:hAnsi="宋体" w:eastAsia="宋体"/>
        </w:rPr>
        <w:t>（二）市规划和自然资源管理部门负责《深圳市城市规划标准与准则》要求的充电设施建设用地、配建比例和预留达标条件的监督落实，负责指导各区做好建设项目的规划审批和验收工作。</w:t>
      </w:r>
    </w:p>
    <w:p>
      <w:pPr>
        <w:spacing w:before="0" w:beforeLines="0" w:after="0" w:afterLines="0"/>
        <w:ind w:firstLine="420" w:firstLineChars="200"/>
      </w:pPr>
      <w:r>
        <w:rPr>
          <w:rFonts w:hint="default" w:ascii="宋体" w:hAnsi="宋体" w:eastAsia="宋体"/>
        </w:rPr>
        <w:t>（三）市市场监督管理部门负责生产及销售环节的充换电设施产品质量监督管理，结合新技术与应用推进充换电设施相关标准制修订，负责纳入强制计量检定的计量器具监督管理，负责对充换电设施企业未实行明码标价等违反价格法律法规的行为依法监督查处。</w:t>
      </w:r>
    </w:p>
    <w:p>
      <w:pPr>
        <w:spacing w:before="0" w:beforeLines="0" w:after="0" w:afterLines="0"/>
        <w:ind w:firstLine="420" w:firstLineChars="200"/>
      </w:pPr>
      <w:r>
        <w:rPr>
          <w:rFonts w:hint="default" w:ascii="宋体" w:hAnsi="宋体" w:eastAsia="宋体"/>
        </w:rPr>
        <w:t>（四）市交通运输管理部门负责监督社会经营性停车场按要求落实配建充电设施，督促物业服务人加强新能源汽车充换电设施安全风险防范和安全监督管理；加强充电车位“占位问题”管理，将充电车位管理等事项纳入社会经营性停车场管理范围，进行定期检查考核；负责社会经营性停车场、全市道路范围内、交通场站内的新能源汽车充换电设施安全监督管理，具体范围包括机场、码头、港口、公交场站、高速公路服务区等。</w:t>
      </w:r>
    </w:p>
    <w:p>
      <w:pPr>
        <w:spacing w:before="0" w:beforeLines="0" w:after="0" w:afterLines="0"/>
        <w:ind w:firstLine="420" w:firstLineChars="200"/>
      </w:pPr>
      <w:r>
        <w:rPr>
          <w:rFonts w:hint="default" w:ascii="宋体" w:hAnsi="宋体" w:eastAsia="宋体"/>
        </w:rPr>
        <w:t>（五）市城管和综合执法部门负责所属公园停车场新能源汽车充换电设施安全风险防范和安全监督管理，加强充电车位“占位问题”管理；负责环卫设施用地内建设的新能源汽车充换电设施的安全风险防范和安全监督管理。</w:t>
      </w:r>
    </w:p>
    <w:p>
      <w:pPr>
        <w:spacing w:before="0" w:beforeLines="0" w:after="0" w:afterLines="0"/>
        <w:ind w:firstLine="420" w:firstLineChars="200"/>
      </w:pPr>
      <w:r>
        <w:rPr>
          <w:rFonts w:hint="default" w:ascii="宋体" w:hAnsi="宋体" w:eastAsia="宋体"/>
        </w:rPr>
        <w:t>（六）市住房建设部门负责充换电设施建设项目施工审批工作，将住宅小区停车场配建充电设施比例情况纳入检查范围；督促住宅小区物业服务人加强新能源汽车充换电设施安全风险防范和安全监督管理，督促自用充电设施进行登记，加强充电车位“占位问题”管理，将住宅小区充电服务纳入物业服务评价；负责市属保障性住房配建充电设施工作。</w:t>
      </w:r>
    </w:p>
    <w:p>
      <w:pPr>
        <w:spacing w:before="0" w:beforeLines="0" w:after="0" w:afterLines="0"/>
        <w:ind w:firstLine="420" w:firstLineChars="200"/>
      </w:pPr>
      <w:r>
        <w:rPr>
          <w:rFonts w:hint="default" w:ascii="宋体" w:hAnsi="宋体" w:eastAsia="宋体"/>
        </w:rPr>
        <w:t>（七）市国有资产管理部门负责督促市属国有企业内部停车场配建新能源汽车充换电设施工作，负责监督指导市属国有企业落实充换电设施安全风险防范和安全管理职责。</w:t>
      </w:r>
    </w:p>
    <w:p>
      <w:pPr>
        <w:spacing w:before="0" w:beforeLines="0" w:after="0" w:afterLines="0"/>
        <w:ind w:firstLine="420" w:firstLineChars="200"/>
      </w:pPr>
      <w:r>
        <w:rPr>
          <w:rFonts w:hint="default" w:ascii="宋体" w:hAnsi="宋体" w:eastAsia="宋体"/>
        </w:rPr>
        <w:t>（八）市机关事务管理部门负责督促党政机关、事业单位、公共机构等内部停车场配建新能源汽车充换电设施工作，负责监督党政机关、事业单位、公共机构落实本单位充换电设施安全风险防范和安全监督管理。</w:t>
      </w:r>
    </w:p>
    <w:p>
      <w:pPr>
        <w:spacing w:before="0" w:beforeLines="0" w:after="0" w:afterLines="0"/>
        <w:ind w:firstLine="420" w:firstLineChars="200"/>
      </w:pPr>
      <w:r>
        <w:rPr>
          <w:rFonts w:hint="default" w:ascii="宋体" w:hAnsi="宋体" w:eastAsia="宋体"/>
        </w:rPr>
        <w:t>（九）市住房建设、消防救援部门依职责负责新能源汽车充换电设施消防等日常监督管理。消防救援部门依法对新能源汽车充换电设施企业遵守消防法律法规情况进行监督检查，制定充换电设施场所灭火救援类型预案，健全火灾事故调查制度，督促充换电设施运营企业定期开展消防培训和应急演练。</w:t>
      </w:r>
    </w:p>
    <w:p>
      <w:pPr>
        <w:spacing w:before="0" w:beforeLines="0" w:after="0" w:afterLines="0"/>
        <w:ind w:firstLine="420" w:firstLineChars="200"/>
      </w:pPr>
      <w:r>
        <w:rPr>
          <w:rFonts w:hint="default" w:ascii="宋体" w:hAnsi="宋体" w:eastAsia="宋体"/>
        </w:rPr>
        <w:t>（十）市气象管理部门依据《气象灾害防御条例》等法律法规，负责职责范围内的防雷设施竣工验收和日常管理工作。</w:t>
      </w:r>
    </w:p>
    <w:p>
      <w:pPr>
        <w:spacing w:before="0" w:beforeLines="0" w:after="0" w:afterLines="0"/>
        <w:ind w:firstLine="420" w:firstLineChars="200"/>
      </w:pPr>
      <w:r>
        <w:rPr>
          <w:rFonts w:hint="default" w:ascii="宋体" w:hAnsi="宋体" w:eastAsia="宋体"/>
        </w:rPr>
        <w:t>（十一）各区参照上述职责分工落实属地管理职责，明确辖区主管部门及相关部门工作职责，建立健全管理工作机制。</w:t>
      </w:r>
    </w:p>
    <w:p>
      <w:pPr>
        <w:spacing w:before="0" w:beforeLines="0" w:after="0" w:afterLines="0"/>
        <w:ind w:firstLine="420" w:firstLineChars="200"/>
      </w:pPr>
      <w:r>
        <w:rPr>
          <w:rFonts w:hint="default" w:ascii="宋体" w:hAnsi="宋体" w:eastAsia="宋体"/>
        </w:rPr>
        <w:t>第二章  规划管理</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第四条</w:t>
      </w:r>
      <w:r>
        <w:rPr>
          <w:rStyle w:val="44"/>
          <w:rFonts w:ascii="宋体" w:hAnsi="宋体" w:eastAsia="宋体"/>
          <w:b w:val="0"/>
          <w:lang w:eastAsia="zh-CN"/>
        </w:rPr>
        <w:t xml:space="preserve">    </w:t>
      </w:r>
      <w:r>
        <w:rPr>
          <w:rFonts w:hint="default" w:ascii="宋体" w:hAnsi="宋体" w:eastAsia="宋体"/>
        </w:rPr>
        <w:t>按照“科学布局、供需匹配、创新融合、安全便捷”的总体原则，市发展改革部门会同规划和自然资源、工业和信息化、住房建设、交通运输、生态环境、城管和综合执法、消防救援等部门编制市级新能源汽车充换电设施规划，与国土空间规划，电力设施规划、路网规划、停车设施规划、消防规划等规划进行有效衔接。
</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第五条</w:t>
      </w:r>
      <w:r>
        <w:rPr>
          <w:rStyle w:val="44"/>
          <w:rFonts w:ascii="宋体" w:hAnsi="宋体" w:eastAsia="宋体"/>
          <w:b w:val="0"/>
          <w:lang w:eastAsia="zh-CN"/>
        </w:rPr>
        <w:t xml:space="preserve">    </w:t>
      </w:r>
      <w:r>
        <w:rPr>
          <w:rFonts w:hint="default" w:ascii="宋体" w:hAnsi="宋体" w:eastAsia="宋体"/>
        </w:rPr>
        <w:t>市发展改革部门会同交通运输、工业和信息化、城管和综合执法、公安交警、机关事务管理等部门对全市机动车保有量、新能源汽车应用增长规模和充换电技术发展趋势进行预测和研判，科学合理提出新能源汽车充换电设施建设需求。
</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第六条</w:t>
      </w:r>
      <w:r>
        <w:rPr>
          <w:rStyle w:val="44"/>
          <w:rFonts w:ascii="宋体" w:hAnsi="宋体" w:eastAsia="宋体"/>
          <w:b w:val="0"/>
          <w:lang w:eastAsia="zh-CN"/>
        </w:rPr>
        <w:t xml:space="preserve">    </w:t>
      </w:r>
      <w:r>
        <w:rPr>
          <w:rFonts w:hint="default" w:ascii="宋体" w:hAnsi="宋体" w:eastAsia="宋体"/>
        </w:rPr>
        <w:t>根据新能源汽车发展需求，逐步提高住宅小区、工商业建筑物、公园（含城市公园、森林公园、郊野公园）等配套的社会公共停车场充电设施配建比例，加大高速公路服务区充电设施建设力度。综合国家、地方对充换电设施的相关标准，各类充换电设施配置场景的相关要求如下：</w:t>
      </w:r>
    </w:p>
    <w:p>
      <w:pPr>
        <w:spacing w:before="0" w:beforeLines="0" w:after="0" w:afterLines="0"/>
        <w:ind w:firstLine="420" w:firstLineChars="200"/>
      </w:pPr>
      <w:r>
        <w:rPr>
          <w:rFonts w:hint="default" w:ascii="宋体" w:hAnsi="宋体" w:eastAsia="宋体"/>
        </w:rPr>
        <w:t>（一）鼓励各类既有建筑物配建停车场（库）及社会公共停车场小汽车停车位的充电设施按不低于20%的比例配建，新建各类建筑物配建停车场（库）及社会公共停车场配建充电设施按《深圳市城市规划标准与准则》规定执行，新建充电设施单枪输出功率不宜小于7kW。</w:t>
      </w:r>
    </w:p>
    <w:p>
      <w:pPr>
        <w:spacing w:before="0" w:beforeLines="0" w:after="0" w:afterLines="0"/>
        <w:ind w:firstLine="420" w:firstLineChars="200"/>
      </w:pPr>
      <w:r>
        <w:rPr>
          <w:rFonts w:hint="default" w:ascii="宋体" w:hAnsi="宋体" w:eastAsia="宋体"/>
        </w:rPr>
        <w:t>（二）新建各类建筑物配建停车场（库）及社会公共停车场应按100%充电车位预留电力容量及安装条件，预留安装条件时需将管线和桥架等供电设施建设到车位以满足直接装表接电需要。</w:t>
      </w:r>
    </w:p>
    <w:p>
      <w:pPr>
        <w:spacing w:before="0" w:beforeLines="0" w:after="0" w:afterLines="0"/>
        <w:ind w:firstLine="420" w:firstLineChars="200"/>
      </w:pPr>
      <w:r>
        <w:rPr>
          <w:rFonts w:hint="default" w:ascii="宋体" w:hAnsi="宋体" w:eastAsia="宋体"/>
        </w:rPr>
        <w:t>（二）鼓励在交通枢纽、公园等市政公共设施配套停车场建设快速充电设施；鼓励现有和规划的加油（气）站在符合相关建设条件时，改建或配建快速充电设施，提高场站综合利用效率；适度超前建设超级快充站，满足车辆快速充电需求。</w:t>
      </w:r>
    </w:p>
    <w:p>
      <w:pPr>
        <w:spacing w:before="0" w:beforeLines="0" w:after="0" w:afterLines="0"/>
        <w:ind w:firstLine="420" w:firstLineChars="200"/>
      </w:pPr>
      <w:r>
        <w:rPr>
          <w:rFonts w:hint="default" w:ascii="宋体" w:hAnsi="宋体" w:eastAsia="宋体"/>
        </w:rPr>
        <w:t>（三）具备建设条件的高速公路服务区应100%配建充电设施；新建高速公路服务区小汽车停车位的充电设施配建比例不应低于20%。</w:t>
      </w:r>
    </w:p>
    <w:p>
      <w:pPr>
        <w:spacing w:before="0" w:beforeLines="0" w:after="0" w:afterLines="0"/>
        <w:ind w:firstLine="420" w:firstLineChars="200"/>
      </w:pPr>
      <w:r>
        <w:rPr>
          <w:rFonts w:hint="default" w:ascii="宋体" w:hAnsi="宋体" w:eastAsia="宋体"/>
        </w:rPr>
        <w:t>（四）立体公交综合车场及公交首末站配建充电设施应按照市交通运输部门发布的相关设计导则实施，保障公交车辆充电、停车、维修等功能性需求。</w:t>
      </w:r>
    </w:p>
    <w:p>
      <w:pPr>
        <w:spacing w:before="0" w:beforeLines="0" w:after="0" w:afterLines="0"/>
        <w:ind w:firstLine="420" w:firstLineChars="200"/>
      </w:pPr>
      <w:r>
        <w:rPr>
          <w:rFonts w:hint="default" w:ascii="宋体" w:hAnsi="宋体" w:eastAsia="宋体"/>
        </w:rPr>
        <w:t>（五）物流园、货运仓储区、商贸农批市场等物流集散地应合理配建公共充换电设施，保障物流车充换电需求；鼓励机场、港口、码头结合内部作业车辆的电动化发展情况，合理配建充换电设施。</w:t>
      </w:r>
    </w:p>
    <w:p>
      <w:pPr>
        <w:spacing w:before="0" w:beforeLines="0" w:after="0" w:afterLines="0"/>
        <w:ind w:firstLine="420" w:firstLineChars="200"/>
      </w:pPr>
      <w:r>
        <w:rPr>
          <w:rFonts w:hint="default" w:ascii="宋体" w:hAnsi="宋体" w:eastAsia="宋体"/>
        </w:rPr>
        <w:t>（六）大型垃圾转运站、环卫车辆专用停车场应根据实际需求配建充换电设施。</w:t>
      </w:r>
    </w:p>
    <w:p>
      <w:pPr>
        <w:spacing w:before="0" w:beforeLines="0" w:after="0" w:afterLines="0"/>
        <w:ind w:firstLine="420" w:firstLineChars="200"/>
      </w:pPr>
      <w:r>
        <w:rPr>
          <w:rFonts w:hint="default" w:ascii="宋体" w:hAnsi="宋体" w:eastAsia="宋体"/>
        </w:rPr>
        <w:t>（七）在重大项目工地及在运营余泥渣土受纳场，根据需要合理配建充换电设施。</w:t>
      </w:r>
    </w:p>
    <w:p>
      <w:pPr>
        <w:spacing w:before="0" w:beforeLines="0" w:after="0" w:afterLines="0"/>
        <w:ind w:firstLine="420" w:firstLineChars="200"/>
      </w:pPr>
      <w:r>
        <w:rPr>
          <w:rFonts w:hint="default" w:ascii="宋体" w:hAnsi="宋体" w:eastAsia="宋体"/>
        </w:rPr>
        <w:t>国家、广东省或《深圳市城市规划标准与准则》对充换电设施配置另有新的规定的，从其规定。</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第七条</w:t>
      </w:r>
      <w:r>
        <w:rPr>
          <w:rStyle w:val="44"/>
          <w:rFonts w:ascii="宋体" w:hAnsi="宋体" w:eastAsia="宋体"/>
          <w:b w:val="0"/>
          <w:lang w:eastAsia="zh-CN"/>
        </w:rPr>
        <w:t xml:space="preserve">    </w:t>
      </w:r>
      <w:r>
        <w:rPr>
          <w:rFonts w:hint="default" w:ascii="宋体" w:hAnsi="宋体" w:eastAsia="宋体"/>
        </w:rPr>
        <w:t>市发展改革部门会同电网企业研判新能源汽车充换电设施空间布局、技术发展、用电需求和建设时序，加快用电紧张区域配电网规划建设，积极推动老旧小区供配电设施更新改造，预留合理电力容量、充分保障供电需求。</w:t>
      </w:r>
    </w:p>
    <w:p>
      <w:pPr>
        <w:spacing w:before="0" w:beforeLines="0" w:after="0" w:afterLines="0"/>
        <w:ind w:firstLine="420" w:firstLineChars="200"/>
      </w:pPr>
      <w:r>
        <w:rPr>
          <w:rFonts w:hint="default" w:ascii="宋体" w:hAnsi="宋体" w:eastAsia="宋体"/>
        </w:rPr>
        <w:t>第三章  建设管理</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第八条</w:t>
      </w:r>
      <w:r>
        <w:rPr>
          <w:rStyle w:val="44"/>
          <w:rFonts w:ascii="宋体" w:hAnsi="宋体" w:eastAsia="宋体"/>
          <w:b w:val="0"/>
          <w:lang w:eastAsia="zh-CN"/>
        </w:rPr>
        <w:t xml:space="preserve">    </w:t>
      </w:r>
      <w:r>
        <w:rPr>
          <w:rFonts w:hint="default" w:ascii="宋体" w:hAnsi="宋体" w:eastAsia="宋体"/>
        </w:rPr>
        <w:t>充换电设施工程建设应当严格执行有关法律法规以及国家、地方标准，符合充电设施专项规划、消防安全的要求。
</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第九条</w:t>
      </w:r>
      <w:r>
        <w:rPr>
          <w:rStyle w:val="44"/>
          <w:rFonts w:ascii="宋体" w:hAnsi="宋体" w:eastAsia="宋体"/>
          <w:b w:val="0"/>
          <w:lang w:eastAsia="zh-CN"/>
        </w:rPr>
        <w:t xml:space="preserve">    </w:t>
      </w:r>
      <w:r>
        <w:rPr>
          <w:rFonts w:hint="default" w:ascii="宋体" w:hAnsi="宋体" w:eastAsia="宋体"/>
        </w:rPr>
        <w:t>充换电设施项目的建设工程设计应严格遵循有关法律法规和标准要求，满足充换电设备、接口、系统、消防和防雷安全等国家、地方相关标准和规定，应当具备有序充电功能与接入虚拟电厂能力，并做好技术经济可行性和安全风险评估论证。
</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第十条</w:t>
      </w:r>
      <w:r>
        <w:rPr>
          <w:rStyle w:val="44"/>
          <w:rFonts w:ascii="宋体" w:hAnsi="宋体" w:eastAsia="宋体"/>
          <w:b w:val="0"/>
          <w:lang w:eastAsia="zh-CN"/>
        </w:rPr>
        <w:t xml:space="preserve">    </w:t>
      </w:r>
      <w:r>
        <w:rPr>
          <w:rFonts w:hint="default" w:ascii="宋体" w:hAnsi="宋体" w:eastAsia="宋体"/>
        </w:rPr>
        <w:t>年综合能源消费量1000吨标准煤以上（含1000吨标准煤），或年综合能源消费量不满1000吨标准煤但电力消费量满500万千瓦时的项目，应依法依规办理项目节能审查。年综合能源消费量不满1000吨标准煤，且年电力消费量不满500万千瓦时的项目，按照节能标准、规范建设，不单独进行节能审查。
</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highlight w:val="yellow"/>
        </w:rPr>
        <w:t>第十一条</w:t>
      </w:r>
      <w:r>
        <w:rPr>
          <w:rStyle w:val="44"/>
          <w:rFonts w:ascii="宋体" w:hAnsi="宋体" w:eastAsia="宋体"/>
          <w:b w:val="0"/>
          <w:highlight w:val="yellow"/>
          <w:lang w:eastAsia="zh-CN"/>
        </w:rPr>
        <w:t xml:space="preserve">    </w:t>
      </w:r>
      <w:r>
        <w:rPr>
          <w:rFonts w:hint="default" w:ascii="宋体" w:hAnsi="宋体" w:eastAsia="宋体"/>
          <w:highlight w:val="yellow"/>
        </w:rPr>
        <w:t>新建（或改扩建）充换电设施项目开工建设前，应依照深圳市社会投资备案相关管理规定办理深圳市社会投资备案，同步获取项目代码，并按有关规定办理规划许可、施工许可、竣工验收等后续手续。</w:t>
      </w:r>
      <w:r>
        <w:rPr>
          <w:rFonts w:hint="default" w:ascii="宋体" w:hAnsi="宋体" w:eastAsia="宋体"/>
        </w:rPr>
        <w:t>
</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第十二条</w:t>
      </w:r>
      <w:r>
        <w:rPr>
          <w:rStyle w:val="44"/>
          <w:rFonts w:ascii="宋体" w:hAnsi="宋体" w:eastAsia="宋体"/>
          <w:b w:val="0"/>
          <w:lang w:eastAsia="zh-CN"/>
        </w:rPr>
        <w:t xml:space="preserve">    </w:t>
      </w:r>
      <w:r>
        <w:rPr>
          <w:rFonts w:hint="default" w:ascii="宋体" w:hAnsi="宋体" w:eastAsia="宋体"/>
        </w:rPr>
        <w:t>新建（或改扩建）充换电设施应满足以下规划要求：</w:t>
      </w:r>
    </w:p>
    <w:p>
      <w:pPr>
        <w:spacing w:before="0" w:beforeLines="0" w:after="0" w:afterLines="0"/>
        <w:ind w:firstLine="420" w:firstLineChars="200"/>
      </w:pPr>
      <w:r>
        <w:rPr>
          <w:rFonts w:hint="default" w:ascii="宋体" w:hAnsi="宋体" w:eastAsia="宋体"/>
        </w:rPr>
        <w:t>（一）在国有已出让用地上建设独立占地的充换电设施项目，在不改变建设用地主导用途的情况下，建设必要的配套设施（包括配电房及雨棚等附属设施）按有关规定办理相关手续。</w:t>
      </w:r>
    </w:p>
    <w:p>
      <w:pPr>
        <w:spacing w:before="0" w:beforeLines="0" w:after="0" w:afterLines="0"/>
        <w:ind w:firstLine="420" w:firstLineChars="200"/>
      </w:pPr>
      <w:r>
        <w:rPr>
          <w:rFonts w:hint="default" w:ascii="宋体" w:hAnsi="宋体" w:eastAsia="宋体"/>
        </w:rPr>
        <w:t>（二）在国有未出让用地上建设独立占地的充换电设施项目，应按照深圳市国有建设用地短期租赁管理相关规定办理国有建设用地短期租赁手续和临时建设工程规划许可。</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第十三条</w:t>
      </w:r>
      <w:r>
        <w:rPr>
          <w:rStyle w:val="44"/>
          <w:rFonts w:ascii="宋体" w:hAnsi="宋体" w:eastAsia="宋体"/>
          <w:b w:val="0"/>
          <w:lang w:eastAsia="zh-CN"/>
        </w:rPr>
        <w:t xml:space="preserve">    </w:t>
      </w:r>
      <w:r>
        <w:rPr>
          <w:rFonts w:hint="default" w:ascii="宋体" w:hAnsi="宋体" w:eastAsia="宋体"/>
        </w:rPr>
        <w:t>充换电设施建设工程应按以下要求办理工程项目建设许可手续：</w:t>
      </w:r>
    </w:p>
    <w:p>
      <w:pPr>
        <w:spacing w:before="0" w:beforeLines="0" w:after="0" w:afterLines="0"/>
        <w:ind w:firstLine="420" w:firstLineChars="200"/>
      </w:pPr>
      <w:r>
        <w:rPr>
          <w:rFonts w:hint="default" w:ascii="宋体" w:hAnsi="宋体" w:eastAsia="宋体"/>
        </w:rPr>
        <w:t>（一）涉及新增建（构）筑物面积的新建（或改扩建）且建设规模超过限额（建筑工程面积大于500平方米且工程造价大于100万元）的充换电设施，完成相关前序手续后，在所在辖区住房建设部门办理施工许可证。</w:t>
      </w:r>
    </w:p>
    <w:p>
      <w:pPr>
        <w:spacing w:before="0" w:beforeLines="0" w:after="0" w:afterLines="0"/>
        <w:ind w:firstLine="420" w:firstLineChars="200"/>
      </w:pPr>
      <w:r>
        <w:rPr>
          <w:rFonts w:hint="default" w:ascii="宋体" w:hAnsi="宋体" w:eastAsia="宋体"/>
        </w:rPr>
        <w:t>（二）不涉及新增建（构）筑物面积的新建（或改扩建）或者涉及但建设规模小于限额（建筑工程面积小于等于500平方米或工程造价小于等于100万元）的充换电设施，个人租赁或所有的固定停车位以及各住宅小区、单位、公园、交通枢纽及市政公共设施等既有停车位安装的充换电设施，完成相关前序手续后，按有关规定办理相关备案手续。</w:t>
      </w:r>
    </w:p>
    <w:p>
      <w:pPr>
        <w:spacing w:before="0" w:beforeLines="0" w:after="0" w:afterLines="0"/>
        <w:ind w:firstLine="420" w:firstLineChars="200"/>
      </w:pPr>
      <w:r>
        <w:rPr>
          <w:rFonts w:hint="default" w:ascii="宋体" w:hAnsi="宋体" w:eastAsia="宋体"/>
        </w:rPr>
        <w:t>（三）涉及道路开挖的充换电设施电力管线规划及建设，应尽量统筹周边道路建设规划同步实施，并在交通运输部门办理占用挖掘道路许可。</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第十四条</w:t>
      </w:r>
      <w:r>
        <w:rPr>
          <w:rStyle w:val="44"/>
          <w:rFonts w:ascii="宋体" w:hAnsi="宋体" w:eastAsia="宋体"/>
          <w:b w:val="0"/>
          <w:lang w:eastAsia="zh-CN"/>
        </w:rPr>
        <w:t xml:space="preserve">    </w:t>
      </w:r>
      <w:r>
        <w:rPr>
          <w:rFonts w:hint="default" w:ascii="宋体" w:hAnsi="宋体" w:eastAsia="宋体"/>
        </w:rPr>
        <w:t>城市新建公共停车场时同步建设的充换电设施，无需为同步建设的充换电设施单独办理建设工程规划许可和施工许可。</w:t>
      </w:r>
    </w:p>
    <w:p>
      <w:pPr>
        <w:spacing w:before="0" w:beforeLines="0" w:after="0" w:afterLines="0"/>
        <w:ind w:firstLine="420" w:firstLineChars="200"/>
      </w:pPr>
      <w:r>
        <w:rPr>
          <w:rFonts w:hint="default" w:ascii="宋体" w:hAnsi="宋体" w:eastAsia="宋体"/>
        </w:rPr>
        <w:t>个人和机构在既有停车位安装充电设施的，无需办理建设用地规划许可证、建设工程规划许可证和施工许可证。</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第十五条</w:t>
      </w:r>
      <w:r>
        <w:rPr>
          <w:rStyle w:val="44"/>
          <w:rFonts w:ascii="宋体" w:hAnsi="宋体" w:eastAsia="宋体"/>
          <w:b w:val="0"/>
          <w:lang w:eastAsia="zh-CN"/>
        </w:rPr>
        <w:t xml:space="preserve">    </w:t>
      </w:r>
      <w:r>
        <w:rPr>
          <w:rFonts w:hint="default" w:ascii="宋体" w:hAnsi="宋体" w:eastAsia="宋体"/>
        </w:rPr>
        <w:t>按照“谁投资、谁受益、谁负责”原则，充换电设施建设运营主体应履行安全生产主体责任，按照《深圳市充换电设施建设运营主体质量安全管理规范》加强设备采购和进货检验管理，建立施工质量、安全生产等管理体系，保障施工建设质量与安全。</w:t>
      </w:r>
    </w:p>
    <w:p>
      <w:pPr>
        <w:spacing w:before="0" w:beforeLines="0" w:after="0" w:afterLines="0"/>
        <w:ind w:firstLine="420" w:firstLineChars="200"/>
      </w:pPr>
      <w:r>
        <w:rPr>
          <w:rFonts w:hint="default" w:ascii="宋体" w:hAnsi="宋体" w:eastAsia="宋体"/>
        </w:rPr>
        <w:t>《深圳市充换电设施建设运营主体质量安全管理规范》由市发展改革部门另行制定。</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第十六条</w:t>
      </w:r>
      <w:r>
        <w:rPr>
          <w:rStyle w:val="44"/>
          <w:rFonts w:ascii="宋体" w:hAnsi="宋体" w:eastAsia="宋体"/>
          <w:b w:val="0"/>
          <w:lang w:eastAsia="zh-CN"/>
        </w:rPr>
        <w:t xml:space="preserve">    </w:t>
      </w:r>
      <w:r>
        <w:rPr>
          <w:rFonts w:hint="default" w:ascii="宋体" w:hAnsi="宋体" w:eastAsia="宋体"/>
        </w:rPr>
        <w:t>充电设施建设应符合国家、地方工程建设标准规范要求；充电设施应在同一防火分区内集中布置。地下或半地下停车场（库）充电设施宜布置在地下首层，不应布置在地下四层及以下。</w:t>
      </w:r>
    </w:p>
    <w:p>
      <w:pPr>
        <w:spacing w:before="0" w:beforeLines="0" w:after="0" w:afterLines="0"/>
        <w:ind w:firstLine="420" w:firstLineChars="200"/>
      </w:pPr>
      <w:r>
        <w:rPr>
          <w:rFonts w:hint="default" w:ascii="宋体" w:hAnsi="宋体" w:eastAsia="宋体"/>
        </w:rPr>
        <w:t>建筑内地下或半地下停车场（库）配建充电设施，应具备火灾自动报警系统、排烟设施、自动喷水灭火系统、监控设备、消防应急照明和疏散指示标志等必要消防设施。</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第十七条</w:t>
      </w:r>
      <w:r>
        <w:rPr>
          <w:rStyle w:val="44"/>
          <w:rFonts w:ascii="宋体" w:hAnsi="宋体" w:eastAsia="宋体"/>
          <w:b w:val="0"/>
          <w:lang w:eastAsia="zh-CN"/>
        </w:rPr>
        <w:t xml:space="preserve">    </w:t>
      </w:r>
      <w:bookmarkStart w:id="0" w:name="_GoBack"/>
      <w:r>
        <w:rPr>
          <w:rFonts w:hint="default" w:ascii="宋体" w:hAnsi="宋体" w:eastAsia="宋体"/>
        </w:rPr>
        <w:t>充换电设施建设完工后，建设单位应按照《深圳市新能源汽车充换电设施验收指引》要求进行验收。充换电设施验收应满足以下要求：</w:t>
      </w:r>
    </w:p>
    <w:p>
      <w:pPr>
        <w:spacing w:before="0" w:beforeLines="0" w:after="0" w:afterLines="0"/>
        <w:ind w:firstLine="420" w:firstLineChars="200"/>
      </w:pPr>
      <w:r>
        <w:rPr>
          <w:rFonts w:hint="default" w:ascii="宋体" w:hAnsi="宋体" w:eastAsia="宋体"/>
        </w:rPr>
        <w:t>（一）充换电设施建设完工后，建设单位应按照《深圳市新能源汽车充换电设施验收指引》要求自行或委托土建、电气等专业技术机构对其进行现场技术确认和验收。</w:t>
      </w:r>
    </w:p>
    <w:p>
      <w:pPr>
        <w:spacing w:before="0" w:beforeLines="0" w:after="0" w:afterLines="0"/>
        <w:ind w:firstLine="420" w:firstLineChars="200"/>
      </w:pPr>
      <w:r>
        <w:rPr>
          <w:rFonts w:hint="default" w:ascii="宋体" w:hAnsi="宋体" w:eastAsia="宋体"/>
        </w:rPr>
        <w:t>（二）建设单位应将竣工验收资料存档，以备行政主管部门后续审查监督，确保项目建设符合相关管理规范与标准要求。</w:t>
      </w:r>
    </w:p>
    <w:p>
      <w:pPr>
        <w:spacing w:before="0" w:beforeLines="0" w:after="0" w:afterLines="0"/>
        <w:ind w:firstLine="420" w:firstLineChars="200"/>
      </w:pPr>
      <w:r>
        <w:rPr>
          <w:rFonts w:hint="default" w:ascii="宋体" w:hAnsi="宋体" w:eastAsia="宋体"/>
        </w:rPr>
        <w:t>《深圳市新能源汽车充换电设施验收指引》由市发展改革部门另行制定。</w:t>
      </w:r>
      <w:bookmarkEnd w:id="0"/>
    </w:p>
    <w:p>
      <w:pPr>
        <w:spacing w:before="0" w:beforeLines="0" w:after="0" w:afterLines="0"/>
        <w:ind w:firstLine="420" w:firstLineChars="200"/>
      </w:pPr>
      <w:r>
        <w:rPr>
          <w:rFonts w:hint="default" w:ascii="宋体" w:hAnsi="宋体" w:eastAsia="宋体"/>
        </w:rPr>
        <w:t>第四章  运营管理</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第十八条</w:t>
      </w:r>
      <w:r>
        <w:rPr>
          <w:rStyle w:val="44"/>
          <w:rFonts w:ascii="宋体" w:hAnsi="宋体" w:eastAsia="宋体"/>
          <w:b w:val="0"/>
          <w:lang w:eastAsia="zh-CN"/>
        </w:rPr>
        <w:t xml:space="preserve">    </w:t>
      </w:r>
      <w:r>
        <w:rPr>
          <w:rFonts w:hint="default" w:ascii="宋体" w:hAnsi="宋体" w:eastAsia="宋体"/>
        </w:rPr>
        <w:t>充换电设施所有人应对投入运营和使用的充换电设施，在市级新能源汽车充换电设施安全监控平台（以下简称市级平台）办理信息登记。</w:t>
      </w:r>
    </w:p>
    <w:p>
      <w:pPr>
        <w:spacing w:before="0" w:beforeLines="0" w:after="0" w:afterLines="0"/>
        <w:ind w:firstLine="420" w:firstLineChars="200"/>
      </w:pPr>
      <w:r>
        <w:rPr>
          <w:rFonts w:hint="default" w:ascii="宋体" w:hAnsi="宋体" w:eastAsia="宋体"/>
        </w:rPr>
        <w:t>充换电设施所有人凭建设项目竣工验收资料（包括节能审查、项目备案、规划许可、施工许可、建设验收等环节资料）在市级平台进行登记；自用充电设施所有人可自行或委托维护管理单位在市级平台进行登记。</w:t>
      </w:r>
    </w:p>
    <w:p>
      <w:pPr>
        <w:spacing w:before="0" w:beforeLines="0" w:after="0" w:afterLines="0"/>
        <w:ind w:firstLine="420" w:firstLineChars="200"/>
      </w:pPr>
      <w:r>
        <w:rPr>
          <w:rFonts w:hint="default" w:ascii="宋体" w:hAnsi="宋体" w:eastAsia="宋体"/>
        </w:rPr>
        <w:t>属于强制管理的用于贸易结算的新能源汽车充电桩，还应依据计量强制检定管理相关规定，在广东省计量强制检定管理平台申请检定。</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第十九条</w:t>
      </w:r>
      <w:r>
        <w:rPr>
          <w:rStyle w:val="44"/>
          <w:rFonts w:ascii="宋体" w:hAnsi="宋体" w:eastAsia="宋体"/>
          <w:b w:val="0"/>
          <w:lang w:eastAsia="zh-CN"/>
        </w:rPr>
        <w:t xml:space="preserve">    </w:t>
      </w:r>
      <w:r>
        <w:rPr>
          <w:rFonts w:hint="default" w:ascii="宋体" w:hAnsi="宋体" w:eastAsia="宋体"/>
        </w:rPr>
        <w:t>充换电设施运营主体应建立充换电设施安全监控系统（以下简称系统），并应满足以下要求：</w:t>
      </w:r>
    </w:p>
    <w:p>
      <w:pPr>
        <w:spacing w:before="0" w:beforeLines="0" w:after="0" w:afterLines="0"/>
        <w:ind w:firstLine="420" w:firstLineChars="200"/>
      </w:pPr>
      <w:r>
        <w:rPr>
          <w:rFonts w:hint="default" w:ascii="宋体" w:hAnsi="宋体" w:eastAsia="宋体"/>
        </w:rPr>
        <w:t>（一）系统应采用信息化技术对充换电设备编码、设备使用状态、充电量、使用率、运行时间、运行状态、安全监控及隐患排查治理等信息进行管理，系统数据保存时间不少于1年。</w:t>
      </w:r>
    </w:p>
    <w:p>
      <w:pPr>
        <w:spacing w:before="0" w:beforeLines="0" w:after="0" w:afterLines="0"/>
        <w:ind w:firstLine="420" w:firstLineChars="200"/>
      </w:pPr>
      <w:r>
        <w:rPr>
          <w:rFonts w:hint="default" w:ascii="宋体" w:hAnsi="宋体" w:eastAsia="宋体"/>
        </w:rPr>
        <w:t>（二）系统应保证数据的完整性、准确性和一致性，按数据采集标准实时上传相关数据至市级平台；受委托管理的自用充电设施数据具备上传能力的，应同步上传至市级平台。</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第二十条</w:t>
      </w:r>
      <w:r>
        <w:rPr>
          <w:rStyle w:val="44"/>
          <w:rFonts w:ascii="宋体" w:hAnsi="宋体" w:eastAsia="宋体"/>
          <w:b w:val="0"/>
          <w:lang w:eastAsia="zh-CN"/>
        </w:rPr>
        <w:t xml:space="preserve">    </w:t>
      </w:r>
      <w:r>
        <w:rPr>
          <w:rFonts w:hint="default" w:ascii="宋体" w:hAnsi="宋体" w:eastAsia="宋体"/>
        </w:rPr>
        <w:t>充换电设施运营期间，若所有人或运营主体发生变更或有改扩建等情形的，应将更新情况及时向市级平台进行变更登记。充换电设施终止运营和使用的，充换电设施所有人应在30日内向供电企业办理销户手续，及时拆除设施设备，并将拆除信息在市级平台进行登记。
</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第二十一条</w:t>
      </w:r>
      <w:r>
        <w:rPr>
          <w:rStyle w:val="44"/>
          <w:rFonts w:ascii="宋体" w:hAnsi="宋体" w:eastAsia="宋体"/>
          <w:b w:val="0"/>
          <w:lang w:eastAsia="zh-CN"/>
        </w:rPr>
        <w:t xml:space="preserve">    </w:t>
      </w:r>
      <w:r>
        <w:rPr>
          <w:rFonts w:hint="default" w:ascii="宋体" w:hAnsi="宋体" w:eastAsia="宋体"/>
        </w:rPr>
        <w:t>充换电设施运营主体、自用充电设施所有人应落实安全生产主体责任：</w:t>
      </w:r>
    </w:p>
    <w:p>
      <w:pPr>
        <w:spacing w:before="0" w:beforeLines="0" w:after="0" w:afterLines="0"/>
        <w:ind w:firstLine="420" w:firstLineChars="200"/>
      </w:pPr>
      <w:r>
        <w:rPr>
          <w:rFonts w:hint="default" w:ascii="宋体" w:hAnsi="宋体" w:eastAsia="宋体"/>
        </w:rPr>
        <w:t>（一）充换电设施运营主体负有运营安全管理责任，应按照《深圳市充换电设施建设运营主体质量安全管理规范》配置人力、软硬件等资源，建立健全全过程管理制度规范和专业化的安全风险防控体系。</w:t>
      </w:r>
    </w:p>
    <w:p>
      <w:pPr>
        <w:spacing w:before="0" w:beforeLines="0" w:after="0" w:afterLines="0"/>
        <w:ind w:firstLine="420" w:firstLineChars="200"/>
      </w:pPr>
      <w:r>
        <w:rPr>
          <w:rFonts w:hint="default" w:ascii="宋体" w:hAnsi="宋体" w:eastAsia="宋体"/>
        </w:rPr>
        <w:t>（二）自用充电设施所有人应按照《深圳市充换电设施建设运营主体质量安全管理规范》履行安全生产管理责任，不具备日常安全管理条件或能力的，应委托充换电设施企业或物业服务人代为维护管理，并签署相应委托协议。</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第二十二条</w:t>
      </w:r>
      <w:r>
        <w:rPr>
          <w:rStyle w:val="44"/>
          <w:rFonts w:ascii="宋体" w:hAnsi="宋体" w:eastAsia="宋体"/>
          <w:b w:val="0"/>
          <w:lang w:eastAsia="zh-CN"/>
        </w:rPr>
        <w:t xml:space="preserve">    </w:t>
      </w:r>
      <w:r>
        <w:rPr>
          <w:rFonts w:hint="default" w:ascii="宋体" w:hAnsi="宋体" w:eastAsia="宋体"/>
        </w:rPr>
        <w:t>充换电设施运营主体应建立健全安全管理制度、消防安全制度及运营规范，加强安全生产内部监督，并落实全员安全生产责任制；依据安全生产相关法律法规要求，设置安全管理机构，配备专职或兼职安全生产管理人员，明确岗位从业人员安全生产责任，可聘请具备相应资质的安全生产技术、管理服务机构开展安全生产监督工作。
</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第二十三条</w:t>
      </w:r>
      <w:r>
        <w:rPr>
          <w:rStyle w:val="44"/>
          <w:rFonts w:ascii="宋体" w:hAnsi="宋体" w:eastAsia="宋体"/>
          <w:b w:val="0"/>
          <w:lang w:eastAsia="zh-CN"/>
        </w:rPr>
        <w:t xml:space="preserve">    </w:t>
      </w:r>
      <w:r>
        <w:rPr>
          <w:rFonts w:hint="default" w:ascii="宋体" w:hAnsi="宋体" w:eastAsia="宋体"/>
        </w:rPr>
        <w:t>充换电设施运营主体的管理人员和作业人员应接受消防、安全生产培训，熟练掌握新能源汽车充换电操作规程、用电安全规范、紧急情况处置和触电急救等知识技能，经培训合格后方可上岗。
</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第二十四条</w:t>
      </w:r>
      <w:r>
        <w:rPr>
          <w:rStyle w:val="44"/>
          <w:rFonts w:ascii="宋体" w:hAnsi="宋体" w:eastAsia="宋体"/>
          <w:b w:val="0"/>
          <w:lang w:eastAsia="zh-CN"/>
        </w:rPr>
        <w:t xml:space="preserve">    </w:t>
      </w:r>
      <w:r>
        <w:rPr>
          <w:rFonts w:hint="default" w:ascii="宋体" w:hAnsi="宋体" w:eastAsia="宋体"/>
        </w:rPr>
        <w:t>充换电设施运营主体、自用充电设施所有人应做好充换电设施日常运行管理：</w:t>
      </w:r>
    </w:p>
    <w:p>
      <w:pPr>
        <w:spacing w:before="0" w:beforeLines="0" w:after="0" w:afterLines="0"/>
        <w:ind w:firstLine="420" w:firstLineChars="200"/>
      </w:pPr>
      <w:r>
        <w:rPr>
          <w:rFonts w:hint="default" w:ascii="宋体" w:hAnsi="宋体" w:eastAsia="宋体"/>
        </w:rPr>
        <w:t>（一）充换电设施运营主体应每月开展电气安全、运维操作、消防及防雷设施安全检查，落实整改责任、措施、资金、时限、预案，及时消除安全隐患，并完善相应台账。</w:t>
      </w:r>
    </w:p>
    <w:p>
      <w:pPr>
        <w:spacing w:before="0" w:beforeLines="0" w:after="0" w:afterLines="0"/>
        <w:ind w:firstLine="420" w:firstLineChars="200"/>
      </w:pPr>
      <w:r>
        <w:rPr>
          <w:rFonts w:hint="default" w:ascii="宋体" w:hAnsi="宋体" w:eastAsia="宋体"/>
        </w:rPr>
        <w:t>（二）自用充电设施所有人或其委托维护管理单位应加强充换电设施日常运行管理，积极配合业主方或物业服务人开展安装验收、电气安全、消防安全巡查检查，及时消除安全隐患。未进行登记的自用充电设施，业主方或物业服务人应采取积极措施督促自用充电设施所有人进行登记。</w:t>
      </w:r>
    </w:p>
    <w:p>
      <w:pPr>
        <w:spacing w:before="0" w:beforeLines="0" w:after="0" w:afterLines="0"/>
        <w:ind w:firstLine="420" w:firstLineChars="200"/>
      </w:pPr>
      <w:r>
        <w:rPr>
          <w:rFonts w:hint="default" w:ascii="宋体" w:hAnsi="宋体" w:eastAsia="宋体"/>
        </w:rPr>
        <w:t>（三）充换电设施建设所在地业主方或物业服务人应对充换电设施运营主体、自用充电设施所有人或其委托维护管理单位日常运行管理情况进行监督、配合验收和安全检查。尤其应加强对长期闲置或存在故障的充电设施的监督管理，引导车辆合理停放，避免充电车位资源无效占用和产生安全隐患。如业主方或物业服务人受充换电设施运营主体委托为所在地充换电设施提供用电及消防安全等日常巡检管理服务，各方应明确权责、合理约定服务费用。行业主管部门引导行业制定合理的服务费分成比例，同时将依职责加强运营管理。</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第二十五条</w:t>
      </w:r>
      <w:r>
        <w:rPr>
          <w:rStyle w:val="44"/>
          <w:rFonts w:ascii="宋体" w:hAnsi="宋体" w:eastAsia="宋体"/>
          <w:b w:val="0"/>
          <w:lang w:eastAsia="zh-CN"/>
        </w:rPr>
        <w:t xml:space="preserve">    </w:t>
      </w:r>
      <w:r>
        <w:rPr>
          <w:rFonts w:hint="default" w:ascii="宋体" w:hAnsi="宋体" w:eastAsia="宋体"/>
        </w:rPr>
        <w:t>充换电设施运营主体应建立和完善应急管理体系：</w:t>
      </w:r>
    </w:p>
    <w:p>
      <w:pPr>
        <w:spacing w:before="0" w:beforeLines="0" w:after="0" w:afterLines="0"/>
        <w:ind w:firstLine="420" w:firstLineChars="200"/>
      </w:pPr>
      <w:r>
        <w:rPr>
          <w:rFonts w:hint="default" w:ascii="宋体" w:hAnsi="宋体" w:eastAsia="宋体"/>
        </w:rPr>
        <w:t>（一）充换电设施运营主体应建立突发事件应急预案和现场处置方案（包括火灾、防风防汛、车辆故障、电池破损燃烧爆炸、供电系统故障、人员触电、电池故障和设备故障等），并定期开展应急培训、演练和评估。</w:t>
      </w:r>
    </w:p>
    <w:p>
      <w:pPr>
        <w:spacing w:before="0" w:beforeLines="0" w:after="0" w:afterLines="0"/>
        <w:ind w:firstLine="420" w:firstLineChars="200"/>
      </w:pPr>
      <w:r>
        <w:rPr>
          <w:rFonts w:hint="default" w:ascii="宋体" w:hAnsi="宋体" w:eastAsia="宋体"/>
        </w:rPr>
        <w:t>（二）充换电设施建设所在地业主方、物业服务人和供电企业应配合充换电设施运营主体开展应急预案演练和评估处置。</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第二十六条</w:t>
      </w:r>
      <w:r>
        <w:rPr>
          <w:rStyle w:val="44"/>
          <w:rFonts w:ascii="宋体" w:hAnsi="宋体" w:eastAsia="宋体"/>
          <w:b w:val="0"/>
          <w:lang w:eastAsia="zh-CN"/>
        </w:rPr>
        <w:t xml:space="preserve">    </w:t>
      </w:r>
      <w:r>
        <w:rPr>
          <w:rFonts w:hint="default" w:ascii="宋体" w:hAnsi="宋体" w:eastAsia="宋体"/>
        </w:rPr>
        <w:t>充换电设施企业应加强新技术、新产品研发应用。新建充换电设施应具备有序充电功能和接入虚拟电厂能力，鼓励存量充换电设施升级改造；示范建设超充和车网互动项目，促进新能源汽车、充换电设施与智能电网间的能量和信息互动；提升智能化运维管理水平，鼓励移动充电技术应用，优化停车充换电便利性、安全性和用户体验。
</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第二十七条</w:t>
      </w:r>
      <w:r>
        <w:rPr>
          <w:rStyle w:val="44"/>
          <w:rFonts w:ascii="宋体" w:hAnsi="宋体" w:eastAsia="宋体"/>
          <w:b w:val="0"/>
          <w:lang w:eastAsia="zh-CN"/>
        </w:rPr>
        <w:t xml:space="preserve">    </w:t>
      </w:r>
      <w:r>
        <w:rPr>
          <w:rFonts w:hint="default" w:ascii="宋体" w:hAnsi="宋体" w:eastAsia="宋体"/>
        </w:rPr>
        <w:t>充换电设施企业、停车设施相关企业、物业服务人应做好运营管理：</w:t>
      </w:r>
    </w:p>
    <w:p>
      <w:pPr>
        <w:spacing w:before="0" w:beforeLines="0" w:after="0" w:afterLines="0"/>
        <w:ind w:firstLine="420" w:firstLineChars="200"/>
      </w:pPr>
      <w:r>
        <w:rPr>
          <w:rFonts w:hint="default" w:ascii="宋体" w:hAnsi="宋体" w:eastAsia="宋体"/>
        </w:rPr>
        <w:t>（一）充换电设施企业与停车设施相关企业、物业服务人应加强合作，鼓励停车场集中设置充电车位，创新充电车位智能化管理模式，实现车位导航、状态查询、充电和停车预约等功能，提升充电车位使用效率。</w:t>
      </w:r>
    </w:p>
    <w:p>
      <w:pPr>
        <w:spacing w:before="0" w:beforeLines="0" w:after="0" w:afterLines="0"/>
        <w:ind w:firstLine="420" w:firstLineChars="200"/>
      </w:pPr>
      <w:r>
        <w:rPr>
          <w:rFonts w:hint="default" w:ascii="宋体" w:hAnsi="宋体" w:eastAsia="宋体"/>
        </w:rPr>
        <w:t>（二）支持综合实力强的充换电设施企业统一规划建设和运营充换电设施，加强与电网、物业服务、新能源汽车生产企业商业合作，支持建设光储充放和车网互动示范项目，积极参与电力系统运行和电力市场交易，促进电力削峰填谷和新能源消纳。</w:t>
      </w:r>
    </w:p>
    <w:p>
      <w:pPr>
        <w:spacing w:before="0" w:beforeLines="0" w:after="0" w:afterLines="0"/>
        <w:ind w:firstLine="420" w:firstLineChars="200"/>
      </w:pPr>
      <w:r>
        <w:rPr>
          <w:rFonts w:hint="default" w:ascii="宋体" w:hAnsi="宋体" w:eastAsia="宋体"/>
        </w:rPr>
        <w:t>（三）充换电设施企业应当建立服务投诉处理机制，及时处理设备故障，受理用户咨询和投诉。物业服务人应加强充电车位规划与管理。</w:t>
      </w:r>
    </w:p>
    <w:p>
      <w:pPr>
        <w:spacing w:before="0" w:beforeLines="0" w:after="0" w:afterLines="0"/>
        <w:ind w:firstLine="420" w:firstLineChars="200"/>
      </w:pPr>
      <w:r>
        <w:rPr>
          <w:rFonts w:hint="default" w:ascii="宋体" w:hAnsi="宋体" w:eastAsia="宋体"/>
        </w:rPr>
        <w:t>（四）充换电设施企业应按照国家、地方相关标准规范，设置完备的充换电设施标识标志，按规范明码标价（包括清晰准确标识收费内容、计价方式、收费时段及收费科目等）。鼓励充换电设施企业（或个人）为管理（或自用）的充换电设施购买安全责任保险、财产险、产品责任险、火灾险等险种。</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第二十八条</w:t>
      </w:r>
      <w:r>
        <w:rPr>
          <w:rStyle w:val="44"/>
          <w:rFonts w:ascii="宋体" w:hAnsi="宋体" w:eastAsia="宋体"/>
          <w:b w:val="0"/>
          <w:lang w:eastAsia="zh-CN"/>
        </w:rPr>
        <w:t xml:space="preserve">    </w:t>
      </w:r>
      <w:r>
        <w:rPr>
          <w:rFonts w:hint="default" w:ascii="宋体" w:hAnsi="宋体" w:eastAsia="宋体"/>
        </w:rPr>
        <w:t>充换电设施企业应加强行业自律，依法依规经营，共同维护市场竞争秩序、价格秩序，保护消费者和经营者的合法权益。行业主管部门将会同相关机构适时公布充换电服务费分类指导价格信息。</w:t>
      </w:r>
    </w:p>
    <w:p>
      <w:pPr>
        <w:spacing w:before="0" w:beforeLines="0" w:after="0" w:afterLines="0"/>
        <w:ind w:firstLine="420" w:firstLineChars="200"/>
      </w:pPr>
      <w:r>
        <w:rPr>
          <w:rFonts w:hint="default" w:ascii="宋体" w:hAnsi="宋体" w:eastAsia="宋体"/>
        </w:rPr>
        <w:t>第五章  监督管理</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第二十九条</w:t>
      </w:r>
      <w:r>
        <w:rPr>
          <w:rStyle w:val="44"/>
          <w:rFonts w:ascii="宋体" w:hAnsi="宋体" w:eastAsia="宋体"/>
          <w:b w:val="0"/>
          <w:lang w:eastAsia="zh-CN"/>
        </w:rPr>
        <w:t xml:space="preserve">    </w:t>
      </w:r>
      <w:r>
        <w:rPr>
          <w:rFonts w:hint="default" w:ascii="宋体" w:hAnsi="宋体" w:eastAsia="宋体"/>
        </w:rPr>
        <w:t>各区指导监督辖区街道办事处协调充换电设施建设和管理过程中发生的具体问题（含投诉处理）。市、区两级发展改革部门会同有关执法部门依法对存在安全事故隐患的充换电设施企业进行处置。
</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第三十条</w:t>
      </w:r>
      <w:r>
        <w:rPr>
          <w:rStyle w:val="44"/>
          <w:rFonts w:ascii="宋体" w:hAnsi="宋体" w:eastAsia="宋体"/>
          <w:b w:val="0"/>
          <w:lang w:eastAsia="zh-CN"/>
        </w:rPr>
        <w:t xml:space="preserve">    </w:t>
      </w:r>
      <w:r>
        <w:rPr>
          <w:rFonts w:hint="default" w:ascii="宋体" w:hAnsi="宋体" w:eastAsia="宋体"/>
        </w:rPr>
        <w:t>社会公众可以通过“12350”投诉电话、电子邮件、书信等方式，向新能源汽车充换电设施运营监管部门投诉举报安全隐患和违法行为。</w:t>
      </w:r>
    </w:p>
    <w:p>
      <w:pPr>
        <w:spacing w:before="0" w:beforeLines="0" w:after="0" w:afterLines="0"/>
        <w:ind w:firstLine="420" w:firstLineChars="200"/>
      </w:pPr>
      <w:r>
        <w:rPr>
          <w:rFonts w:hint="default" w:ascii="宋体" w:hAnsi="宋体" w:eastAsia="宋体"/>
        </w:rPr>
        <w:t>第六章  保障措施</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第三十一条</w:t>
      </w:r>
      <w:r>
        <w:rPr>
          <w:rStyle w:val="44"/>
          <w:rFonts w:ascii="宋体" w:hAnsi="宋体" w:eastAsia="宋体"/>
          <w:b w:val="0"/>
          <w:lang w:eastAsia="zh-CN"/>
        </w:rPr>
        <w:t xml:space="preserve">    </w:t>
      </w:r>
      <w:r>
        <w:rPr>
          <w:rFonts w:hint="default" w:ascii="宋体" w:hAnsi="宋体" w:eastAsia="宋体"/>
        </w:rPr>
        <w:t>对于急需建设的充电设施可通过短期租赁的方式租用国有建设用地。
</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第三十二条</w:t>
      </w:r>
      <w:r>
        <w:rPr>
          <w:rStyle w:val="44"/>
          <w:rFonts w:ascii="宋体" w:hAnsi="宋体" w:eastAsia="宋体"/>
          <w:b w:val="0"/>
          <w:lang w:eastAsia="zh-CN"/>
        </w:rPr>
        <w:t xml:space="preserve">    </w:t>
      </w:r>
      <w:r>
        <w:rPr>
          <w:rFonts w:hint="default" w:ascii="宋体" w:hAnsi="宋体" w:eastAsia="宋体"/>
        </w:rPr>
        <w:t>电网企业应将车辆充电需求纳入全市配电网规划建设，为充换电设施规划建设布局提供技术支持。针对不同的新能源汽车充换电环境制定供电保障方案，简化规范报装手续，提供便利高效的用电服务。</w:t>
      </w:r>
    </w:p>
    <w:p>
      <w:pPr>
        <w:spacing w:before="0" w:beforeLines="0" w:after="0" w:afterLines="0"/>
        <w:ind w:firstLine="420" w:firstLineChars="200"/>
      </w:pPr>
      <w:r>
        <w:rPr>
          <w:rFonts w:hint="default" w:ascii="宋体" w:hAnsi="宋体" w:eastAsia="宋体"/>
        </w:rPr>
        <w:t>第七章  附  则</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第三十三条</w:t>
      </w:r>
      <w:r>
        <w:rPr>
          <w:rStyle w:val="44"/>
          <w:rFonts w:ascii="宋体" w:hAnsi="宋体" w:eastAsia="宋体"/>
          <w:b w:val="0"/>
          <w:lang w:eastAsia="zh-CN"/>
        </w:rPr>
        <w:t xml:space="preserve">    </w:t>
      </w:r>
      <w:r>
        <w:rPr>
          <w:rFonts w:hint="default" w:ascii="宋体" w:hAnsi="宋体" w:eastAsia="宋体"/>
        </w:rPr>
        <w:t>本管理办法下列用语的含义：</w:t>
      </w:r>
    </w:p>
    <w:p>
      <w:pPr>
        <w:spacing w:before="0" w:beforeLines="0" w:after="0" w:afterLines="0"/>
        <w:ind w:firstLine="420" w:firstLineChars="200"/>
      </w:pPr>
      <w:r>
        <w:rPr>
          <w:rFonts w:hint="default" w:ascii="宋体" w:hAnsi="宋体" w:eastAsia="宋体"/>
        </w:rPr>
        <w:t>（一）充换电设施，指集中式充电站、分散充电设施和换电设施，包括充换电设备及相关的供电设备、监控设备、配套设施等。</w:t>
      </w:r>
    </w:p>
    <w:p>
      <w:pPr>
        <w:spacing w:before="0" w:beforeLines="0" w:after="0" w:afterLines="0"/>
        <w:ind w:firstLine="420" w:firstLineChars="200"/>
      </w:pPr>
      <w:r>
        <w:rPr>
          <w:rFonts w:hint="default" w:ascii="宋体" w:hAnsi="宋体" w:eastAsia="宋体"/>
        </w:rPr>
        <w:t>（二）公共充电设施，指在规划的独立地块、社会公共停车场、住宅小区公共停车场、商业建筑物配建停车场、加油（气）站、高速公路服务区、机场等区域规划建设，面向社会车辆提供充电服务的充电设施。</w:t>
      </w:r>
    </w:p>
    <w:p>
      <w:pPr>
        <w:spacing w:before="0" w:beforeLines="0" w:after="0" w:afterLines="0"/>
        <w:ind w:firstLine="420" w:firstLineChars="200"/>
      </w:pPr>
      <w:r>
        <w:rPr>
          <w:rFonts w:hint="default" w:ascii="宋体" w:hAnsi="宋体" w:eastAsia="宋体"/>
        </w:rPr>
        <w:t>（三）专用充电设施，指在企事业单位、园区、汽车销售服务店等专属停车位建设，为公务车辆、员工车辆、销售车辆等提供专属充电服务的充电设施，以及在公交场站、综合车场、物流集散地、环卫设施用地等规划建设，为相应专用车辆提供充电服务的充电设施。</w:t>
      </w:r>
    </w:p>
    <w:p>
      <w:pPr>
        <w:spacing w:before="0" w:beforeLines="0" w:after="0" w:afterLines="0"/>
        <w:ind w:firstLine="420" w:firstLineChars="200"/>
      </w:pPr>
      <w:r>
        <w:rPr>
          <w:rFonts w:hint="default" w:ascii="宋体" w:hAnsi="宋体" w:eastAsia="宋体"/>
        </w:rPr>
        <w:t>（四）自用充电设施，指在个人用户所有或租赁的固定停车位上安装，专为其停放的新能源汽车提供充电服务的充电设施。</w:t>
      </w:r>
    </w:p>
    <w:p>
      <w:pPr>
        <w:spacing w:before="0" w:beforeLines="0" w:after="0" w:afterLines="0"/>
        <w:ind w:firstLine="420" w:firstLineChars="200"/>
      </w:pPr>
      <w:r>
        <w:rPr>
          <w:rFonts w:hint="default" w:ascii="宋体" w:hAnsi="宋体" w:eastAsia="宋体"/>
        </w:rPr>
        <w:t>（五）换电设施，指为可换电的特定新能源汽车以更换电池方式提供电能补给的换电设施。</w:t>
      </w:r>
    </w:p>
    <w:p>
      <w:pPr>
        <w:spacing w:before="0" w:beforeLines="0" w:after="0" w:afterLines="0"/>
        <w:ind w:firstLine="420" w:firstLineChars="200"/>
      </w:pPr>
      <w:r>
        <w:rPr>
          <w:rFonts w:hint="default" w:ascii="宋体" w:hAnsi="宋体" w:eastAsia="宋体"/>
        </w:rPr>
        <w:t>（六）新能源汽车，主要指纯电动汽车、插电式混合动力汽车。</w:t>
      </w:r>
    </w:p>
    <w:p>
      <w:pPr>
        <w:spacing w:before="0" w:beforeLines="0" w:after="0" w:afterLines="0"/>
        <w:ind w:firstLine="420" w:firstLineChars="200"/>
      </w:pPr>
      <w:r>
        <w:rPr>
          <w:rFonts w:hint="default" w:ascii="宋体" w:hAnsi="宋体" w:eastAsia="宋体"/>
        </w:rPr>
        <w:t>（七）集中式充电站，指独立占地规划建设或专用场站停车场内规划建设的为新能源汽车提供充电服务的专用场所。</w:t>
      </w:r>
    </w:p>
    <w:p>
      <w:pPr>
        <w:spacing w:before="0" w:beforeLines="0" w:after="0" w:afterLines="0"/>
        <w:ind w:firstLine="420" w:firstLineChars="200"/>
      </w:pPr>
      <w:r>
        <w:rPr>
          <w:rFonts w:hint="default" w:ascii="宋体" w:hAnsi="宋体" w:eastAsia="宋体"/>
        </w:rPr>
        <w:t>（八）充换电设施企业，指从事新能源汽车充换电设施规划、投资、建设、运营，并提供充换电服务及相关增值服务的企业。</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第三十四条</w:t>
      </w:r>
      <w:r>
        <w:rPr>
          <w:rStyle w:val="44"/>
          <w:rFonts w:ascii="宋体" w:hAnsi="宋体" w:eastAsia="宋体"/>
          <w:b w:val="0"/>
          <w:lang w:eastAsia="zh-CN"/>
        </w:rPr>
        <w:t xml:space="preserve">    </w:t>
      </w:r>
      <w:r>
        <w:rPr>
          <w:rFonts w:hint="default" w:ascii="宋体" w:hAnsi="宋体" w:eastAsia="宋体"/>
        </w:rPr>
        <w:t>深汕特别合作区参照本办法执行。
</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第三十五条</w:t>
      </w:r>
      <w:r>
        <w:rPr>
          <w:rStyle w:val="44"/>
          <w:rFonts w:ascii="宋体" w:hAnsi="宋体" w:eastAsia="宋体"/>
          <w:b w:val="0"/>
          <w:lang w:eastAsia="zh-CN"/>
        </w:rPr>
        <w:t xml:space="preserve">    </w:t>
      </w:r>
      <w:r>
        <w:rPr>
          <w:rFonts w:hint="default" w:ascii="宋体" w:hAnsi="宋体" w:eastAsia="宋体"/>
        </w:rPr>
        <w:t>本办法由深圳市发展和改革委员会负责解释。
</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第三十六条</w:t>
      </w:r>
      <w:r>
        <w:rPr>
          <w:rStyle w:val="44"/>
          <w:rFonts w:ascii="宋体" w:hAnsi="宋体" w:eastAsia="宋体"/>
          <w:b w:val="0"/>
          <w:lang w:eastAsia="zh-CN"/>
        </w:rPr>
        <w:t xml:space="preserve">    </w:t>
      </w:r>
      <w:r>
        <w:rPr>
          <w:rFonts w:hint="default" w:ascii="宋体" w:hAnsi="宋体" w:eastAsia="宋体"/>
        </w:rPr>
        <w:t>本办法自2023年10月8日起实施，有效期五年。
</w:t>
      </w:r>
    </w:p>
    <w:sectPr>
      <w:headerReference r:id="rId7" w:type="first"/>
      <w:footerReference r:id="rId10" w:type="first"/>
      <w:headerReference r:id="rId5" w:type="default"/>
      <w:footerReference r:id="rId8" w:type="default"/>
      <w:headerReference r:id="rId6" w:type="even"/>
      <w:footerReference r:id="rId9" w:type="even"/>
      <w:pgSz w:w="11900" w:h="16840"/>
      <w:pgMar w:top="1440" w:right="1080" w:bottom="1440" w:left="1080" w:header="850" w:footer="992" w:gutter="0"/>
      <w:pgNumType w:fmt="numberInDash" w:start="1"/>
      <w:cols w:space="425" w:num="1"/>
      <w:docGrid w:type="lines" w:linePitch="423"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ongti SC">
    <w:altName w:val="宋体"/>
    <w:panose1 w:val="02010600040101010101"/>
    <w:charset w:val="86"/>
    <w:family w:val="auto"/>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ind w:firstLine="360"/>
      <w:jc w:val="center"/>
      <w:rPr>
        <w:rFonts w:hint="eastAsia" w:ascii="宋体" w:hAnsi="宋体" w:eastAsia="宋体"/>
        <w:sz w:val="18"/>
        <w:szCs w:val="18"/>
      </w:rPr>
    </w:pPr>
    <w:r>
      <w:rPr>
        <w:rFonts w:ascii="宋体" w:hAnsi="宋体" w:eastAsia="宋体"/>
        <w:sz w:val="18"/>
        <w:szCs w:val="18"/>
      </w:rPr>
      <w:fldChar w:fldCharType="begin"/>
    </w:r>
    <w:r>
      <w:rPr>
        <w:rFonts w:ascii="宋体" w:hAnsi="宋体" w:eastAsia="宋体"/>
        <w:sz w:val="18"/>
        <w:szCs w:val="18"/>
      </w:rPr>
      <w:instrText xml:space="preserve"> PAGE \* Arabic \* MERGEFORMAT </w:instrText>
    </w:r>
    <w:r>
      <w:rPr>
        <w:rFonts w:ascii="宋体" w:hAnsi="宋体" w:eastAsia="宋体"/>
        <w:sz w:val="18"/>
        <w:szCs w:val="18"/>
      </w:rPr>
      <w:fldChar w:fldCharType="separate"/>
    </w:r>
    <w:r>
      <w:rPr>
        <w:rFonts w:ascii="宋体" w:hAnsi="宋体" w:eastAsia="宋体"/>
        <w:sz w:val="18"/>
        <w:szCs w:val="18"/>
      </w:rPr>
      <w:t>1</w:t>
    </w:r>
    <w:r>
      <w:rPr>
        <w:rFonts w:ascii="宋体" w:hAnsi="宋体" w:eastAsia="宋体"/>
        <w:sz w:val="18"/>
        <w:szCs w:val="18"/>
      </w:rPr>
      <w:fldChar w:fldCharType="end"/>
    </w:r>
    <w:r>
      <w:rPr>
        <w:rFonts w:ascii="宋体" w:hAnsi="宋体" w:eastAsia="宋体"/>
        <w:sz w:val="18"/>
        <w:szCs w:val="18"/>
      </w:rPr>
      <w:t xml:space="preserve"> </w:t>
    </w:r>
    <w:r>
      <w:rPr>
        <w:rFonts w:hint="eastAsia" w:ascii="宋体" w:hAnsi="宋体" w:eastAsia="宋体"/>
        <w:sz w:val="18"/>
        <w:szCs w:val="18"/>
      </w:rPr>
      <w:t>/</w:t>
    </w:r>
    <w:r>
      <w:rPr>
        <w:rFonts w:ascii="宋体" w:hAnsi="宋体" w:eastAsia="宋体"/>
        <w:sz w:val="18"/>
        <w:szCs w:val="18"/>
      </w:rPr>
      <w:t xml:space="preserve"> </w:t>
    </w:r>
    <w:r>
      <w:rPr>
        <w:rFonts w:ascii="宋体" w:hAnsi="宋体" w:eastAsia="宋体"/>
        <w:sz w:val="18"/>
        <w:szCs w:val="18"/>
      </w:rPr>
      <w:fldChar w:fldCharType="begin"/>
    </w:r>
    <w:r>
      <w:rPr>
        <w:rFonts w:ascii="宋体" w:hAnsi="宋体" w:eastAsia="宋体"/>
        <w:sz w:val="18"/>
        <w:szCs w:val="18"/>
      </w:rPr>
      <w:instrText xml:space="preserve"> NUMPAGES  \* MERGEFORMAT </w:instrText>
    </w:r>
    <w:r>
      <w:rPr>
        <w:rFonts w:ascii="宋体" w:hAnsi="宋体" w:eastAsia="宋体"/>
        <w:sz w:val="18"/>
        <w:szCs w:val="18"/>
      </w:rPr>
      <w:fldChar w:fldCharType="separate"/>
    </w:r>
    <w:r>
      <w:rPr>
        <w:rFonts w:ascii="宋体" w:hAnsi="宋体" w:eastAsia="宋体"/>
        <w:sz w:val="18"/>
        <w:szCs w:val="18"/>
      </w:rPr>
      <w:t>1</w:t>
    </w:r>
    <w:r>
      <w:rPr>
        <w:rFonts w:ascii="宋体" w:hAnsi="宋体" w:eastAsia="宋体"/>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ind w:firstLine="360"/>
      <w:rPr>
        <w:rStyle w:val="26"/>
      </w:rPr>
    </w:pPr>
    <w:r>
      <w:rPr>
        <w:rStyle w:val="26"/>
      </w:rPr>
      <w:fldChar w:fldCharType="begin"/>
    </w:r>
    <w:r>
      <w:rPr>
        <w:rStyle w:val="26"/>
      </w:rPr>
      <w:instrText xml:space="preserve">PAGE  </w:instrText>
    </w:r>
    <w:r>
      <w:rPr>
        <w:rStyle w:val="26"/>
      </w:rPr>
      <w:fldChar w:fldCharType="end"/>
    </w:r>
  </w:p>
  <w:p>
    <w:pPr>
      <w:pStyle w:val="12"/>
      <w:spacing w:before="120"/>
      <w:ind w:firstLine="360"/>
      <w:rPr>
        <w:rStyle w:val="26"/>
      </w:rPr>
    </w:pPr>
    <w:r>
      <w:rPr>
        <w:rStyle w:val="26"/>
      </w:rPr>
      <w:fldChar w:fldCharType="begin"/>
    </w:r>
    <w:r>
      <w:rPr>
        <w:rStyle w:val="26"/>
      </w:rPr>
      <w:instrText xml:space="preserve">PAGE  </w:instrText>
    </w:r>
    <w:r>
      <w:rPr>
        <w:rStyle w:val="26"/>
      </w:rPr>
      <w:fldChar w:fldCharType="end"/>
    </w:r>
  </w:p>
  <w:p>
    <w:pPr>
      <w:pStyle w:val="12"/>
      <w:spacing w:before="120"/>
      <w:ind w:firstLine="360"/>
    </w:pPr>
  </w:p>
  <w:p>
    <w:pPr>
      <w:spacing w:before="120"/>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ind w:firstLine="420"/>
      </w:pPr>
      <w:r>
        <w:separator/>
      </w:r>
    </w:p>
  </w:footnote>
  <w:footnote w:type="continuationSeparator" w:id="1">
    <w:p>
      <w:pPr>
        <w:spacing w:before="0" w:after="0"/>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before="120"/>
      <w:ind w:firstLine="0" w:firstLineChars="0"/>
    </w:pPr>
    <w:r>
      <w:rPr>
        <w:rFonts w:ascii="宋体" w:hAnsi="宋体" w:eastAsia="宋体"/>
      </w:rPr>
      <w:t>深圳市发展和改革委员会关于印发《深圳市新能源汽车充换电设施管理办法》的通知</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before="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before="12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HorizontalSpacing w:val="120"/>
  <w:drawingGridVerticalSpacing w:val="423"/>
  <w:displayHorizontalDrawingGridEvery w:val="0"/>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hhMGNlYjM2NDI3M2Y3ZjdjNmFiMTAwZmE0NDcwMTQifQ=="/>
  </w:docVars>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 w:val="0CF50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50" w:beforeLines="50"/>
      <w:ind w:firstLine="200" w:firstLineChars="200"/>
    </w:pPr>
    <w:rPr>
      <w:rFonts w:ascii="等线" w:hAnsi="等线" w:eastAsia="等线" w:cs="宋体"/>
      <w:kern w:val="0"/>
      <w:sz w:val="21"/>
      <w:szCs w:val="21"/>
      <w:lang w:val="en-US" w:eastAsia="zh-CN" w:bidi="ar-SA"/>
    </w:rPr>
  </w:style>
  <w:style w:type="paragraph" w:styleId="2">
    <w:name w:val="heading 1"/>
    <w:basedOn w:val="1"/>
    <w:link w:val="32"/>
    <w:qFormat/>
    <w:uiPriority w:val="9"/>
    <w:pPr>
      <w:spacing w:before="423" w:beforeLines="100" w:after="317" w:afterLines="75" w:line="400" w:lineRule="exact"/>
      <w:ind w:firstLine="0" w:firstLineChars="0"/>
      <w:jc w:val="center"/>
      <w:outlineLvl w:val="0"/>
    </w:pPr>
    <w:rPr>
      <w:rFonts w:eastAsia="宋体"/>
      <w:b/>
      <w:bCs/>
      <w:kern w:val="36"/>
      <w:sz w:val="24"/>
      <w:szCs w:val="24"/>
    </w:rPr>
  </w:style>
  <w:style w:type="paragraph" w:styleId="3">
    <w:name w:val="heading 2"/>
    <w:basedOn w:val="1"/>
    <w:next w:val="1"/>
    <w:link w:val="51"/>
    <w:unhideWhenUsed/>
    <w:qFormat/>
    <w:uiPriority w:val="9"/>
    <w:pPr>
      <w:keepNext/>
      <w:keepLines/>
      <w:spacing w:before="211" w:line="400" w:lineRule="exact"/>
      <w:ind w:firstLine="0" w:firstLineChars="0"/>
      <w:jc w:val="center"/>
      <w:outlineLvl w:val="1"/>
    </w:pPr>
    <w:rPr>
      <w:rFonts w:cstheme="majorBidi"/>
      <w:b/>
      <w:bCs/>
      <w:szCs w:val="32"/>
    </w:rPr>
  </w:style>
  <w:style w:type="paragraph" w:styleId="4">
    <w:name w:val="heading 3"/>
    <w:basedOn w:val="1"/>
    <w:next w:val="1"/>
    <w:link w:val="5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59"/>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5">
    <w:name w:val="Default Paragraph Font"/>
    <w:semiHidden/>
    <w:unhideWhenUsed/>
    <w:uiPriority w:val="1"/>
  </w:style>
  <w:style w:type="table" w:default="1" w:styleId="23">
    <w:name w:val="Normal Table"/>
    <w:semiHidden/>
    <w:unhideWhenUsed/>
    <w:uiPriority w:val="99"/>
    <w:tblPr>
      <w:tblCellMar>
        <w:top w:w="0" w:type="dxa"/>
        <w:left w:w="108" w:type="dxa"/>
        <w:bottom w:w="0" w:type="dxa"/>
        <w:right w:w="108" w:type="dxa"/>
      </w:tblCellMar>
    </w:tblPr>
  </w:style>
  <w:style w:type="paragraph" w:styleId="6">
    <w:name w:val="toc 7"/>
    <w:basedOn w:val="1"/>
    <w:next w:val="1"/>
    <w:autoRedefine/>
    <w:unhideWhenUsed/>
    <w:uiPriority w:val="39"/>
    <w:pPr>
      <w:spacing w:before="0"/>
      <w:ind w:left="1260"/>
    </w:pPr>
    <w:rPr>
      <w:rFonts w:asciiTheme="minorHAnsi" w:eastAsiaTheme="minorHAnsi"/>
      <w:sz w:val="18"/>
      <w:szCs w:val="18"/>
    </w:rPr>
  </w:style>
  <w:style w:type="paragraph" w:styleId="7">
    <w:name w:val="annotation text"/>
    <w:basedOn w:val="1"/>
    <w:link w:val="47"/>
    <w:unhideWhenUsed/>
    <w:uiPriority w:val="99"/>
  </w:style>
  <w:style w:type="paragraph" w:styleId="8">
    <w:name w:val="toc 5"/>
    <w:basedOn w:val="1"/>
    <w:next w:val="1"/>
    <w:autoRedefine/>
    <w:unhideWhenUsed/>
    <w:uiPriority w:val="39"/>
    <w:pPr>
      <w:spacing w:before="0"/>
      <w:ind w:left="840"/>
    </w:pPr>
    <w:rPr>
      <w:rFonts w:asciiTheme="minorHAnsi" w:eastAsiaTheme="minorHAnsi"/>
      <w:sz w:val="18"/>
      <w:szCs w:val="18"/>
    </w:rPr>
  </w:style>
  <w:style w:type="paragraph" w:styleId="9">
    <w:name w:val="toc 3"/>
    <w:basedOn w:val="1"/>
    <w:next w:val="1"/>
    <w:autoRedefine/>
    <w:unhideWhenUsed/>
    <w:uiPriority w:val="39"/>
    <w:pPr>
      <w:spacing w:before="0"/>
      <w:ind w:left="420"/>
    </w:pPr>
    <w:rPr>
      <w:rFonts w:asciiTheme="minorHAnsi" w:eastAsiaTheme="minorHAnsi"/>
      <w:i/>
      <w:iCs/>
      <w:sz w:val="20"/>
      <w:szCs w:val="20"/>
    </w:rPr>
  </w:style>
  <w:style w:type="paragraph" w:styleId="10">
    <w:name w:val="toc 8"/>
    <w:basedOn w:val="1"/>
    <w:next w:val="1"/>
    <w:autoRedefine/>
    <w:unhideWhenUsed/>
    <w:uiPriority w:val="39"/>
    <w:pPr>
      <w:spacing w:before="0"/>
      <w:ind w:left="1470"/>
    </w:pPr>
    <w:rPr>
      <w:rFonts w:asciiTheme="minorHAnsi" w:eastAsiaTheme="minorHAnsi"/>
      <w:sz w:val="18"/>
      <w:szCs w:val="18"/>
    </w:rPr>
  </w:style>
  <w:style w:type="paragraph" w:styleId="11">
    <w:name w:val="Balloon Text"/>
    <w:basedOn w:val="1"/>
    <w:link w:val="49"/>
    <w:semiHidden/>
    <w:unhideWhenUsed/>
    <w:uiPriority w:val="99"/>
    <w:rPr>
      <w:rFonts w:ascii="Times New Roman" w:hAnsi="Times New Roman" w:cs="Times New Roman"/>
      <w:sz w:val="18"/>
      <w:szCs w:val="18"/>
    </w:rPr>
  </w:style>
  <w:style w:type="paragraph" w:styleId="12">
    <w:name w:val="footer"/>
    <w:basedOn w:val="1"/>
    <w:link w:val="31"/>
    <w:unhideWhenUsed/>
    <w:uiPriority w:val="99"/>
    <w:pPr>
      <w:tabs>
        <w:tab w:val="center" w:pos="4153"/>
        <w:tab w:val="right" w:pos="8306"/>
      </w:tabs>
      <w:snapToGrid w:val="0"/>
    </w:pPr>
    <w:rPr>
      <w:sz w:val="18"/>
      <w:szCs w:val="18"/>
    </w:rPr>
  </w:style>
  <w:style w:type="paragraph" w:styleId="13">
    <w:name w:val="header"/>
    <w:basedOn w:val="1"/>
    <w:link w:val="30"/>
    <w:unhideWhenUsed/>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2"/>
    <w:next w:val="2"/>
    <w:autoRedefine/>
    <w:unhideWhenUsed/>
    <w:uiPriority w:val="39"/>
    <w:pPr>
      <w:tabs>
        <w:tab w:val="right" w:pos="9730"/>
      </w:tabs>
      <w:spacing w:before="0" w:beforeLines="0" w:after="0" w:afterLines="0" w:line="240" w:lineRule="auto"/>
      <w:jc w:val="left"/>
      <w:outlineLvl w:val="9"/>
    </w:pPr>
    <w:rPr>
      <w:rFonts w:asciiTheme="minorHAnsi"/>
      <w:b w:val="0"/>
      <w:caps/>
      <w:kern w:val="0"/>
      <w:sz w:val="21"/>
      <w:szCs w:val="20"/>
    </w:rPr>
  </w:style>
  <w:style w:type="paragraph" w:styleId="15">
    <w:name w:val="toc 4"/>
    <w:basedOn w:val="1"/>
    <w:next w:val="1"/>
    <w:autoRedefine/>
    <w:unhideWhenUsed/>
    <w:uiPriority w:val="39"/>
    <w:pPr>
      <w:spacing w:before="0"/>
      <w:ind w:left="630"/>
    </w:pPr>
    <w:rPr>
      <w:rFonts w:asciiTheme="minorHAnsi" w:eastAsiaTheme="minorHAnsi"/>
      <w:sz w:val="18"/>
      <w:szCs w:val="18"/>
    </w:rPr>
  </w:style>
  <w:style w:type="paragraph" w:styleId="16">
    <w:name w:val="Subtitle"/>
    <w:basedOn w:val="1"/>
    <w:next w:val="1"/>
    <w:link w:val="56"/>
    <w:qFormat/>
    <w:uiPriority w:val="11"/>
    <w:pPr>
      <w:spacing w:before="60" w:after="60" w:line="312" w:lineRule="auto"/>
      <w:jc w:val="center"/>
      <w:outlineLvl w:val="1"/>
    </w:pPr>
    <w:rPr>
      <w:rFonts w:asciiTheme="minorHAnsi" w:hAnsiTheme="minorHAnsi" w:cstheme="minorBidi"/>
      <w:bCs/>
      <w:kern w:val="28"/>
      <w:szCs w:val="32"/>
    </w:rPr>
  </w:style>
  <w:style w:type="paragraph" w:styleId="17">
    <w:name w:val="toc 6"/>
    <w:basedOn w:val="1"/>
    <w:next w:val="1"/>
    <w:autoRedefine/>
    <w:unhideWhenUsed/>
    <w:uiPriority w:val="39"/>
    <w:pPr>
      <w:spacing w:before="0"/>
      <w:ind w:left="1050"/>
    </w:pPr>
    <w:rPr>
      <w:rFonts w:asciiTheme="minorHAnsi" w:eastAsiaTheme="minorHAnsi"/>
      <w:sz w:val="18"/>
      <w:szCs w:val="18"/>
    </w:rPr>
  </w:style>
  <w:style w:type="paragraph" w:styleId="18">
    <w:name w:val="toc 2"/>
    <w:basedOn w:val="1"/>
    <w:next w:val="1"/>
    <w:autoRedefine/>
    <w:unhideWhenUsed/>
    <w:uiPriority w:val="39"/>
    <w:pPr>
      <w:spacing w:before="0" w:beforeLines="0"/>
    </w:pPr>
    <w:rPr>
      <w:rFonts w:asciiTheme="minorHAnsi" w:eastAsiaTheme="minorHAnsi"/>
      <w:smallCaps/>
      <w:szCs w:val="20"/>
    </w:rPr>
  </w:style>
  <w:style w:type="paragraph" w:styleId="19">
    <w:name w:val="toc 9"/>
    <w:basedOn w:val="1"/>
    <w:next w:val="1"/>
    <w:autoRedefine/>
    <w:unhideWhenUsed/>
    <w:uiPriority w:val="39"/>
    <w:pPr>
      <w:spacing w:before="0"/>
      <w:ind w:left="1680"/>
    </w:pPr>
    <w:rPr>
      <w:rFonts w:asciiTheme="minorHAnsi" w:eastAsiaTheme="minorHAnsi"/>
      <w:sz w:val="18"/>
      <w:szCs w:val="18"/>
    </w:rPr>
  </w:style>
  <w:style w:type="paragraph" w:styleId="20">
    <w:name w:val="Normal (Web)"/>
    <w:basedOn w:val="1"/>
    <w:autoRedefine/>
    <w:unhideWhenUsed/>
    <w:qFormat/>
    <w:uiPriority w:val="99"/>
    <w:pPr>
      <w:spacing w:before="100" w:beforeAutospacing="1" w:after="100" w:afterAutospacing="1"/>
    </w:pPr>
  </w:style>
  <w:style w:type="paragraph" w:styleId="21">
    <w:name w:val="Title"/>
    <w:basedOn w:val="1"/>
    <w:next w:val="1"/>
    <w:link w:val="55"/>
    <w:qFormat/>
    <w:uiPriority w:val="10"/>
    <w:pPr>
      <w:spacing w:before="240" w:after="60"/>
      <w:jc w:val="center"/>
      <w:outlineLvl w:val="0"/>
    </w:pPr>
    <w:rPr>
      <w:rFonts w:eastAsia="Songti SC" w:asciiTheme="majorHAnsi" w:hAnsiTheme="majorHAnsi" w:cstheme="majorBidi"/>
      <w:b/>
      <w:bCs/>
      <w:sz w:val="32"/>
      <w:szCs w:val="32"/>
    </w:rPr>
  </w:style>
  <w:style w:type="paragraph" w:styleId="22">
    <w:name w:val="annotation subject"/>
    <w:basedOn w:val="7"/>
    <w:next w:val="7"/>
    <w:link w:val="48"/>
    <w:autoRedefine/>
    <w:semiHidden/>
    <w:unhideWhenUsed/>
    <w:qFormat/>
    <w:uiPriority w:val="99"/>
    <w:rPr>
      <w:b/>
      <w:bCs/>
    </w:rPr>
  </w:style>
  <w:style w:type="table" w:styleId="24">
    <w:name w:val="Table Grid"/>
    <w:basedOn w:val="2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page number"/>
    <w:basedOn w:val="25"/>
    <w:semiHidden/>
    <w:unhideWhenUsed/>
    <w:uiPriority w:val="99"/>
  </w:style>
  <w:style w:type="character" w:styleId="27">
    <w:name w:val="FollowedHyperlink"/>
    <w:basedOn w:val="25"/>
    <w:semiHidden/>
    <w:unhideWhenUsed/>
    <w:uiPriority w:val="99"/>
    <w:rPr>
      <w:color w:val="954F72" w:themeColor="followedHyperlink"/>
      <w:u w:val="single"/>
      <w14:textFill>
        <w14:solidFill>
          <w14:schemeClr w14:val="folHlink"/>
        </w14:solidFill>
      </w14:textFill>
    </w:rPr>
  </w:style>
  <w:style w:type="character" w:styleId="28">
    <w:name w:val="Hyperlink"/>
    <w:basedOn w:val="25"/>
    <w:autoRedefine/>
    <w:unhideWhenUsed/>
    <w:qFormat/>
    <w:uiPriority w:val="99"/>
    <w:rPr>
      <w:color w:val="0000FF"/>
      <w:u w:val="none"/>
    </w:rPr>
  </w:style>
  <w:style w:type="character" w:styleId="29">
    <w:name w:val="annotation reference"/>
    <w:basedOn w:val="25"/>
    <w:semiHidden/>
    <w:unhideWhenUsed/>
    <w:uiPriority w:val="99"/>
    <w:rPr>
      <w:sz w:val="21"/>
      <w:szCs w:val="21"/>
    </w:rPr>
  </w:style>
  <w:style w:type="character" w:customStyle="1" w:styleId="30">
    <w:name w:val="页眉 字符"/>
    <w:basedOn w:val="25"/>
    <w:link w:val="13"/>
    <w:uiPriority w:val="99"/>
    <w:rPr>
      <w:sz w:val="18"/>
      <w:szCs w:val="18"/>
    </w:rPr>
  </w:style>
  <w:style w:type="character" w:customStyle="1" w:styleId="31">
    <w:name w:val="页脚 字符"/>
    <w:basedOn w:val="25"/>
    <w:link w:val="12"/>
    <w:uiPriority w:val="99"/>
    <w:rPr>
      <w:sz w:val="18"/>
      <w:szCs w:val="18"/>
    </w:rPr>
  </w:style>
  <w:style w:type="character" w:customStyle="1" w:styleId="32">
    <w:name w:val="标题 1 字符"/>
    <w:basedOn w:val="25"/>
    <w:link w:val="2"/>
    <w:uiPriority w:val="9"/>
    <w:rPr>
      <w:rFonts w:ascii="等线" w:hAnsi="等线" w:eastAsia="宋体" w:cs="宋体"/>
      <w:b/>
      <w:bCs/>
      <w:kern w:val="36"/>
    </w:rPr>
  </w:style>
  <w:style w:type="paragraph" w:customStyle="1" w:styleId="33">
    <w:name w:val="doc-a"/>
    <w:basedOn w:val="1"/>
    <w:uiPriority w:val="0"/>
    <w:pPr>
      <w:spacing w:before="100" w:beforeAutospacing="1" w:after="100" w:afterAutospacing="1"/>
      <w:ind w:firstLine="480"/>
    </w:pPr>
    <w:rPr>
      <w:rFonts w:ascii="微软雅黑" w:hAnsi="微软雅黑" w:eastAsia="微软雅黑"/>
    </w:rPr>
  </w:style>
  <w:style w:type="paragraph" w:customStyle="1" w:styleId="34">
    <w:name w:val="cnsubtitle"/>
    <w:basedOn w:val="1"/>
    <w:semiHidden/>
    <w:uiPriority w:val="99"/>
    <w:pPr>
      <w:spacing w:before="315" w:after="315" w:line="300" w:lineRule="exact"/>
    </w:pPr>
    <w:rPr>
      <w:rFonts w:ascii="微软雅黑" w:hAnsi="微软雅黑" w:eastAsia="微软雅黑"/>
    </w:rPr>
  </w:style>
  <w:style w:type="paragraph" w:customStyle="1" w:styleId="35">
    <w:name w:val="cntitle"/>
    <w:basedOn w:val="1"/>
    <w:semiHidden/>
    <w:uiPriority w:val="99"/>
    <w:pPr>
      <w:spacing w:before="150" w:after="150"/>
      <w:ind w:left="150" w:right="150"/>
      <w:jc w:val="center"/>
    </w:pPr>
    <w:rPr>
      <w:rFonts w:ascii="微软雅黑" w:hAnsi="微软雅黑" w:eastAsia="微软雅黑"/>
      <w:b/>
      <w:bCs/>
      <w:vanish/>
    </w:rPr>
  </w:style>
  <w:style w:type="paragraph" w:customStyle="1" w:styleId="36">
    <w:name w:val="promulgatetitle"/>
    <w:basedOn w:val="1"/>
    <w:semiHidden/>
    <w:uiPriority w:val="99"/>
    <w:pPr>
      <w:spacing w:before="100" w:beforeAutospacing="1" w:after="100" w:afterAutospacing="1"/>
      <w:jc w:val="center"/>
    </w:pPr>
    <w:rPr>
      <w:rFonts w:ascii="微软雅黑" w:hAnsi="微软雅黑" w:eastAsia="微软雅黑"/>
      <w:b/>
      <w:bCs/>
      <w:vanish/>
    </w:rPr>
  </w:style>
  <w:style w:type="paragraph" w:customStyle="1" w:styleId="37">
    <w:name w:val="promulgatesubtitle"/>
    <w:basedOn w:val="1"/>
    <w:semiHidden/>
    <w:uiPriority w:val="99"/>
    <w:pPr>
      <w:spacing w:before="150" w:after="150"/>
      <w:ind w:left="150" w:right="150"/>
      <w:jc w:val="center"/>
    </w:pPr>
    <w:rPr>
      <w:rFonts w:ascii="微软雅黑" w:hAnsi="微软雅黑" w:eastAsia="微软雅黑"/>
      <w:sz w:val="23"/>
      <w:szCs w:val="23"/>
    </w:rPr>
  </w:style>
  <w:style w:type="paragraph" w:customStyle="1" w:styleId="38">
    <w:name w:val="promulgatedate"/>
    <w:basedOn w:val="1"/>
    <w:autoRedefine/>
    <w:qFormat/>
    <w:uiPriority w:val="0"/>
    <w:pPr>
      <w:jc w:val="right"/>
    </w:pPr>
  </w:style>
  <w:style w:type="paragraph" w:customStyle="1" w:styleId="39">
    <w:name w:val="promulgatesignatory"/>
    <w:basedOn w:val="1"/>
    <w:uiPriority w:val="0"/>
    <w:pPr>
      <w:jc w:val="right"/>
    </w:pPr>
  </w:style>
  <w:style w:type="paragraph" w:customStyle="1" w:styleId="40">
    <w:name w:val="标题1"/>
    <w:basedOn w:val="1"/>
    <w:autoRedefine/>
    <w:semiHidden/>
    <w:qFormat/>
    <w:uiPriority w:val="99"/>
    <w:pPr>
      <w:spacing w:before="100" w:beforeAutospacing="1" w:after="100" w:afterAutospacing="1"/>
      <w:ind w:firstLine="480"/>
    </w:pPr>
    <w:rPr>
      <w:rFonts w:ascii="微软雅黑" w:hAnsi="微软雅黑" w:eastAsia="微软雅黑"/>
    </w:rPr>
  </w:style>
  <w:style w:type="paragraph" w:customStyle="1" w:styleId="41">
    <w:name w:val="catalog-a"/>
    <w:basedOn w:val="1"/>
    <w:autoRedefine/>
    <w:semiHidden/>
    <w:uiPriority w:val="99"/>
    <w:pPr>
      <w:spacing w:before="100" w:beforeAutospacing="1" w:after="100" w:afterAutospacing="1"/>
    </w:pPr>
  </w:style>
  <w:style w:type="character" w:customStyle="1" w:styleId="42">
    <w:name w:val="chaptertitle"/>
    <w:basedOn w:val="25"/>
    <w:autoRedefine/>
    <w:qFormat/>
    <w:uiPriority w:val="0"/>
    <w:rPr>
      <w:rFonts w:hint="eastAsia" w:ascii="微软雅黑" w:hAnsi="微软雅黑" w:eastAsia="微软雅黑"/>
      <w:b/>
      <w:bCs/>
      <w:sz w:val="21"/>
      <w:szCs w:val="21"/>
    </w:rPr>
  </w:style>
  <w:style w:type="character" w:customStyle="1" w:styleId="43">
    <w:name w:val="metaname1"/>
    <w:basedOn w:val="25"/>
    <w:autoRedefine/>
    <w:uiPriority w:val="0"/>
    <w:rPr>
      <w:rFonts w:hint="eastAsia" w:ascii="微软雅黑" w:hAnsi="微软雅黑" w:eastAsia="微软雅黑"/>
      <w:b/>
      <w:bCs/>
      <w:sz w:val="21"/>
      <w:szCs w:val="21"/>
    </w:rPr>
  </w:style>
  <w:style w:type="character" w:customStyle="1" w:styleId="44">
    <w:name w:val="sect2title1"/>
    <w:basedOn w:val="25"/>
    <w:uiPriority w:val="0"/>
    <w:rPr>
      <w:rFonts w:hint="eastAsia" w:ascii="微软雅黑" w:hAnsi="微软雅黑" w:eastAsia="微软雅黑"/>
      <w:b/>
      <w:bCs/>
      <w:sz w:val="21"/>
      <w:szCs w:val="21"/>
    </w:rPr>
  </w:style>
  <w:style w:type="character" w:customStyle="1" w:styleId="45">
    <w:name w:val="title1"/>
    <w:basedOn w:val="25"/>
    <w:uiPriority w:val="0"/>
    <w:rPr>
      <w:rFonts w:hint="eastAsia" w:ascii="微软雅黑" w:hAnsi="微软雅黑" w:eastAsia="微软雅黑"/>
      <w:sz w:val="21"/>
      <w:szCs w:val="21"/>
    </w:rPr>
  </w:style>
  <w:style w:type="character" w:customStyle="1" w:styleId="46">
    <w:name w:val="sect1title1"/>
    <w:basedOn w:val="25"/>
    <w:autoRedefine/>
    <w:qFormat/>
    <w:uiPriority w:val="0"/>
    <w:rPr>
      <w:rFonts w:hint="eastAsia" w:ascii="微软雅黑" w:hAnsi="微软雅黑" w:eastAsia="微软雅黑"/>
      <w:b/>
      <w:bCs/>
      <w:sz w:val="21"/>
      <w:szCs w:val="21"/>
    </w:rPr>
  </w:style>
  <w:style w:type="character" w:customStyle="1" w:styleId="47">
    <w:name w:val="批注文字 字符"/>
    <w:basedOn w:val="25"/>
    <w:link w:val="7"/>
    <w:uiPriority w:val="99"/>
    <w:rPr>
      <w:rFonts w:ascii="宋体" w:hAnsi="宋体" w:eastAsia="宋体" w:cs="宋体"/>
      <w:kern w:val="0"/>
    </w:rPr>
  </w:style>
  <w:style w:type="character" w:customStyle="1" w:styleId="48">
    <w:name w:val="批注主题 字符"/>
    <w:basedOn w:val="47"/>
    <w:link w:val="22"/>
    <w:autoRedefine/>
    <w:semiHidden/>
    <w:uiPriority w:val="99"/>
    <w:rPr>
      <w:rFonts w:ascii="宋体" w:hAnsi="宋体" w:eastAsia="宋体" w:cs="宋体"/>
      <w:b/>
      <w:bCs/>
      <w:kern w:val="0"/>
    </w:rPr>
  </w:style>
  <w:style w:type="character" w:customStyle="1" w:styleId="49">
    <w:name w:val="批注框文本 字符"/>
    <w:basedOn w:val="25"/>
    <w:link w:val="11"/>
    <w:semiHidden/>
    <w:uiPriority w:val="99"/>
    <w:rPr>
      <w:rFonts w:ascii="Times New Roman" w:hAnsi="Times New Roman" w:eastAsia="宋体" w:cs="Times New Roman"/>
      <w:kern w:val="0"/>
      <w:sz w:val="18"/>
      <w:szCs w:val="18"/>
    </w:rPr>
  </w:style>
  <w:style w:type="character" w:customStyle="1" w:styleId="50">
    <w:name w:val="标题 3 字符"/>
    <w:basedOn w:val="25"/>
    <w:link w:val="4"/>
    <w:uiPriority w:val="9"/>
    <w:rPr>
      <w:rFonts w:ascii="等线" w:hAnsi="等线" w:eastAsia="等线" w:cs="宋体"/>
      <w:b/>
      <w:bCs/>
      <w:kern w:val="0"/>
      <w:szCs w:val="32"/>
    </w:rPr>
  </w:style>
  <w:style w:type="character" w:customStyle="1" w:styleId="51">
    <w:name w:val="标题 2 字符"/>
    <w:basedOn w:val="25"/>
    <w:link w:val="3"/>
    <w:uiPriority w:val="9"/>
    <w:rPr>
      <w:rFonts w:ascii="等线" w:hAnsi="等线" w:eastAsia="等线" w:cstheme="majorBidi"/>
      <w:b/>
      <w:bCs/>
      <w:kern w:val="0"/>
      <w:sz w:val="21"/>
      <w:szCs w:val="32"/>
    </w:rPr>
  </w:style>
  <w:style w:type="paragraph" w:customStyle="1" w:styleId="52">
    <w:name w:val="TOC Heading"/>
    <w:basedOn w:val="2"/>
    <w:next w:val="1"/>
    <w:unhideWhenUsed/>
    <w:qFormat/>
    <w:uiPriority w:val="39"/>
    <w:pPr>
      <w:keepNext/>
      <w:keepLines/>
      <w:spacing w:before="480" w:after="0" w:line="276" w:lineRule="auto"/>
      <w:outlineLvl w:val="9"/>
    </w:pPr>
    <w:rPr>
      <w:rFonts w:asciiTheme="majorHAnsi" w:hAnsiTheme="majorHAnsi" w:eastAsiaTheme="majorEastAsia" w:cstheme="majorBidi"/>
      <w:color w:val="2F5597" w:themeColor="accent1" w:themeShade="BF"/>
      <w:kern w:val="0"/>
      <w:szCs w:val="28"/>
    </w:rPr>
  </w:style>
  <w:style w:type="table" w:customStyle="1" w:styleId="53">
    <w:name w:val="Grid Table Light"/>
    <w:basedOn w:val="23"/>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customStyle="1" w:styleId="54">
    <w:name w:val="Revision"/>
    <w:hidden/>
    <w:semiHidden/>
    <w:uiPriority w:val="99"/>
    <w:rPr>
      <w:rFonts w:ascii="宋体" w:hAnsi="宋体" w:eastAsia="宋体" w:cs="宋体"/>
      <w:kern w:val="0"/>
      <w:sz w:val="24"/>
      <w:szCs w:val="24"/>
      <w:lang w:val="en-US" w:eastAsia="zh-CN" w:bidi="ar-SA"/>
    </w:rPr>
  </w:style>
  <w:style w:type="character" w:customStyle="1" w:styleId="55">
    <w:name w:val="标题 字符"/>
    <w:basedOn w:val="25"/>
    <w:link w:val="21"/>
    <w:uiPriority w:val="10"/>
    <w:rPr>
      <w:rFonts w:eastAsia="Songti SC" w:asciiTheme="majorHAnsi" w:hAnsiTheme="majorHAnsi" w:cstheme="majorBidi"/>
      <w:b/>
      <w:bCs/>
      <w:kern w:val="0"/>
      <w:sz w:val="32"/>
      <w:szCs w:val="32"/>
    </w:rPr>
  </w:style>
  <w:style w:type="character" w:customStyle="1" w:styleId="56">
    <w:name w:val="副标题 字符"/>
    <w:basedOn w:val="25"/>
    <w:link w:val="16"/>
    <w:uiPriority w:val="11"/>
    <w:rPr>
      <w:rFonts w:eastAsia="等线"/>
      <w:bCs/>
      <w:kern w:val="28"/>
      <w:sz w:val="21"/>
      <w:szCs w:val="32"/>
    </w:rPr>
  </w:style>
  <w:style w:type="paragraph" w:styleId="57">
    <w:name w:val="Quote"/>
    <w:basedOn w:val="1"/>
    <w:next w:val="1"/>
    <w:link w:val="58"/>
    <w:qFormat/>
    <w:uiPriority w:val="29"/>
    <w:pPr>
      <w:spacing w:before="25" w:beforeLines="25" w:line="240" w:lineRule="exact"/>
    </w:pPr>
    <w:rPr>
      <w:iCs/>
      <w:color w:val="404040" w:themeColor="text1" w:themeTint="BF"/>
      <w14:textFill>
        <w14:solidFill>
          <w14:schemeClr w14:val="tx1">
            <w14:lumMod w14:val="75000"/>
            <w14:lumOff w14:val="25000"/>
          </w14:schemeClr>
        </w14:solidFill>
      </w14:textFill>
    </w:rPr>
  </w:style>
  <w:style w:type="character" w:customStyle="1" w:styleId="58">
    <w:name w:val="引用 字符"/>
    <w:basedOn w:val="25"/>
    <w:link w:val="57"/>
    <w:uiPriority w:val="29"/>
    <w:rPr>
      <w:rFonts w:ascii="等线" w:hAnsi="等线" w:eastAsia="等线" w:cs="宋体"/>
      <w:iCs/>
      <w:color w:val="404040" w:themeColor="text1" w:themeTint="BF"/>
      <w:kern w:val="0"/>
      <w:sz w:val="21"/>
      <w:szCs w:val="21"/>
      <w14:textFill>
        <w14:solidFill>
          <w14:schemeClr w14:val="tx1">
            <w14:lumMod w14:val="75000"/>
            <w14:lumOff w14:val="25000"/>
          </w14:schemeClr>
        </w14:solidFill>
      </w14:textFill>
    </w:rPr>
  </w:style>
  <w:style w:type="character" w:customStyle="1" w:styleId="59">
    <w:name w:val="标题 4 字符"/>
    <w:basedOn w:val="25"/>
    <w:link w:val="5"/>
    <w:autoRedefine/>
    <w:semiHidden/>
    <w:qFormat/>
    <w:uiPriority w:val="9"/>
    <w:rPr>
      <w:rFonts w:asciiTheme="majorHAnsi" w:hAnsiTheme="majorHAnsi" w:eastAsiaTheme="majorEastAsia" w:cstheme="majorBidi"/>
      <w:b/>
      <w:bCs/>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datastoreItem>
</file>

<file path=docProps/app.xml><?xml version="1.0" encoding="utf-8"?>
<Properties xmlns="http://schemas.openxmlformats.org/officeDocument/2006/extended-properties" xmlns:vt="http://schemas.openxmlformats.org/officeDocument/2006/docPropsVTypes">
  <Template>Normal.dotm</Template>
  <Pages>8</Pages>
  <Words>108</Words>
  <Characters>622</Characters>
  <Lines>5</Lines>
  <Paragraphs>1</Paragraphs>
  <TotalTime>502</TotalTime>
  <ScaleCrop>false</ScaleCrop>
  <LinksUpToDate>false</LinksUpToDate>
  <CharactersWithSpaces>729</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2017-10-10T03:02:00Z</dcterms:created>
  <dc:creator>Banian</dc:creator>
  <cp:lastModifiedBy>Banian</cp:lastModifiedBy>
  <cp:lastPrinted>2018-09-08T01:56:00Z</cp:lastPrinted>
  <dcterms:modified xsi:type="dcterms:W3CDTF">2024-05-17T01:34:45Z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ED6ED3F5BD3145A48C1D379A5AF41234_12</vt:lpwstr>
  </property>
</Properties>
</file>