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11" w:beforeLines="50" w:after="423" w:afterLines="100"/>
        <w:ind w:firstLine="0" w:firstLineChars="0"/>
        <w:jc w:val="center"/>
        <w:rPr>
          <w:rFonts w:ascii="宋体" w:hAnsi="宋体" w:eastAsia="宋体"/>
          <w:b/>
          <w:sz w:val="32"/>
          <w:szCs w:val="32"/>
        </w:rPr>
      </w:pPr>
      <w:r>
        <w:fldChar w:fldCharType="begin"/>
      </w:r>
      <w:r>
        <w:instrText xml:space="preserve"> HYPERLINK "https://alphalawyer.cn/ilawregu-search/api/v1/lawregu/redict/e97ea087f59c8914275d8efdcebdf5ac" </w:instrText>
      </w:r>
      <w:r>
        <w:fldChar w:fldCharType="separate"/>
      </w:r>
      <w:r>
        <w:rPr>
          <w:rFonts w:hint="eastAsia" w:ascii="宋体" w:hAnsi="宋体" w:eastAsia="宋体"/>
          <w:b/>
          <w:sz w:val="32"/>
          <w:szCs w:val="32"/>
        </w:rPr>
        <w:t>住房城乡建设部关于加强城市电动汽车充电设施规划建设工作的通知</w:t>
      </w:r>
      <w:r>
        <w:rPr>
          <w:rFonts w:hint="eastAsia" w:ascii="宋体" w:hAnsi="宋体" w:eastAsia="宋体"/>
          <w:b/>
          <w:sz w:val="32"/>
          <w:szCs w:val="32"/>
        </w:rPr>
        <w:fldChar w:fldCharType="end"/>
      </w:r>
    </w:p>
    <w:p>
      <w:pPr>
        <w:spacing w:before="105"/>
        <w:ind w:firstLine="420"/>
      </w:pPr>
      <w:r>
        <w:rPr>
          <w:rStyle w:val="44"/>
          <w:rFonts w:ascii="宋体" w:hAnsi="宋体" w:eastAsia="宋体"/>
        </w:rPr>
        <w:t xml:space="preserve">时效性：  </w:t>
      </w:r>
      <w:r>
        <w:rPr>
          <w:rStyle w:val="44"/>
          <w:b w:val="0"/>
        </w:rPr>
        <w:t xml:space="preserve">  </w:t>
      </w:r>
      <w:r>
        <w:rPr>
          <w:rFonts w:ascii="宋体" w:hAnsi="宋体" w:eastAsia="宋体"/>
        </w:rPr>
        <w:t>现行有效</w:t>
      </w:r>
    </w:p>
    <w:p>
      <w:pPr>
        <w:spacing w:before="105"/>
        <w:ind w:firstLine="420"/>
      </w:pPr>
      <w:r>
        <w:rPr>
          <w:rStyle w:val="44"/>
          <w:rFonts w:ascii="宋体" w:hAnsi="宋体" w:eastAsia="宋体"/>
        </w:rPr>
        <w:t>发文机关：</w:t>
      </w:r>
      <w:r>
        <w:rPr>
          <w:rStyle w:val="44"/>
          <w:b w:val="0"/>
        </w:rPr>
        <w:t xml:space="preserve">  </w:t>
      </w:r>
      <w:r>
        <w:rPr>
          <w:rFonts w:ascii="宋体" w:hAnsi="宋体" w:eastAsia="宋体"/>
        </w:rPr>
        <w:t>住房和城乡建设部</w:t>
      </w:r>
      <w:bookmarkStart w:id="0" w:name="_GoBack"/>
      <w:bookmarkEnd w:id="0"/>
    </w:p>
    <w:p>
      <w:pPr>
        <w:spacing w:before="105"/>
        <w:ind w:firstLine="420"/>
      </w:pPr>
      <w:r>
        <w:rPr>
          <w:rStyle w:val="44"/>
          <w:rFonts w:ascii="宋体" w:hAnsi="宋体" w:eastAsia="宋体"/>
        </w:rPr>
        <w:t xml:space="preserve">文号：    </w:t>
      </w:r>
      <w:r>
        <w:rPr>
          <w:rStyle w:val="44"/>
          <w:b w:val="0"/>
        </w:rPr>
        <w:t xml:space="preserve">  </w:t>
      </w:r>
      <w:r>
        <w:rPr>
          <w:rFonts w:ascii="宋体" w:hAnsi="宋体" w:eastAsia="宋体"/>
        </w:rPr>
        <w:t>建规〔2015〕199号</w:t>
      </w:r>
    </w:p>
    <w:p>
      <w:pPr>
        <w:spacing w:before="105"/>
        <w:ind w:firstLine="420"/>
      </w:pPr>
      <w:r>
        <w:rPr>
          <w:rStyle w:val="44"/>
          <w:rFonts w:ascii="宋体" w:hAnsi="宋体" w:eastAsia="宋体"/>
        </w:rPr>
        <w:t>发文日期：</w:t>
      </w:r>
      <w:r>
        <w:rPr>
          <w:rStyle w:val="44"/>
          <w:b w:val="0"/>
        </w:rPr>
        <w:t xml:space="preserve">  </w:t>
      </w:r>
      <w:r>
        <w:rPr>
          <w:rFonts w:ascii="宋体" w:hAnsi="宋体" w:eastAsia="宋体"/>
        </w:rPr>
        <w:t>2015年12月07日</w:t>
      </w:r>
    </w:p>
    <w:p>
      <w:pPr>
        <w:spacing w:before="105"/>
        <w:ind w:firstLine="420"/>
      </w:pPr>
      <w:r>
        <w:rPr>
          <w:rStyle w:val="44"/>
          <w:rFonts w:ascii="宋体" w:hAnsi="宋体" w:eastAsia="宋体"/>
        </w:rPr>
        <w:t>施行日期：</w:t>
      </w:r>
      <w:r>
        <w:rPr>
          <w:rStyle w:val="44"/>
          <w:b w:val="0"/>
        </w:rPr>
        <w:t xml:space="preserve">  </w:t>
      </w:r>
      <w:r>
        <w:rPr>
          <w:rFonts w:ascii="宋体" w:hAnsi="宋体" w:eastAsia="宋体"/>
        </w:rPr>
        <w:t>2015年12月07日</w:t>
      </w:r>
    </w:p>
    <w:p>
      <w:pPr>
        <w:spacing w:before="105"/>
        <w:ind w:firstLine="420"/>
      </w:pPr>
      <w:r>
        <w:rPr>
          <w:rStyle w:val="44"/>
          <w:rFonts w:ascii="宋体" w:hAnsi="宋体" w:eastAsia="宋体"/>
        </w:rPr>
        <w:t>效力级别：</w:t>
      </w:r>
      <w:r>
        <w:rPr>
          <w:rStyle w:val="44"/>
          <w:b w:val="0"/>
        </w:rPr>
        <w:t xml:space="preserve">  </w:t>
      </w:r>
      <w:r>
        <w:rPr>
          <w:rFonts w:ascii="宋体" w:hAnsi="宋体" w:eastAsia="宋体"/>
        </w:rPr>
        <w:t>部门规范性文件</w:t>
      </w:r>
    </w:p>
    <w:p>
      <w:pPr>
        <w:spacing w:before="211" w:beforeLines="50" w:after="211" w:afterLines="50"/>
        <w:rPr>
          <w:rFonts w:ascii="宋体" w:hAnsi="宋体" w:eastAsia="宋体"/>
          <w:color w:val="000000"/>
          <w:kern w:val="0"/>
          <w:sz w:val="28"/>
        </w:rPr>
      </w:pPr>
    </w:p>
    <w:p>
      <w:pPr>
        <w:spacing w:before="0" w:beforeLines="0" w:after="0" w:afterLines="0"/>
        <w:ind w:firstLine="420" w:firstLineChars="200"/>
      </w:pPr>
      <w:r>
        <w:rPr>
          <w:rFonts w:hint="default" w:ascii="宋体" w:hAnsi="宋体" w:eastAsia="宋体"/>
        </w:rPr>
        <w:t>各省、自治区住房城乡建设厅，北京市规划委员会，天津市规划局，上海市规划和国土资源管理局，重庆市规划局，新疆生产建设兵团建设局：</w:t>
      </w:r>
    </w:p>
    <w:p>
      <w:pPr>
        <w:spacing w:before="0" w:beforeLines="0" w:after="0" w:afterLines="0"/>
        <w:ind w:firstLine="420" w:firstLineChars="200"/>
      </w:pPr>
      <w:r>
        <w:rPr>
          <w:rFonts w:hint="default" w:ascii="宋体" w:hAnsi="宋体" w:eastAsia="宋体"/>
        </w:rPr>
        <w:t>为全面贯彻落实《国务院办公厅关于加快新能源汽车推广应用的指导意见》（国办发[2014]35号）、《国务院办公厅关于加快电动汽车充电基础设施建设的指导意见》（国办发[2015]73号），加快推进城市电动汽车充电基础设施规划建设，促进电动汽车推广应用，现通知如下：</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一、</w:t>
      </w:r>
      <w:r>
        <w:rPr>
          <w:rStyle w:val="44"/>
          <w:rFonts w:ascii="宋体" w:hAnsi="宋体" w:eastAsia="宋体"/>
          <w:b w:val="0"/>
        </w:rPr>
        <w:t>　</w:t>
      </w:r>
      <w:r>
        <w:rPr>
          <w:rFonts w:hint="default" w:ascii="宋体" w:hAnsi="宋体" w:eastAsia="宋体"/>
        </w:rPr>
        <w:t>充分认识加快推进电动汽车充电基础设施规划建设的重要意义</w:t>
      </w:r>
    </w:p>
    <w:p>
      <w:pPr>
        <w:spacing w:before="0" w:beforeLines="0" w:after="0" w:afterLines="0"/>
        <w:ind w:firstLine="420" w:firstLineChars="200"/>
      </w:pPr>
      <w:r>
        <w:rPr>
          <w:rFonts w:hint="default" w:ascii="宋体" w:hAnsi="宋体" w:eastAsia="宋体"/>
        </w:rPr>
        <w:t>电动汽车充电基础设施（以下简称充电设施）包括充电桩、充电站、换电站等，是新型的城市基础设施，是推广应用电动汽车的基本保障。加快充电设施规划建设，是落实国家新能源汽车产业发展战略的客观需要，是完善城市基础设施、方便居民生活、促进城市低碳发展的重要举措。近年来，我国电动汽车推广应用取得了初步成效，但充电设施建设用地紧张、选址难、建设难、总量不足等问题日益突出。当前，我国电动汽车已经进入快速推广应用时期，到2020年，全国电动汽车保有量将超过500万辆，充电设施严重不足与电动汽车快速增长的矛盾将进一步加剧，加快充电设施规划建设已成为十分重要而紧迫的任务。</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二、</w:t>
      </w:r>
      <w:r>
        <w:rPr>
          <w:rStyle w:val="44"/>
          <w:rFonts w:ascii="宋体" w:hAnsi="宋体" w:eastAsia="宋体"/>
          <w:b w:val="0"/>
        </w:rPr>
        <w:t>　</w:t>
      </w:r>
      <w:r>
        <w:rPr>
          <w:rFonts w:hint="default" w:ascii="宋体" w:hAnsi="宋体" w:eastAsia="宋体"/>
        </w:rPr>
        <w:t>明确重点任务和工作目标</w:t>
      </w:r>
    </w:p>
    <w:p>
      <w:pPr>
        <w:spacing w:before="0" w:beforeLines="0" w:after="0" w:afterLines="0"/>
        <w:ind w:firstLine="420" w:firstLineChars="200"/>
      </w:pPr>
      <w:r>
        <w:rPr>
          <w:rFonts w:hint="default" w:ascii="宋体" w:hAnsi="宋体" w:eastAsia="宋体"/>
        </w:rPr>
        <w:t>全面贯彻国家新能源汽车发展战略和充电设施建设要求，加强和改进城市规划工作，按照“慢充与快充结合、公用与专用结合、近期与远期结合”原则，抓紧制定或完善相关规划，及时将电动汽车充电设施作为城市重要基础设施纳入城市规划，大力推进充电设施建设，推动形成以使用者居住地基本充电设施为主体，以城市公共建筑配建停车场、社会公共停车场、路内临时停车位附建的公共充电设施为辅助，以集中式充、换电站为补充，布局合理、适度超前、车桩相随、智能高效的充电设施体系。原则上，每辆电动汽车要有一个基本充电车位，每个公共建筑配建停车场、社会公共停车场具有充电设施的停车位不少于总车位的10%，每2000辆电动汽车至少配套建设一座快速充换电站，满足不同领域、不同层次电动汽车充电需求，支持和促进电动汽车推广应用。</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三、</w:t>
      </w:r>
      <w:r>
        <w:rPr>
          <w:rStyle w:val="44"/>
          <w:rFonts w:ascii="宋体" w:hAnsi="宋体" w:eastAsia="宋体"/>
          <w:b w:val="0"/>
        </w:rPr>
        <w:t>　</w:t>
      </w:r>
      <w:r>
        <w:rPr>
          <w:rFonts w:hint="default" w:ascii="宋体" w:hAnsi="宋体" w:eastAsia="宋体"/>
        </w:rPr>
        <w:t>加大充电设施规划建设力度</w:t>
      </w:r>
    </w:p>
    <w:p>
      <w:pPr>
        <w:spacing w:before="0" w:beforeLines="0" w:after="0" w:afterLines="0"/>
        <w:ind w:firstLine="420" w:firstLineChars="200"/>
      </w:pPr>
      <w:r>
        <w:rPr>
          <w:rFonts w:hint="default" w:ascii="宋体" w:hAnsi="宋体" w:eastAsia="宋体"/>
        </w:rPr>
        <w:t>（一）统筹制定规划，合理布局充电设施。</w:t>
      </w:r>
    </w:p>
    <w:p>
      <w:pPr>
        <w:spacing w:before="0" w:beforeLines="0" w:after="0" w:afterLines="0"/>
        <w:ind w:firstLine="420" w:firstLineChars="200"/>
      </w:pPr>
      <w:r>
        <w:rPr>
          <w:rFonts w:hint="default" w:ascii="宋体" w:hAnsi="宋体" w:eastAsia="宋体"/>
        </w:rPr>
        <w:t>组织编制各类城市规划应全面落实和完善充电设施规划要求。城市总体规划应将推广应用电动汽车作为推动绿色交通发展的具体措施。城市综合交通体系规划应明确充电设施建设目标和重点建设区域。城市停车规划应规定各类停车场（楼）建设安装充电设施的比例和要求。大城市、特大城市应结合城市发展实际需要编制充电基础设施专项规划，科学确定充电设施建设规模和空间布局。在控制性详细规划中，应注重落实综合交通体系规划、城市停车规划、充电基础设施专项规划等相关规划要求，明确需独立占地的电动汽车充、换电站用地布局。</w:t>
      </w:r>
    </w:p>
    <w:p>
      <w:pPr>
        <w:spacing w:before="0" w:beforeLines="0" w:after="0" w:afterLines="0"/>
        <w:ind w:firstLine="420" w:firstLineChars="200"/>
      </w:pPr>
      <w:r>
        <w:rPr>
          <w:rFonts w:hint="default" w:ascii="宋体" w:hAnsi="宋体" w:eastAsia="宋体"/>
        </w:rPr>
        <w:t>（二）严格新城新区和新建居住（小）区规划标准，切实落实充电设施建设要求。</w:t>
      </w:r>
    </w:p>
    <w:p>
      <w:pPr>
        <w:spacing w:before="0" w:beforeLines="0" w:after="0" w:afterLines="0"/>
        <w:ind w:firstLine="420" w:firstLineChars="200"/>
      </w:pPr>
      <w:r>
        <w:rPr>
          <w:rFonts w:hint="default" w:ascii="宋体" w:hAnsi="宋体" w:eastAsia="宋体"/>
        </w:rPr>
        <w:t>自2016年起，城乡规划主管部门提出的新建居住（小）区和大型公共建筑的规划条件，核发相关建设工程规划许可证时，必须严格执行新建停车场配建充电设施的比例要求，新建住宅配建停车位应100%预留充电设施建设安装条件，新建的大于2万平方米的商场、宾馆、医院、办公楼等大型公共建筑配建停车场和社会公共停车场，具有充电设施的停车位应不少于总停车位的10%。要将相关要求纳入工程建设强制性标准，施工图审查机构在审查住宅项目和大型公共建筑施工图时，应对充电设施设置是否符合工程建设强制性标准进行审核。</w:t>
      </w:r>
    </w:p>
    <w:p>
      <w:pPr>
        <w:spacing w:before="0" w:beforeLines="0" w:after="0" w:afterLines="0"/>
        <w:ind w:firstLine="420" w:firstLineChars="200"/>
      </w:pPr>
      <w:r>
        <w:rPr>
          <w:rFonts w:hint="default" w:ascii="宋体" w:hAnsi="宋体" w:eastAsia="宋体"/>
        </w:rPr>
        <w:t>（三）切实加强老旧居住（小）区充电设施建设，全力解决充电难问题。</w:t>
      </w:r>
    </w:p>
    <w:p>
      <w:pPr>
        <w:spacing w:before="0" w:beforeLines="0" w:after="0" w:afterLines="0"/>
        <w:ind w:firstLine="420" w:firstLineChars="200"/>
      </w:pPr>
      <w:r>
        <w:rPr>
          <w:rFonts w:hint="default" w:ascii="宋体" w:hAnsi="宋体" w:eastAsia="宋体"/>
        </w:rPr>
        <w:t>要加强对业主大会及业主委员会的指导和监督，引导业主结合自身实际，按照“谁使用，谁付费”、“谁投资，谁受益”原则，统一改造居住（小）区停车场，建设安装充电设施。在不影响车辆通行的前提下，允许利用和改造居住（小）区、停车场、城市支路上的照明设施建设充电设施。对停车困难的小区，近期可结合路内临时停车泊位和公共停车场建设分时共享的充电车位；远期应结合老旧小区改造、周边地区开发、机械式和立体式停车设施建设，在新增停车泊位建设安装充电设施，为用户充电创造条件。各地住房城乡建设主管部门应主动协调电力公司做好相关电力基础网络改造工作。</w:t>
      </w:r>
    </w:p>
    <w:p>
      <w:pPr>
        <w:spacing w:before="0" w:beforeLines="0" w:after="0" w:afterLines="0"/>
        <w:ind w:firstLine="420" w:firstLineChars="200"/>
      </w:pPr>
      <w:r>
        <w:rPr>
          <w:rFonts w:hint="default" w:ascii="宋体" w:hAnsi="宋体" w:eastAsia="宋体"/>
        </w:rPr>
        <w:t>（四）积极推动单位既有停车场改造配建充电设施，满足电动汽车出行需求。</w:t>
      </w:r>
    </w:p>
    <w:p>
      <w:pPr>
        <w:spacing w:before="0" w:beforeLines="0" w:after="0" w:afterLines="0"/>
        <w:ind w:firstLine="420" w:firstLineChars="200"/>
      </w:pPr>
      <w:r>
        <w:rPr>
          <w:rFonts w:hint="default" w:ascii="宋体" w:hAnsi="宋体" w:eastAsia="宋体"/>
        </w:rPr>
        <w:t>要争取城市人民政府的支持，抓紧研究制定工作方案，从城市中心区向城市边缘地区、从城市优先发展区域向一般区域，逐步推动具备条件的政府机关、公共机构和企事业单位内部停车场，以及大型商场、超市、文体场馆等建筑物配建停车场，改造或建设安装充电设施，鼓励职工、顾客使用电动汽车出行。城乡规划、建设和停车主管部门要充分发挥市场的主导作用，支持社会公共停车管理单位、充电设施服务运营商在交通枢纽、驻车换乘（P+R)等既有社会公共停车场配建公共充电设施，为充电设施市场化运营、规模化服务创造条件。</w:t>
      </w:r>
    </w:p>
    <w:p>
      <w:pPr>
        <w:spacing w:before="0" w:beforeLines="0" w:after="0" w:afterLines="0"/>
        <w:ind w:firstLine="420" w:firstLineChars="200"/>
      </w:pPr>
      <w:r>
        <w:rPr>
          <w:rFonts w:hint="default" w:ascii="宋体" w:hAnsi="宋体" w:eastAsia="宋体"/>
        </w:rPr>
        <w:t>（五）全力支持公共服务领域建设充电设施，引导特定行业率先应用电动汽车。</w:t>
      </w:r>
    </w:p>
    <w:p>
      <w:pPr>
        <w:spacing w:before="0" w:beforeLines="0" w:after="0" w:afterLines="0"/>
        <w:ind w:firstLine="420" w:firstLineChars="200"/>
      </w:pPr>
      <w:r>
        <w:rPr>
          <w:rFonts w:hint="default" w:ascii="宋体" w:hAnsi="宋体" w:eastAsia="宋体"/>
        </w:rPr>
        <w:t>对于公交、环卫、机场通勤等定点定线运行的公共服务领域电动汽车，应倡导和鼓励优先在专用停车场站配建充电设施。同时，要在沿线的相关控制性详细规划中，合理安排或预留独立占地的快充站和换电站用地，保障线路营运需要。对于出租、物流、租赁、公安巡逻等非定点定线运行的公共服务领域电动汽车，应充分挖掘单位内部停车场站配建充电设施的潜力，并在相应的服务地域，利用加油加气站规划用地、公共停车场用地，适度超前规划建设公共充换电站、充电桩群，支持公共服务行业、市政公用单位率先推广使用电动汽车。</w:t>
      </w:r>
    </w:p>
    <w:p>
      <w:pPr>
        <w:spacing w:before="0" w:beforeLines="0" w:after="0" w:afterLines="0"/>
        <w:ind w:firstLine="420" w:firstLineChars="200"/>
        <w:rPr>
          <w:highlight w:val="yellow"/>
        </w:rPr>
      </w:pPr>
      <w:r>
        <w:rPr>
          <w:rFonts w:hint="default" w:ascii="宋体" w:hAnsi="宋体" w:eastAsia="宋体"/>
          <w:highlight w:val="yellow"/>
        </w:rPr>
        <w:t>（六）简化规划建设审批，加快充电设施建设速度。</w:t>
      </w:r>
    </w:p>
    <w:p>
      <w:pPr>
        <w:spacing w:before="0" w:beforeLines="0" w:after="0" w:afterLines="0"/>
        <w:ind w:firstLine="420" w:firstLineChars="200"/>
        <w:rPr>
          <w:highlight w:val="yellow"/>
        </w:rPr>
      </w:pPr>
      <w:r>
        <w:rPr>
          <w:rFonts w:hint="default" w:ascii="宋体" w:hAnsi="宋体" w:eastAsia="宋体"/>
          <w:highlight w:val="yellow"/>
        </w:rPr>
        <w:t>要根据国办发[2015]73号要求，简化充电设施规划建设审批环节，支持有条件的单位、机构在不影响周边群众生活、交通组织的情况下，在内部停车位（场）改造安装或建设充电设施。自本通知印发之日起，个人在自有停车库、停车位，各居住（小）区、单位在既有停车位安装充电设施的，无需办理建设用地规划许可、建设工程规划许可证和施工许可证。在建设社会公共停车场（楼）时，无需为同步建设的充电桩群等充电设施单独办理建设工程规划许可证和施工许可证。对必须办理规划建设审批手续的新建独立占地的集中式充换电站，应加快办理速度。</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四、</w:t>
      </w:r>
      <w:r>
        <w:rPr>
          <w:rStyle w:val="44"/>
          <w:rFonts w:ascii="宋体" w:hAnsi="宋体" w:eastAsia="宋体"/>
          <w:b w:val="0"/>
        </w:rPr>
        <w:t>　</w:t>
      </w:r>
      <w:r>
        <w:rPr>
          <w:rFonts w:hint="default" w:ascii="宋体" w:hAnsi="宋体" w:eastAsia="宋体"/>
        </w:rPr>
        <w:t>保障措施</w:t>
      </w:r>
    </w:p>
    <w:p>
      <w:pPr>
        <w:spacing w:before="0" w:beforeLines="0" w:after="0" w:afterLines="0"/>
        <w:ind w:firstLine="420" w:firstLineChars="200"/>
      </w:pPr>
      <w:r>
        <w:rPr>
          <w:rFonts w:hint="default" w:ascii="宋体" w:hAnsi="宋体" w:eastAsia="宋体"/>
        </w:rPr>
        <w:t>（一）加强领导组织工作。</w:t>
      </w:r>
    </w:p>
    <w:p>
      <w:pPr>
        <w:spacing w:before="0" w:beforeLines="0" w:after="0" w:afterLines="0"/>
        <w:ind w:firstLine="420" w:firstLineChars="200"/>
      </w:pPr>
      <w:r>
        <w:rPr>
          <w:rFonts w:hint="default" w:ascii="宋体" w:hAnsi="宋体" w:eastAsia="宋体"/>
        </w:rPr>
        <w:t>各地住房城乡建设主管部门要在城市人民政府领导和支持下，根据职责和分工，切实加强对充电设施规划建设工作的组织领导，强化规划引导，注重部门协同配合，完善配套政策，争取财政支持，加强考核监督，统筹有序、全力推进充电设施建设。</w:t>
      </w:r>
    </w:p>
    <w:p>
      <w:pPr>
        <w:spacing w:before="0" w:beforeLines="0" w:after="0" w:afterLines="0"/>
        <w:ind w:firstLine="420" w:firstLineChars="200"/>
      </w:pPr>
      <w:r>
        <w:rPr>
          <w:rFonts w:hint="default" w:ascii="宋体" w:hAnsi="宋体" w:eastAsia="宋体"/>
        </w:rPr>
        <w:t>（二）加大现代信息技术应用力度。</w:t>
      </w:r>
    </w:p>
    <w:p>
      <w:pPr>
        <w:spacing w:before="0" w:beforeLines="0" w:after="0" w:afterLines="0"/>
        <w:ind w:firstLine="420" w:firstLineChars="200"/>
      </w:pPr>
      <w:r>
        <w:rPr>
          <w:rFonts w:hint="default" w:ascii="宋体" w:hAnsi="宋体" w:eastAsia="宋体"/>
        </w:rPr>
        <w:t>要统筹充电设施建设、管理、运营需要，加强与智能电网、互联网、物联网、智能交通、大数据等技术融合，积极探索建立充电智能服务平台，不断提高现代信息技术在充电设施网络中的应用水平，为用户提供充电导航、状态查询、充电预约、费用结算等服务，提升运营效率。</w:t>
      </w:r>
    </w:p>
    <w:p>
      <w:pPr>
        <w:spacing w:before="0" w:beforeLines="0" w:after="0" w:afterLines="0"/>
        <w:ind w:firstLine="420" w:firstLineChars="200"/>
      </w:pPr>
      <w:r>
        <w:rPr>
          <w:rFonts w:hint="default" w:ascii="宋体" w:hAnsi="宋体" w:eastAsia="宋体"/>
        </w:rPr>
        <w:t>（三）及时总结推广先进经验。</w:t>
      </w:r>
    </w:p>
    <w:p>
      <w:pPr>
        <w:spacing w:before="0" w:beforeLines="0" w:after="0" w:afterLines="0"/>
        <w:ind w:firstLine="420" w:firstLineChars="200"/>
      </w:pPr>
      <w:r>
        <w:rPr>
          <w:rFonts w:hint="default" w:ascii="宋体" w:hAnsi="宋体" w:eastAsia="宋体"/>
        </w:rPr>
        <w:t>要积极争取有关部门支持，结合新城新区开发建设和老旧城区改造，在节能与新能源汽车示范推广试点城市、低碳生态试点城市、绿色生态示范城区、可再生能源试点城市，先行先试，积极探索充电设施的规划方法、建设模式、管理方式等，总结形成可复制、可推广的经验，促进充电设施建设和普及。</w:t>
      </w:r>
    </w:p>
    <w:p>
      <w:pPr>
        <w:spacing w:before="0" w:beforeLines="0" w:after="0" w:afterLines="0"/>
        <w:ind w:firstLine="420" w:firstLineChars="200"/>
      </w:pPr>
      <w:r>
        <w:rPr>
          <w:rFonts w:hint="default" w:ascii="宋体" w:hAnsi="宋体" w:eastAsia="宋体"/>
        </w:rPr>
        <w:t>（四）注重正确引导社会舆论。</w:t>
      </w:r>
    </w:p>
    <w:p>
      <w:pPr>
        <w:spacing w:before="0" w:beforeLines="0" w:after="0" w:afterLines="0"/>
        <w:ind w:firstLine="420" w:firstLineChars="200"/>
      </w:pPr>
      <w:r>
        <w:rPr>
          <w:rFonts w:hint="default" w:ascii="宋体" w:hAnsi="宋体" w:eastAsia="宋体"/>
        </w:rPr>
        <w:t>要通过新闻媒体等多种形式，广泛宣传电动汽车发展政策、充电设施规划布局和建设动态，让社会各界全面了解充电设施，提高对建设充电设施的认同感和接受度，吸引更多企业、单位参与充电设施建设，倡导全社会保护充电设施，引导和培育电动汽车消费。</w:t>
      </w:r>
    </w:p>
    <w:p>
      <w:pPr>
        <w:spacing w:before="0" w:beforeLines="0" w:after="0" w:afterLines="0"/>
        <w:ind w:firstLine="420"/>
        <w:jc w:val="right"/>
      </w:pPr>
      <w:r>
        <w:rPr>
          <w:rFonts w:hint="default" w:ascii="宋体" w:hAnsi="宋体" w:eastAsia="宋体"/>
        </w:rPr>
        <w:t>中华人民共和国住房和城乡建设部</w:t>
      </w:r>
    </w:p>
    <w:p>
      <w:pPr>
        <w:spacing w:before="0" w:beforeLines="0" w:after="0" w:afterLines="0"/>
        <w:ind w:firstLine="420"/>
        <w:jc w:val="right"/>
      </w:pPr>
      <w:r>
        <w:rPr>
          <w:rFonts w:hint="default" w:ascii="宋体" w:hAnsi="宋体" w:eastAsia="宋体"/>
        </w:rPr>
        <w:t>2015年12月7日</w:t>
      </w:r>
    </w:p>
    <w:sectPr>
      <w:headerReference r:id="rId7" w:type="first"/>
      <w:footerReference r:id="rId10" w:type="first"/>
      <w:headerReference r:id="rId5" w:type="default"/>
      <w:footerReference r:id="rId8" w:type="default"/>
      <w:headerReference r:id="rId6" w:type="even"/>
      <w:footerReference r:id="rId9" w:type="even"/>
      <w:pgSz w:w="11900" w:h="16840"/>
      <w:pgMar w:top="1440" w:right="1080" w:bottom="1440" w:left="1080" w:header="850" w:footer="992" w:gutter="0"/>
      <w:pgNumType w:fmt="numberInDash" w:start="1"/>
      <w:cols w:space="425" w:num="1"/>
      <w:docGrid w:type="lines" w:linePitch="42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ongti SC">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ind w:firstLine="360"/>
      <w:jc w:val="center"/>
      <w:rPr>
        <w:rFonts w:hint="eastAsia" w:ascii="宋体" w:hAnsi="宋体" w:eastAsia="宋体"/>
        <w:sz w:val="18"/>
        <w:szCs w:val="18"/>
      </w:rPr>
    </w:pPr>
    <w:r>
      <w:rPr>
        <w:rFonts w:ascii="宋体" w:hAnsi="宋体" w:eastAsia="宋体"/>
        <w:sz w:val="18"/>
        <w:szCs w:val="18"/>
      </w:rPr>
      <w:fldChar w:fldCharType="begin"/>
    </w:r>
    <w:r>
      <w:rPr>
        <w:rFonts w:ascii="宋体" w:hAnsi="宋体" w:eastAsia="宋体"/>
        <w:sz w:val="18"/>
        <w:szCs w:val="18"/>
      </w:rPr>
      <w:instrText xml:space="preserve"> PAGE \* Arabic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r>
      <w:rPr>
        <w:rFonts w:ascii="宋体" w:hAnsi="宋体" w:eastAsia="宋体"/>
        <w:sz w:val="18"/>
        <w:szCs w:val="18"/>
      </w:rPr>
      <w:t xml:space="preserve"> </w:t>
    </w:r>
    <w:r>
      <w:rPr>
        <w:rFonts w:hint="eastAsia" w:ascii="宋体" w:hAnsi="宋体" w:eastAsia="宋体"/>
        <w:sz w:val="18"/>
        <w:szCs w:val="18"/>
      </w:rPr>
      <w:t>/</w:t>
    </w:r>
    <w:r>
      <w:rPr>
        <w:rFonts w:ascii="宋体" w:hAnsi="宋体" w:eastAsia="宋体"/>
        <w:sz w:val="18"/>
        <w:szCs w:val="18"/>
      </w:rPr>
      <w:t xml:space="preserve"> </w:t>
    </w:r>
    <w:r>
      <w:rPr>
        <w:rFonts w:ascii="宋体" w:hAnsi="宋体" w:eastAsia="宋体"/>
        <w:sz w:val="18"/>
        <w:szCs w:val="18"/>
      </w:rPr>
      <w:fldChar w:fldCharType="begin"/>
    </w:r>
    <w:r>
      <w:rPr>
        <w:rFonts w:ascii="宋体" w:hAnsi="宋体" w:eastAsia="宋体"/>
        <w:sz w:val="18"/>
        <w:szCs w:val="18"/>
      </w:rPr>
      <w:instrText xml:space="preserve"> NUMPAGES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pPr>
      <w:pStyle w:val="12"/>
      <w:spacing w:before="120"/>
      <w:ind w:firstLine="360"/>
    </w:pPr>
  </w:p>
  <w:p>
    <w:pPr>
      <w:spacing w:before="120"/>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r>
        <w:separator/>
      </w:r>
    </w:p>
  </w:footnote>
  <w:footnote w:type="continuationSeparator" w:id="1">
    <w:p>
      <w:pPr>
        <w:spacing w:before="0" w:after="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0" w:firstLineChars="0"/>
    </w:pPr>
    <w:r>
      <w:rPr>
        <w:rFonts w:ascii="宋体" w:hAnsi="宋体" w:eastAsia="宋体"/>
      </w:rPr>
      <w:t>住房城乡建设部关于加强城市电动汽车充电设施规划建设工作的通知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hhMGNlYjM2NDI3M2Y3ZjdjNmFiMTAwZmE0NDcwMTQifQ=="/>
  </w:docVars>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 w:val="6FD20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ind w:firstLine="200" w:firstLineChars="200"/>
    </w:pPr>
    <w:rPr>
      <w:rFonts w:ascii="等线" w:hAnsi="等线" w:eastAsia="等线" w:cs="宋体"/>
      <w:kern w:val="0"/>
      <w:sz w:val="21"/>
      <w:szCs w:val="21"/>
      <w:lang w:val="en-US" w:eastAsia="zh-CN" w:bidi="ar-SA"/>
    </w:rPr>
  </w:style>
  <w:style w:type="paragraph" w:styleId="2">
    <w:name w:val="heading 1"/>
    <w:basedOn w:val="1"/>
    <w:link w:val="32"/>
    <w:autoRedefine/>
    <w:qFormat/>
    <w:uiPriority w:val="9"/>
    <w:pPr>
      <w:spacing w:before="423" w:beforeLines="100" w:after="317" w:afterLines="75" w:line="400" w:lineRule="exact"/>
      <w:ind w:firstLine="0" w:firstLineChars="0"/>
      <w:jc w:val="center"/>
      <w:outlineLvl w:val="0"/>
    </w:pPr>
    <w:rPr>
      <w:rFonts w:eastAsia="宋体"/>
      <w:b/>
      <w:bCs/>
      <w:kern w:val="36"/>
      <w:sz w:val="24"/>
      <w:szCs w:val="24"/>
    </w:rPr>
  </w:style>
  <w:style w:type="paragraph" w:styleId="3">
    <w:name w:val="heading 2"/>
    <w:basedOn w:val="1"/>
    <w:next w:val="1"/>
    <w:link w:val="51"/>
    <w:autoRedefine/>
    <w:unhideWhenUsed/>
    <w:qFormat/>
    <w:uiPriority w:val="9"/>
    <w:pPr>
      <w:keepNext/>
      <w:keepLines/>
      <w:spacing w:before="211" w:line="400" w:lineRule="exact"/>
      <w:ind w:firstLine="0" w:firstLineChars="0"/>
      <w:jc w:val="center"/>
      <w:outlineLvl w:val="1"/>
    </w:pPr>
    <w:rPr>
      <w:rFonts w:cstheme="majorBidi"/>
      <w:b/>
      <w:bCs/>
      <w:szCs w:val="32"/>
    </w:rPr>
  </w:style>
  <w:style w:type="paragraph" w:styleId="4">
    <w:name w:val="heading 3"/>
    <w:basedOn w:val="1"/>
    <w:next w:val="1"/>
    <w:link w:val="5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9"/>
    <w:autoRedefine/>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autoRedefine/>
    <w:semiHidden/>
    <w:unhideWhenUsed/>
    <w:uiPriority w:val="1"/>
  </w:style>
  <w:style w:type="table" w:default="1" w:styleId="23">
    <w:name w:val="Normal Table"/>
    <w:autoRedefine/>
    <w:semiHidden/>
    <w:unhideWhenUsed/>
    <w:qFormat/>
    <w:uiPriority w:val="99"/>
    <w:tblPr>
      <w:tblCellMar>
        <w:top w:w="0" w:type="dxa"/>
        <w:left w:w="108" w:type="dxa"/>
        <w:bottom w:w="0" w:type="dxa"/>
        <w:right w:w="108" w:type="dxa"/>
      </w:tblCellMar>
    </w:tblPr>
  </w:style>
  <w:style w:type="paragraph" w:styleId="6">
    <w:name w:val="toc 7"/>
    <w:basedOn w:val="1"/>
    <w:next w:val="1"/>
    <w:autoRedefine/>
    <w:unhideWhenUsed/>
    <w:qFormat/>
    <w:uiPriority w:val="39"/>
    <w:pPr>
      <w:spacing w:before="0"/>
      <w:ind w:left="1260"/>
    </w:pPr>
    <w:rPr>
      <w:rFonts w:asciiTheme="minorHAnsi" w:eastAsiaTheme="minorHAnsi"/>
      <w:sz w:val="18"/>
      <w:szCs w:val="18"/>
    </w:rPr>
  </w:style>
  <w:style w:type="paragraph" w:styleId="7">
    <w:name w:val="annotation text"/>
    <w:basedOn w:val="1"/>
    <w:link w:val="47"/>
    <w:autoRedefine/>
    <w:unhideWhenUsed/>
    <w:qFormat/>
    <w:uiPriority w:val="99"/>
  </w:style>
  <w:style w:type="paragraph" w:styleId="8">
    <w:name w:val="toc 5"/>
    <w:basedOn w:val="1"/>
    <w:next w:val="1"/>
    <w:autoRedefine/>
    <w:unhideWhenUsed/>
    <w:qFormat/>
    <w:uiPriority w:val="39"/>
    <w:pPr>
      <w:spacing w:before="0"/>
      <w:ind w:left="840"/>
    </w:pPr>
    <w:rPr>
      <w:rFonts w:asciiTheme="minorHAnsi" w:eastAsiaTheme="minorHAnsi"/>
      <w:sz w:val="18"/>
      <w:szCs w:val="18"/>
    </w:rPr>
  </w:style>
  <w:style w:type="paragraph" w:styleId="9">
    <w:name w:val="toc 3"/>
    <w:basedOn w:val="1"/>
    <w:next w:val="1"/>
    <w:autoRedefine/>
    <w:unhideWhenUsed/>
    <w:qFormat/>
    <w:uiPriority w:val="39"/>
    <w:pPr>
      <w:spacing w:before="0"/>
      <w:ind w:left="420"/>
    </w:pPr>
    <w:rPr>
      <w:rFonts w:asciiTheme="minorHAnsi" w:eastAsiaTheme="minorHAnsi"/>
      <w:i/>
      <w:iCs/>
      <w:sz w:val="20"/>
      <w:szCs w:val="20"/>
    </w:rPr>
  </w:style>
  <w:style w:type="paragraph" w:styleId="10">
    <w:name w:val="toc 8"/>
    <w:basedOn w:val="1"/>
    <w:next w:val="1"/>
    <w:autoRedefine/>
    <w:unhideWhenUsed/>
    <w:uiPriority w:val="39"/>
    <w:pPr>
      <w:spacing w:before="0"/>
      <w:ind w:left="1470"/>
    </w:pPr>
    <w:rPr>
      <w:rFonts w:asciiTheme="minorHAnsi" w:eastAsiaTheme="minorHAnsi"/>
      <w:sz w:val="18"/>
      <w:szCs w:val="18"/>
    </w:rPr>
  </w:style>
  <w:style w:type="paragraph" w:styleId="11">
    <w:name w:val="Balloon Text"/>
    <w:basedOn w:val="1"/>
    <w:link w:val="49"/>
    <w:autoRedefine/>
    <w:semiHidden/>
    <w:unhideWhenUsed/>
    <w:qFormat/>
    <w:uiPriority w:val="99"/>
    <w:rPr>
      <w:rFonts w:ascii="Times New Roman" w:hAnsi="Times New Roman" w:cs="Times New Roman"/>
      <w:sz w:val="18"/>
      <w:szCs w:val="18"/>
    </w:rPr>
  </w:style>
  <w:style w:type="paragraph" w:styleId="12">
    <w:name w:val="footer"/>
    <w:basedOn w:val="1"/>
    <w:link w:val="31"/>
    <w:autoRedefine/>
    <w:unhideWhenUsed/>
    <w:qFormat/>
    <w:uiPriority w:val="99"/>
    <w:pPr>
      <w:tabs>
        <w:tab w:val="center" w:pos="4153"/>
        <w:tab w:val="right" w:pos="8306"/>
      </w:tabs>
      <w:snapToGrid w:val="0"/>
    </w:pPr>
    <w:rPr>
      <w:sz w:val="18"/>
      <w:szCs w:val="18"/>
    </w:rPr>
  </w:style>
  <w:style w:type="paragraph" w:styleId="13">
    <w:name w:val="header"/>
    <w:basedOn w:val="1"/>
    <w:link w:val="30"/>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2"/>
    <w:next w:val="2"/>
    <w:autoRedefine/>
    <w:unhideWhenUsed/>
    <w:qFormat/>
    <w:uiPriority w:val="39"/>
    <w:pPr>
      <w:tabs>
        <w:tab w:val="right" w:pos="9730"/>
      </w:tabs>
      <w:spacing w:before="0" w:beforeLines="0" w:after="0" w:afterLines="0" w:line="240" w:lineRule="auto"/>
      <w:jc w:val="left"/>
      <w:outlineLvl w:val="9"/>
    </w:pPr>
    <w:rPr>
      <w:rFonts w:asciiTheme="minorHAnsi"/>
      <w:b w:val="0"/>
      <w:caps/>
      <w:kern w:val="0"/>
      <w:sz w:val="21"/>
      <w:szCs w:val="20"/>
    </w:rPr>
  </w:style>
  <w:style w:type="paragraph" w:styleId="15">
    <w:name w:val="toc 4"/>
    <w:basedOn w:val="1"/>
    <w:next w:val="1"/>
    <w:autoRedefine/>
    <w:unhideWhenUsed/>
    <w:qFormat/>
    <w:uiPriority w:val="39"/>
    <w:pPr>
      <w:spacing w:before="0"/>
      <w:ind w:left="630"/>
    </w:pPr>
    <w:rPr>
      <w:rFonts w:asciiTheme="minorHAnsi" w:eastAsiaTheme="minorHAnsi"/>
      <w:sz w:val="18"/>
      <w:szCs w:val="18"/>
    </w:rPr>
  </w:style>
  <w:style w:type="paragraph" w:styleId="16">
    <w:name w:val="Subtitle"/>
    <w:basedOn w:val="1"/>
    <w:next w:val="1"/>
    <w:link w:val="56"/>
    <w:qFormat/>
    <w:uiPriority w:val="11"/>
    <w:pPr>
      <w:spacing w:before="60" w:after="60" w:line="312" w:lineRule="auto"/>
      <w:jc w:val="center"/>
      <w:outlineLvl w:val="1"/>
    </w:pPr>
    <w:rPr>
      <w:rFonts w:asciiTheme="minorHAnsi" w:hAnsiTheme="minorHAnsi" w:cstheme="minorBidi"/>
      <w:bCs/>
      <w:kern w:val="28"/>
      <w:szCs w:val="32"/>
    </w:rPr>
  </w:style>
  <w:style w:type="paragraph" w:styleId="17">
    <w:name w:val="toc 6"/>
    <w:basedOn w:val="1"/>
    <w:next w:val="1"/>
    <w:autoRedefine/>
    <w:unhideWhenUsed/>
    <w:qFormat/>
    <w:uiPriority w:val="39"/>
    <w:pPr>
      <w:spacing w:before="0"/>
      <w:ind w:left="1050"/>
    </w:pPr>
    <w:rPr>
      <w:rFonts w:asciiTheme="minorHAnsi" w:eastAsiaTheme="minorHAnsi"/>
      <w:sz w:val="18"/>
      <w:szCs w:val="18"/>
    </w:rPr>
  </w:style>
  <w:style w:type="paragraph" w:styleId="18">
    <w:name w:val="toc 2"/>
    <w:basedOn w:val="1"/>
    <w:next w:val="1"/>
    <w:autoRedefine/>
    <w:unhideWhenUsed/>
    <w:qFormat/>
    <w:uiPriority w:val="39"/>
    <w:pPr>
      <w:spacing w:before="0" w:beforeLines="0"/>
    </w:pPr>
    <w:rPr>
      <w:rFonts w:asciiTheme="minorHAnsi" w:eastAsiaTheme="minorHAnsi"/>
      <w:smallCaps/>
      <w:szCs w:val="20"/>
    </w:rPr>
  </w:style>
  <w:style w:type="paragraph" w:styleId="19">
    <w:name w:val="toc 9"/>
    <w:basedOn w:val="1"/>
    <w:next w:val="1"/>
    <w:autoRedefine/>
    <w:unhideWhenUsed/>
    <w:qFormat/>
    <w:uiPriority w:val="39"/>
    <w:pPr>
      <w:spacing w:before="0"/>
      <w:ind w:left="1680"/>
    </w:pPr>
    <w:rPr>
      <w:rFonts w:asciiTheme="minorHAnsi" w:eastAsiaTheme="minorHAnsi"/>
      <w:sz w:val="18"/>
      <w:szCs w:val="18"/>
    </w:rPr>
  </w:style>
  <w:style w:type="paragraph" w:styleId="20">
    <w:name w:val="Normal (Web)"/>
    <w:basedOn w:val="1"/>
    <w:autoRedefine/>
    <w:unhideWhenUsed/>
    <w:qFormat/>
    <w:uiPriority w:val="99"/>
    <w:pPr>
      <w:spacing w:before="100" w:beforeAutospacing="1" w:after="100" w:afterAutospacing="1"/>
    </w:pPr>
  </w:style>
  <w:style w:type="paragraph" w:styleId="21">
    <w:name w:val="Title"/>
    <w:basedOn w:val="1"/>
    <w:next w:val="1"/>
    <w:link w:val="55"/>
    <w:autoRedefine/>
    <w:qFormat/>
    <w:uiPriority w:val="10"/>
    <w:pPr>
      <w:spacing w:before="240" w:after="60"/>
      <w:jc w:val="center"/>
      <w:outlineLvl w:val="0"/>
    </w:pPr>
    <w:rPr>
      <w:rFonts w:eastAsia="Songti SC" w:asciiTheme="majorHAnsi" w:hAnsiTheme="majorHAnsi" w:cstheme="majorBidi"/>
      <w:b/>
      <w:bCs/>
      <w:sz w:val="32"/>
      <w:szCs w:val="32"/>
    </w:rPr>
  </w:style>
  <w:style w:type="paragraph" w:styleId="22">
    <w:name w:val="annotation subject"/>
    <w:basedOn w:val="7"/>
    <w:next w:val="7"/>
    <w:link w:val="48"/>
    <w:autoRedefine/>
    <w:semiHidden/>
    <w:unhideWhenUsed/>
    <w:qFormat/>
    <w:uiPriority w:val="99"/>
    <w:rPr>
      <w:b/>
      <w:bCs/>
    </w:rPr>
  </w:style>
  <w:style w:type="table" w:styleId="24">
    <w:name w:val="Table Grid"/>
    <w:basedOn w:val="23"/>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semiHidden/>
    <w:unhideWhenUsed/>
    <w:qFormat/>
    <w:uiPriority w:val="99"/>
  </w:style>
  <w:style w:type="character" w:styleId="27">
    <w:name w:val="FollowedHyperlink"/>
    <w:basedOn w:val="25"/>
    <w:autoRedefine/>
    <w:semiHidden/>
    <w:unhideWhenUsed/>
    <w:qFormat/>
    <w:uiPriority w:val="99"/>
    <w:rPr>
      <w:color w:val="954F72" w:themeColor="followedHyperlink"/>
      <w:u w:val="single"/>
      <w14:textFill>
        <w14:solidFill>
          <w14:schemeClr w14:val="folHlink"/>
        </w14:solidFill>
      </w14:textFill>
    </w:rPr>
  </w:style>
  <w:style w:type="character" w:styleId="28">
    <w:name w:val="Hyperlink"/>
    <w:basedOn w:val="25"/>
    <w:autoRedefine/>
    <w:unhideWhenUsed/>
    <w:qFormat/>
    <w:uiPriority w:val="99"/>
    <w:rPr>
      <w:color w:val="0000FF"/>
      <w:u w:val="none"/>
    </w:rPr>
  </w:style>
  <w:style w:type="character" w:styleId="29">
    <w:name w:val="annotation reference"/>
    <w:basedOn w:val="25"/>
    <w:autoRedefine/>
    <w:semiHidden/>
    <w:unhideWhenUsed/>
    <w:qFormat/>
    <w:uiPriority w:val="99"/>
    <w:rPr>
      <w:sz w:val="21"/>
      <w:szCs w:val="21"/>
    </w:rPr>
  </w:style>
  <w:style w:type="character" w:customStyle="1" w:styleId="30">
    <w:name w:val="页眉 字符"/>
    <w:basedOn w:val="25"/>
    <w:link w:val="13"/>
    <w:autoRedefine/>
    <w:uiPriority w:val="99"/>
    <w:rPr>
      <w:sz w:val="18"/>
      <w:szCs w:val="18"/>
    </w:rPr>
  </w:style>
  <w:style w:type="character" w:customStyle="1" w:styleId="31">
    <w:name w:val="页脚 字符"/>
    <w:basedOn w:val="25"/>
    <w:link w:val="12"/>
    <w:autoRedefine/>
    <w:qFormat/>
    <w:uiPriority w:val="99"/>
    <w:rPr>
      <w:sz w:val="18"/>
      <w:szCs w:val="18"/>
    </w:rPr>
  </w:style>
  <w:style w:type="character" w:customStyle="1" w:styleId="32">
    <w:name w:val="标题 1 字符"/>
    <w:basedOn w:val="25"/>
    <w:link w:val="2"/>
    <w:autoRedefine/>
    <w:uiPriority w:val="9"/>
    <w:rPr>
      <w:rFonts w:ascii="等线" w:hAnsi="等线" w:eastAsia="宋体" w:cs="宋体"/>
      <w:b/>
      <w:bCs/>
      <w:kern w:val="36"/>
    </w:rPr>
  </w:style>
  <w:style w:type="paragraph" w:customStyle="1" w:styleId="33">
    <w:name w:val="doc-a"/>
    <w:basedOn w:val="1"/>
    <w:autoRedefine/>
    <w:qFormat/>
    <w:uiPriority w:val="0"/>
    <w:pPr>
      <w:spacing w:before="100" w:beforeAutospacing="1" w:after="100" w:afterAutospacing="1"/>
      <w:ind w:firstLine="480"/>
    </w:pPr>
    <w:rPr>
      <w:rFonts w:ascii="微软雅黑" w:hAnsi="微软雅黑" w:eastAsia="微软雅黑"/>
    </w:rPr>
  </w:style>
  <w:style w:type="paragraph" w:customStyle="1" w:styleId="34">
    <w:name w:val="cnsubtitle"/>
    <w:basedOn w:val="1"/>
    <w:autoRedefine/>
    <w:semiHidden/>
    <w:qFormat/>
    <w:uiPriority w:val="99"/>
    <w:pPr>
      <w:spacing w:before="315" w:after="315" w:line="300" w:lineRule="exact"/>
    </w:pPr>
    <w:rPr>
      <w:rFonts w:ascii="微软雅黑" w:hAnsi="微软雅黑" w:eastAsia="微软雅黑"/>
    </w:rPr>
  </w:style>
  <w:style w:type="paragraph" w:customStyle="1" w:styleId="35">
    <w:name w:val="cntitle"/>
    <w:basedOn w:val="1"/>
    <w:autoRedefine/>
    <w:semiHidden/>
    <w:qFormat/>
    <w:uiPriority w:val="99"/>
    <w:pPr>
      <w:spacing w:before="150" w:after="150"/>
      <w:ind w:left="150" w:right="150"/>
      <w:jc w:val="center"/>
    </w:pPr>
    <w:rPr>
      <w:rFonts w:ascii="微软雅黑" w:hAnsi="微软雅黑" w:eastAsia="微软雅黑"/>
      <w:b/>
      <w:bCs/>
      <w:vanish/>
    </w:rPr>
  </w:style>
  <w:style w:type="paragraph" w:customStyle="1" w:styleId="36">
    <w:name w:val="promulgatetitle"/>
    <w:basedOn w:val="1"/>
    <w:autoRedefine/>
    <w:semiHidden/>
    <w:qFormat/>
    <w:uiPriority w:val="99"/>
    <w:pPr>
      <w:spacing w:before="100" w:beforeAutospacing="1" w:after="100" w:afterAutospacing="1"/>
      <w:jc w:val="center"/>
    </w:pPr>
    <w:rPr>
      <w:rFonts w:ascii="微软雅黑" w:hAnsi="微软雅黑" w:eastAsia="微软雅黑"/>
      <w:b/>
      <w:bCs/>
      <w:vanish/>
    </w:rPr>
  </w:style>
  <w:style w:type="paragraph" w:customStyle="1" w:styleId="37">
    <w:name w:val="promulgatesubtitle"/>
    <w:basedOn w:val="1"/>
    <w:autoRedefine/>
    <w:semiHidden/>
    <w:qFormat/>
    <w:uiPriority w:val="99"/>
    <w:pPr>
      <w:spacing w:before="150" w:after="150"/>
      <w:ind w:left="150" w:right="150"/>
      <w:jc w:val="center"/>
    </w:pPr>
    <w:rPr>
      <w:rFonts w:ascii="微软雅黑" w:hAnsi="微软雅黑" w:eastAsia="微软雅黑"/>
      <w:sz w:val="23"/>
      <w:szCs w:val="23"/>
    </w:rPr>
  </w:style>
  <w:style w:type="paragraph" w:customStyle="1" w:styleId="38">
    <w:name w:val="promulgatedate"/>
    <w:basedOn w:val="1"/>
    <w:autoRedefine/>
    <w:qFormat/>
    <w:uiPriority w:val="0"/>
    <w:pPr>
      <w:jc w:val="right"/>
    </w:pPr>
  </w:style>
  <w:style w:type="paragraph" w:customStyle="1" w:styleId="39">
    <w:name w:val="promulgatesignatory"/>
    <w:basedOn w:val="1"/>
    <w:autoRedefine/>
    <w:qFormat/>
    <w:uiPriority w:val="0"/>
    <w:pPr>
      <w:jc w:val="right"/>
    </w:pPr>
  </w:style>
  <w:style w:type="paragraph" w:customStyle="1" w:styleId="40">
    <w:name w:val="标题1"/>
    <w:basedOn w:val="1"/>
    <w:autoRedefine/>
    <w:semiHidden/>
    <w:qFormat/>
    <w:uiPriority w:val="99"/>
    <w:pPr>
      <w:spacing w:before="100" w:beforeAutospacing="1" w:after="100" w:afterAutospacing="1"/>
      <w:ind w:firstLine="480"/>
    </w:pPr>
    <w:rPr>
      <w:rFonts w:ascii="微软雅黑" w:hAnsi="微软雅黑" w:eastAsia="微软雅黑"/>
    </w:rPr>
  </w:style>
  <w:style w:type="paragraph" w:customStyle="1" w:styleId="41">
    <w:name w:val="catalog-a"/>
    <w:basedOn w:val="1"/>
    <w:autoRedefine/>
    <w:semiHidden/>
    <w:qFormat/>
    <w:uiPriority w:val="99"/>
    <w:pPr>
      <w:spacing w:before="100" w:beforeAutospacing="1" w:after="100" w:afterAutospacing="1"/>
    </w:pPr>
  </w:style>
  <w:style w:type="character" w:customStyle="1" w:styleId="42">
    <w:name w:val="chaptertitle"/>
    <w:basedOn w:val="25"/>
    <w:autoRedefine/>
    <w:qFormat/>
    <w:uiPriority w:val="0"/>
    <w:rPr>
      <w:rFonts w:hint="eastAsia" w:ascii="微软雅黑" w:hAnsi="微软雅黑" w:eastAsia="微软雅黑"/>
      <w:b/>
      <w:bCs/>
      <w:sz w:val="21"/>
      <w:szCs w:val="21"/>
    </w:rPr>
  </w:style>
  <w:style w:type="character" w:customStyle="1" w:styleId="43">
    <w:name w:val="metaname1"/>
    <w:basedOn w:val="25"/>
    <w:autoRedefine/>
    <w:qFormat/>
    <w:uiPriority w:val="0"/>
    <w:rPr>
      <w:rFonts w:hint="eastAsia" w:ascii="微软雅黑" w:hAnsi="微软雅黑" w:eastAsia="微软雅黑"/>
      <w:b/>
      <w:bCs/>
      <w:sz w:val="21"/>
      <w:szCs w:val="21"/>
    </w:rPr>
  </w:style>
  <w:style w:type="character" w:customStyle="1" w:styleId="44">
    <w:name w:val="sect2title1"/>
    <w:basedOn w:val="25"/>
    <w:autoRedefine/>
    <w:qFormat/>
    <w:uiPriority w:val="0"/>
    <w:rPr>
      <w:rFonts w:hint="eastAsia" w:ascii="微软雅黑" w:hAnsi="微软雅黑" w:eastAsia="微软雅黑"/>
      <w:b/>
      <w:bCs/>
      <w:sz w:val="21"/>
      <w:szCs w:val="21"/>
    </w:rPr>
  </w:style>
  <w:style w:type="character" w:customStyle="1" w:styleId="45">
    <w:name w:val="title1"/>
    <w:basedOn w:val="25"/>
    <w:autoRedefine/>
    <w:qFormat/>
    <w:uiPriority w:val="0"/>
    <w:rPr>
      <w:rFonts w:hint="eastAsia" w:ascii="微软雅黑" w:hAnsi="微软雅黑" w:eastAsia="微软雅黑"/>
      <w:sz w:val="21"/>
      <w:szCs w:val="21"/>
    </w:rPr>
  </w:style>
  <w:style w:type="character" w:customStyle="1" w:styleId="46">
    <w:name w:val="sect1title1"/>
    <w:basedOn w:val="25"/>
    <w:autoRedefine/>
    <w:qFormat/>
    <w:uiPriority w:val="0"/>
    <w:rPr>
      <w:rFonts w:hint="eastAsia" w:ascii="微软雅黑" w:hAnsi="微软雅黑" w:eastAsia="微软雅黑"/>
      <w:b/>
      <w:bCs/>
      <w:sz w:val="21"/>
      <w:szCs w:val="21"/>
    </w:rPr>
  </w:style>
  <w:style w:type="character" w:customStyle="1" w:styleId="47">
    <w:name w:val="批注文字 字符"/>
    <w:basedOn w:val="25"/>
    <w:link w:val="7"/>
    <w:autoRedefine/>
    <w:qFormat/>
    <w:uiPriority w:val="99"/>
    <w:rPr>
      <w:rFonts w:ascii="宋体" w:hAnsi="宋体" w:eastAsia="宋体" w:cs="宋体"/>
      <w:kern w:val="0"/>
    </w:rPr>
  </w:style>
  <w:style w:type="character" w:customStyle="1" w:styleId="48">
    <w:name w:val="批注主题 字符"/>
    <w:basedOn w:val="47"/>
    <w:link w:val="22"/>
    <w:autoRedefine/>
    <w:semiHidden/>
    <w:qFormat/>
    <w:uiPriority w:val="99"/>
    <w:rPr>
      <w:rFonts w:ascii="宋体" w:hAnsi="宋体" w:eastAsia="宋体" w:cs="宋体"/>
      <w:b/>
      <w:bCs/>
      <w:kern w:val="0"/>
    </w:rPr>
  </w:style>
  <w:style w:type="character" w:customStyle="1" w:styleId="49">
    <w:name w:val="批注框文本 字符"/>
    <w:basedOn w:val="25"/>
    <w:link w:val="11"/>
    <w:autoRedefine/>
    <w:semiHidden/>
    <w:qFormat/>
    <w:uiPriority w:val="99"/>
    <w:rPr>
      <w:rFonts w:ascii="Times New Roman" w:hAnsi="Times New Roman" w:eastAsia="宋体" w:cs="Times New Roman"/>
      <w:kern w:val="0"/>
      <w:sz w:val="18"/>
      <w:szCs w:val="18"/>
    </w:rPr>
  </w:style>
  <w:style w:type="character" w:customStyle="1" w:styleId="50">
    <w:name w:val="标题 3 字符"/>
    <w:basedOn w:val="25"/>
    <w:link w:val="4"/>
    <w:autoRedefine/>
    <w:qFormat/>
    <w:uiPriority w:val="9"/>
    <w:rPr>
      <w:rFonts w:ascii="等线" w:hAnsi="等线" w:eastAsia="等线" w:cs="宋体"/>
      <w:b/>
      <w:bCs/>
      <w:kern w:val="0"/>
      <w:szCs w:val="32"/>
    </w:rPr>
  </w:style>
  <w:style w:type="character" w:customStyle="1" w:styleId="51">
    <w:name w:val="标题 2 字符"/>
    <w:basedOn w:val="25"/>
    <w:link w:val="3"/>
    <w:autoRedefine/>
    <w:qFormat/>
    <w:uiPriority w:val="9"/>
    <w:rPr>
      <w:rFonts w:ascii="等线" w:hAnsi="等线" w:eastAsia="等线" w:cstheme="majorBidi"/>
      <w:b/>
      <w:bCs/>
      <w:kern w:val="0"/>
      <w:sz w:val="21"/>
      <w:szCs w:val="32"/>
    </w:rPr>
  </w:style>
  <w:style w:type="paragraph" w:customStyle="1" w:styleId="52">
    <w:name w:val="TOC Heading"/>
    <w:basedOn w:val="2"/>
    <w:next w:val="1"/>
    <w:autoRedefine/>
    <w:unhideWhenUsed/>
    <w:qFormat/>
    <w:uiPriority w:val="39"/>
    <w:pPr>
      <w:keepNext/>
      <w:keepLines/>
      <w:spacing w:before="480" w:after="0" w:line="276" w:lineRule="auto"/>
      <w:outlineLvl w:val="9"/>
    </w:pPr>
    <w:rPr>
      <w:rFonts w:asciiTheme="majorHAnsi" w:hAnsiTheme="majorHAnsi" w:eastAsiaTheme="majorEastAsia" w:cstheme="majorBidi"/>
      <w:color w:val="2F5597" w:themeColor="accent1" w:themeShade="BF"/>
      <w:kern w:val="0"/>
      <w:szCs w:val="28"/>
    </w:rPr>
  </w:style>
  <w:style w:type="table" w:customStyle="1" w:styleId="53">
    <w:name w:val="Grid Table Light"/>
    <w:basedOn w:val="23"/>
    <w:autoRedefine/>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54">
    <w:name w:val="Revision"/>
    <w:hidden/>
    <w:semiHidden/>
    <w:qFormat/>
    <w:uiPriority w:val="99"/>
    <w:rPr>
      <w:rFonts w:ascii="宋体" w:hAnsi="宋体" w:eastAsia="宋体" w:cs="宋体"/>
      <w:kern w:val="0"/>
      <w:sz w:val="24"/>
      <w:szCs w:val="24"/>
      <w:lang w:val="en-US" w:eastAsia="zh-CN" w:bidi="ar-SA"/>
    </w:rPr>
  </w:style>
  <w:style w:type="character" w:customStyle="1" w:styleId="55">
    <w:name w:val="标题 字符"/>
    <w:basedOn w:val="25"/>
    <w:link w:val="21"/>
    <w:autoRedefine/>
    <w:qFormat/>
    <w:uiPriority w:val="10"/>
    <w:rPr>
      <w:rFonts w:eastAsia="Songti SC" w:asciiTheme="majorHAnsi" w:hAnsiTheme="majorHAnsi" w:cstheme="majorBidi"/>
      <w:b/>
      <w:bCs/>
      <w:kern w:val="0"/>
      <w:sz w:val="32"/>
      <w:szCs w:val="32"/>
    </w:rPr>
  </w:style>
  <w:style w:type="character" w:customStyle="1" w:styleId="56">
    <w:name w:val="副标题 字符"/>
    <w:basedOn w:val="25"/>
    <w:link w:val="16"/>
    <w:autoRedefine/>
    <w:qFormat/>
    <w:uiPriority w:val="11"/>
    <w:rPr>
      <w:rFonts w:eastAsia="等线"/>
      <w:bCs/>
      <w:kern w:val="28"/>
      <w:sz w:val="21"/>
      <w:szCs w:val="32"/>
    </w:rPr>
  </w:style>
  <w:style w:type="paragraph" w:styleId="57">
    <w:name w:val="Quote"/>
    <w:basedOn w:val="1"/>
    <w:next w:val="1"/>
    <w:link w:val="58"/>
    <w:autoRedefine/>
    <w:qFormat/>
    <w:uiPriority w:val="29"/>
    <w:pPr>
      <w:spacing w:before="25" w:beforeLines="25" w:line="240" w:lineRule="exact"/>
    </w:pPr>
    <w:rPr>
      <w:iCs/>
      <w:color w:val="404040" w:themeColor="text1" w:themeTint="BF"/>
      <w14:textFill>
        <w14:solidFill>
          <w14:schemeClr w14:val="tx1">
            <w14:lumMod w14:val="75000"/>
            <w14:lumOff w14:val="25000"/>
          </w14:schemeClr>
        </w14:solidFill>
      </w14:textFill>
    </w:rPr>
  </w:style>
  <w:style w:type="character" w:customStyle="1" w:styleId="58">
    <w:name w:val="引用 字符"/>
    <w:basedOn w:val="25"/>
    <w:link w:val="57"/>
    <w:autoRedefine/>
    <w:qFormat/>
    <w:uiPriority w:val="29"/>
    <w:rPr>
      <w:rFonts w:ascii="等线" w:hAnsi="等线" w:eastAsia="等线" w:cs="宋体"/>
      <w:iCs/>
      <w:color w:val="404040" w:themeColor="text1" w:themeTint="BF"/>
      <w:kern w:val="0"/>
      <w:sz w:val="21"/>
      <w:szCs w:val="21"/>
      <w14:textFill>
        <w14:solidFill>
          <w14:schemeClr w14:val="tx1">
            <w14:lumMod w14:val="75000"/>
            <w14:lumOff w14:val="25000"/>
          </w14:schemeClr>
        </w14:solidFill>
      </w14:textFill>
    </w:rPr>
  </w:style>
  <w:style w:type="character" w:customStyle="1" w:styleId="59">
    <w:name w:val="标题 4 字符"/>
    <w:basedOn w:val="25"/>
    <w:link w:val="5"/>
    <w:autoRedefine/>
    <w:semiHidden/>
    <w:qFormat/>
    <w:uiPriority w:val="9"/>
    <w:rPr>
      <w:rFonts w:asciiTheme="majorHAnsi" w:hAnsiTheme="majorHAnsi" w:eastAsiaTheme="majorEastAsia" w:cstheme="majorBidi"/>
      <w:b/>
      <w:bCs/>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108</Words>
  <Characters>622</Characters>
  <Lines>5</Lines>
  <Paragraphs>1</Paragraphs>
  <TotalTime>501</TotalTime>
  <ScaleCrop>false</ScaleCrop>
  <LinksUpToDate>false</LinksUpToDate>
  <CharactersWithSpaces>729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2017-10-10T03:02:00Z</dcterms:created>
  <dc:creator>Banian</dc:creator>
  <cp:lastModifiedBy>Banian</cp:lastModifiedBy>
  <cp:lastPrinted>2018-09-08T01:56:00Z</cp:lastPrinted>
  <dcterms:modified xsi:type="dcterms:W3CDTF">2024-05-16T07:26:50Z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967915F014604258B1EC473A19EC0052_12</vt:lpwstr>
  </property>
</Properties>
</file>