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E3A2F">
      <w:pPr>
        <w:spacing w:line="480" w:lineRule="auto"/>
        <w:ind w:firstLine="0"/>
        <w:jc w:val="center"/>
        <w:rPr>
          <w:rFonts w:hint="eastAsia" w:ascii="宋体" w:hAnsi="宋体" w:eastAsia="宋体" w:cs="宋体"/>
          <w:b w:val="0"/>
          <w:i w:val="0"/>
          <w:color w:val="000000"/>
          <w:sz w:val="36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36"/>
          <w:lang w:eastAsia="zh-CN"/>
        </w:rPr>
        <w:t>《毛泽东思想和中国特色社会主义理论体系概论》</w:t>
      </w:r>
    </w:p>
    <w:p w14:paraId="38A8EDE4">
      <w:pPr>
        <w:spacing w:after="480" w:line="480" w:lineRule="auto"/>
        <w:ind w:firstLine="0"/>
        <w:jc w:val="center"/>
        <w:rPr>
          <w:rFonts w:hint="eastAsia" w:ascii="宋体" w:hAnsi="宋体" w:eastAsia="宋体" w:cs="宋体"/>
          <w:b w:val="0"/>
          <w:i w:val="0"/>
          <w:color w:val="000000"/>
          <w:sz w:val="36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36"/>
          <w:lang w:eastAsia="zh-CN"/>
        </w:rPr>
        <w:t>课程实践调研报告</w:t>
      </w:r>
    </w:p>
    <w:p w14:paraId="27D63C0F">
      <w:pPr>
        <w:spacing w:after="156" w:line="360" w:lineRule="auto"/>
        <w:ind w:firstLine="0"/>
        <w:jc w:val="center"/>
        <w:rPr>
          <w:rFonts w:hint="eastAsia" w:ascii="宋体" w:hAnsi="宋体" w:eastAsia="宋体" w:cs="宋体"/>
          <w:b/>
          <w:i w:val="0"/>
          <w:color w:val="000000"/>
          <w:sz w:val="32"/>
          <w:lang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32"/>
          <w:lang w:eastAsia="zh-CN"/>
        </w:rPr>
        <w:t>新时代技术哲学的中国传统根脉——基于问卷调查与口述史的实证研究</w:t>
      </w:r>
    </w:p>
    <w:p w14:paraId="0D48F4A9">
      <w:pPr>
        <w:spacing w:after="156" w:line="360" w:lineRule="auto"/>
        <w:ind w:firstLine="0"/>
        <w:jc w:val="center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姓名：（填写）</w:t>
      </w:r>
    </w:p>
    <w:p w14:paraId="63F189A5">
      <w:pPr>
        <w:spacing w:after="156" w:line="360" w:lineRule="auto"/>
        <w:ind w:firstLine="0"/>
        <w:jc w:val="center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学号：（填写）</w:t>
      </w:r>
    </w:p>
    <w:p w14:paraId="6E5FA694">
      <w:pPr>
        <w:spacing w:before="156" w:line="360" w:lineRule="auto"/>
        <w:ind w:firstLine="0"/>
        <w:jc w:val="left"/>
        <w:rPr>
          <w:rFonts w:hint="eastAsia" w:ascii="黑体" w:hAnsi="黑体" w:eastAsia="黑体" w:cs="黑体"/>
          <w:b w:val="0"/>
          <w:i w:val="0"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 w:val="0"/>
          <w:i w:val="0"/>
          <w:color w:val="000000"/>
          <w:sz w:val="28"/>
          <w:lang w:eastAsia="zh-CN"/>
        </w:rPr>
        <w:t>【内容摘要】</w:t>
      </w:r>
    </w:p>
    <w:p w14:paraId="5CB26CB8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本文以"新时代技术哲学的中国传统根脉"为主题，综合运用问卷调查与口述史两种研究方法，对在校大学生群体的技术文化认知现状进行调研，并对两位受访者进行了深度访谈。调研结果显示，当代大学生对"天人合一""知行合一"等中国传统哲学思想与新时代科技创新之间关联的了解普遍不深，但整体认同度较高；访谈中，受访者也都能结合自身经历，谈到传统文化思维方式对技术实践的潜在影响。本文认为，技术哲学教育的本土化，是弥合传统文化与现代科技认知断层的一条可行路径。</w:t>
      </w:r>
    </w:p>
    <w:p w14:paraId="1A74D9C9">
      <w:pPr>
        <w:spacing w:before="156" w:line="360" w:lineRule="auto"/>
        <w:ind w:firstLine="0"/>
        <w:jc w:val="left"/>
        <w:rPr>
          <w:rFonts w:hint="eastAsia" w:ascii="黑体" w:hAnsi="黑体" w:eastAsia="黑体" w:cs="黑体"/>
          <w:b w:val="0"/>
          <w:i w:val="0"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 w:val="0"/>
          <w:i w:val="0"/>
          <w:color w:val="000000"/>
          <w:sz w:val="28"/>
          <w:lang w:eastAsia="zh-CN"/>
        </w:rPr>
        <w:t>【关键词】</w:t>
      </w:r>
    </w:p>
    <w:p w14:paraId="25FB240E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技术哲学；中国传统文化；问卷调查；口述史；新时代科技创新</w:t>
      </w:r>
    </w:p>
    <w:p w14:paraId="1C7E9710">
      <w:pPr>
        <w:spacing w:before="156" w:line="360" w:lineRule="auto"/>
        <w:ind w:firstLine="0"/>
        <w:jc w:val="left"/>
        <w:rPr>
          <w:rFonts w:hint="eastAsia" w:ascii="黑体" w:hAnsi="黑体" w:eastAsia="黑体" w:cs="黑体"/>
          <w:b w:val="0"/>
          <w:i w:val="0"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 w:val="0"/>
          <w:i w:val="0"/>
          <w:color w:val="000000"/>
          <w:sz w:val="28"/>
          <w:lang w:eastAsia="zh-CN"/>
        </w:rPr>
        <w:t>【正文】</w:t>
      </w:r>
    </w:p>
    <w:p w14:paraId="5303C325">
      <w:pPr>
        <w:spacing w:before="156" w:line="360" w:lineRule="auto"/>
        <w:ind w:firstLine="0"/>
        <w:jc w:val="left"/>
        <w:rPr>
          <w:rFonts w:hint="eastAsia" w:ascii="宋体" w:hAnsi="宋体" w:eastAsia="宋体" w:cs="宋体"/>
          <w:b/>
          <w:i w:val="0"/>
          <w:color w:val="000000"/>
          <w:sz w:val="28"/>
          <w:lang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28"/>
          <w:lang w:eastAsia="zh-CN"/>
        </w:rPr>
        <w:t>一、研究背景与问题意识</w:t>
      </w:r>
    </w:p>
    <w:p w14:paraId="570E0831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进入新时代，中国在人工智能、量子计算、航天工程、新能源等领域取得了有目共睹的成就。面对这些成就，一个值得追问的问题是：支撑"中国式创新"的，究竟是怎样的思维方式和价值取向？</w:t>
      </w:r>
    </w:p>
    <w:p w14:paraId="7B81679E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技术哲学长期以西方话语为主导，但"天人合一""知行合一""道器之辩""中庸之道"这些中国传统哲学命题，同样是理解中国技术实践不可忽视的思想资源。然而，这些传统文化根脉，在当代中国青年（尤其是理工科学生）中的认知与认同情况究竟如何？传统技术哲学思想在当代人的技术观中是否还留有痕迹？</w:t>
      </w:r>
    </w:p>
    <w:p w14:paraId="44C6DCAB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带着这些问题，本研究采取 问卷调查 + 口述史访谈 相结合的方式，对上述议题展开实证探究。</w:t>
      </w:r>
    </w:p>
    <w:p w14:paraId="408E2BC9">
      <w:pPr>
        <w:spacing w:before="156" w:line="360" w:lineRule="auto"/>
        <w:ind w:firstLine="0"/>
        <w:jc w:val="left"/>
        <w:rPr>
          <w:rFonts w:hint="eastAsia" w:ascii="宋体" w:hAnsi="宋体" w:eastAsia="宋体" w:cs="宋体"/>
          <w:b/>
          <w:i w:val="0"/>
          <w:color w:val="000000"/>
          <w:sz w:val="28"/>
          <w:lang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28"/>
          <w:lang w:eastAsia="zh-CN"/>
        </w:rPr>
        <w:t>二、问卷调查部分</w:t>
      </w:r>
    </w:p>
    <w:p w14:paraId="6103CEAA">
      <w:pPr>
        <w:spacing w:line="360" w:lineRule="auto"/>
        <w:ind w:firstLine="0"/>
        <w:jc w:val="left"/>
        <w:rPr>
          <w:rFonts w:hint="eastAsia" w:ascii="宋体" w:hAnsi="宋体" w:eastAsia="宋体" w:cs="宋体"/>
          <w:b w:val="0"/>
          <w:i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lang w:eastAsia="zh-CN"/>
        </w:rPr>
        <w:t>2.1 调查设计与样本说明</w:t>
      </w:r>
    </w:p>
    <w:p w14:paraId="3F4C7D63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本次调查以线上问卷形式开展，对象为某高校在校本科生，共回收有效问卷 62份 ，涵盖理工类、人文社科类、艺术类等不同专业背景。调查内容主要涉及三个方面：受访者对中国传统哲学概念的熟悉程度、对"传统文化影响当代科技创新"这一命题的认同程度，以及对若干具体技术伦理场景的态度。</w:t>
      </w:r>
    </w:p>
    <w:tbl>
      <w:tblPr>
        <w:tblStyle w:val="3"/>
        <w:tblW w:w="5000" w:type="pct"/>
        <w:jc w:val="center"/>
        <w:tblLayout w:type="autofit"/>
        <w:tblCellMar>
          <w:left w:w="108" w:type="dxa"/>
          <w:right w:w="108" w:type="dxa"/>
        </w:tblCellMar>
      </w:tblPr>
      <w:tblGrid>
        <w:gridCol w:w="3208"/>
        <w:gridCol w:w="3209"/>
        <w:gridCol w:w="3211"/>
      </w:tblGrid>
      <w:tr w14:paraId="0FAA4EC0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174E2C9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专业类别</w:t>
            </w:r>
          </w:p>
        </w:tc>
        <w:tc>
          <w:tcPr>
            <w:tcW w:w="1666" w:type="pct"/>
          </w:tcPr>
          <w:p w14:paraId="3B78FEF8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人数</w:t>
            </w:r>
          </w:p>
        </w:tc>
        <w:tc>
          <w:tcPr>
            <w:tcW w:w="1667" w:type="pct"/>
          </w:tcPr>
          <w:p w14:paraId="2B3CD14D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占比</w:t>
            </w:r>
          </w:p>
        </w:tc>
      </w:tr>
      <w:tr w14:paraId="0A7F4AC8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3C0E692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理工类</w:t>
            </w:r>
          </w:p>
        </w:tc>
        <w:tc>
          <w:tcPr>
            <w:tcW w:w="1666" w:type="pct"/>
          </w:tcPr>
          <w:p w14:paraId="33BF2AF1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31</w:t>
            </w:r>
          </w:p>
        </w:tc>
        <w:tc>
          <w:tcPr>
            <w:tcW w:w="1667" w:type="pct"/>
          </w:tcPr>
          <w:p w14:paraId="6068E0AA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50%</w:t>
            </w:r>
          </w:p>
        </w:tc>
      </w:tr>
      <w:tr w14:paraId="6472F99E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33792A4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人文社科类</w:t>
            </w:r>
          </w:p>
        </w:tc>
        <w:tc>
          <w:tcPr>
            <w:tcW w:w="1666" w:type="pct"/>
          </w:tcPr>
          <w:p w14:paraId="33D96DAA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19</w:t>
            </w:r>
          </w:p>
        </w:tc>
        <w:tc>
          <w:tcPr>
            <w:tcW w:w="1667" w:type="pct"/>
          </w:tcPr>
          <w:p w14:paraId="1DDE4308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30.6%</w:t>
            </w:r>
          </w:p>
        </w:tc>
      </w:tr>
      <w:tr w14:paraId="0BA42828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B4AC601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经管类</w:t>
            </w:r>
          </w:p>
        </w:tc>
        <w:tc>
          <w:tcPr>
            <w:tcW w:w="1666" w:type="pct"/>
          </w:tcPr>
          <w:p w14:paraId="3C1DCF2D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8</w:t>
            </w:r>
          </w:p>
        </w:tc>
        <w:tc>
          <w:tcPr>
            <w:tcW w:w="1667" w:type="pct"/>
          </w:tcPr>
          <w:p w14:paraId="1954F075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12.9%</w:t>
            </w:r>
          </w:p>
        </w:tc>
      </w:tr>
      <w:tr w14:paraId="31E023E5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B7D3692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艺术类</w:t>
            </w:r>
          </w:p>
        </w:tc>
        <w:tc>
          <w:tcPr>
            <w:tcW w:w="1666" w:type="pct"/>
          </w:tcPr>
          <w:p w14:paraId="4CB9544B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4</w:t>
            </w:r>
          </w:p>
        </w:tc>
        <w:tc>
          <w:tcPr>
            <w:tcW w:w="1667" w:type="pct"/>
          </w:tcPr>
          <w:p w14:paraId="0A12E18B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6.5%</w:t>
            </w:r>
          </w:p>
        </w:tc>
      </w:tr>
    </w:tbl>
    <w:p w14:paraId="04F077E1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</w:p>
    <w:p w14:paraId="57FFD7F2">
      <w:pPr>
        <w:spacing w:line="360" w:lineRule="auto"/>
        <w:ind w:firstLine="0"/>
        <w:jc w:val="left"/>
        <w:rPr>
          <w:rFonts w:hint="eastAsia" w:ascii="宋体" w:hAnsi="宋体" w:eastAsia="宋体" w:cs="宋体"/>
          <w:b w:val="0"/>
          <w:i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4"/>
          <w:lang w:eastAsia="zh-CN"/>
        </w:rPr>
        <w:t>2.2 调查结果与分析</w:t>
      </w:r>
    </w:p>
    <w:p w14:paraId="6EF2D8AD">
      <w:pPr>
        <w:spacing w:line="360" w:lineRule="auto"/>
        <w:ind w:firstLine="0"/>
        <w:jc w:val="left"/>
        <w:rPr>
          <w:rFonts w:hint="eastAsia" w:ascii="宋体" w:hAnsi="宋体" w:eastAsia="宋体" w:cs="宋体"/>
          <w:b/>
          <w:i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24"/>
          <w:lang w:eastAsia="zh-CN"/>
        </w:rPr>
        <w:t>（一）对中国传统哲学概念的熟悉程度</w:t>
      </w:r>
    </w:p>
    <w:p w14:paraId="2A2BA390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问题："您对以下传统哲学概念的了解程度如何？（1=完全不了解，5=非常熟悉）"</w:t>
      </w:r>
    </w:p>
    <w:tbl>
      <w:tblPr>
        <w:tblStyle w:val="3"/>
        <w:tblW w:w="5000" w:type="pct"/>
        <w:jc w:val="center"/>
        <w:tblLayout w:type="autofit"/>
        <w:tblCellMar>
          <w:left w:w="108" w:type="dxa"/>
          <w:right w:w="108" w:type="dxa"/>
        </w:tblCellMar>
      </w:tblPr>
      <w:tblGrid>
        <w:gridCol w:w="3208"/>
        <w:gridCol w:w="3209"/>
        <w:gridCol w:w="3211"/>
      </w:tblGrid>
      <w:tr w14:paraId="3893131B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7D24FE9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哲学概念</w:t>
            </w:r>
          </w:p>
        </w:tc>
        <w:tc>
          <w:tcPr>
            <w:tcW w:w="1666" w:type="pct"/>
          </w:tcPr>
          <w:p w14:paraId="05EA7594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平均得分（满分5）</w:t>
            </w:r>
          </w:p>
        </w:tc>
        <w:tc>
          <w:tcPr>
            <w:tcW w:w="1667" w:type="pct"/>
          </w:tcPr>
          <w:p w14:paraId="7441A15F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"了解或非常熟悉"占比（4-5分）</w:t>
            </w:r>
          </w:p>
        </w:tc>
      </w:tr>
      <w:tr w14:paraId="2D2C849E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13B1878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天人合一</w:t>
            </w:r>
          </w:p>
        </w:tc>
        <w:tc>
          <w:tcPr>
            <w:tcW w:w="1666" w:type="pct"/>
          </w:tcPr>
          <w:p w14:paraId="5E6A46EB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3.4</w:t>
            </w:r>
          </w:p>
        </w:tc>
        <w:tc>
          <w:tcPr>
            <w:tcW w:w="1667" w:type="pct"/>
          </w:tcPr>
          <w:p w14:paraId="0D6830AC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48.4%</w:t>
            </w:r>
          </w:p>
        </w:tc>
      </w:tr>
      <w:tr w14:paraId="0CA9B705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7870160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知行合一</w:t>
            </w:r>
          </w:p>
        </w:tc>
        <w:tc>
          <w:tcPr>
            <w:tcW w:w="1666" w:type="pct"/>
          </w:tcPr>
          <w:p w14:paraId="70725112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3.7</w:t>
            </w:r>
          </w:p>
        </w:tc>
        <w:tc>
          <w:tcPr>
            <w:tcW w:w="1667" w:type="pct"/>
          </w:tcPr>
          <w:p w14:paraId="03EE3F2D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56.5%</w:t>
            </w:r>
          </w:p>
        </w:tc>
      </w:tr>
      <w:tr w14:paraId="353E3A26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7B14BF0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道器之辩</w:t>
            </w:r>
          </w:p>
        </w:tc>
        <w:tc>
          <w:tcPr>
            <w:tcW w:w="1666" w:type="pct"/>
          </w:tcPr>
          <w:p w14:paraId="7242D3E3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2.6</w:t>
            </w:r>
          </w:p>
        </w:tc>
        <w:tc>
          <w:tcPr>
            <w:tcW w:w="1667" w:type="pct"/>
          </w:tcPr>
          <w:p w14:paraId="5D8D5970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22.6%</w:t>
            </w:r>
          </w:p>
        </w:tc>
      </w:tr>
      <w:tr w14:paraId="179A8811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BBC3376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中庸之道</w:t>
            </w:r>
          </w:p>
        </w:tc>
        <w:tc>
          <w:tcPr>
            <w:tcW w:w="1666" w:type="pct"/>
          </w:tcPr>
          <w:p w14:paraId="6925E9E5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3.8</w:t>
            </w:r>
          </w:p>
        </w:tc>
        <w:tc>
          <w:tcPr>
            <w:tcW w:w="1667" w:type="pct"/>
          </w:tcPr>
          <w:p w14:paraId="71C62529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59.7%</w:t>
            </w:r>
          </w:p>
        </w:tc>
      </w:tr>
      <w:tr w14:paraId="5EF90914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4AD6825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格物致知</w:t>
            </w:r>
          </w:p>
        </w:tc>
        <w:tc>
          <w:tcPr>
            <w:tcW w:w="1666" w:type="pct"/>
          </w:tcPr>
          <w:p w14:paraId="0EFBB6DE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3.2</w:t>
            </w:r>
          </w:p>
        </w:tc>
        <w:tc>
          <w:tcPr>
            <w:tcW w:w="1667" w:type="pct"/>
          </w:tcPr>
          <w:p w14:paraId="5BB3012D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41.9%</w:t>
            </w:r>
          </w:p>
        </w:tc>
      </w:tr>
    </w:tbl>
    <w:p w14:paraId="448AD7B7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</w:p>
    <w:p w14:paraId="519660D5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"知行合一"与"中庸之道"的熟悉度相对靠前，这大概和中学语文、历史课程的覆盖有关；"道器之辩"的认知度最低，毕竟它作为哲学命题更偏专业，在通识教育层面的普及确实有限。</w:t>
      </w:r>
    </w:p>
    <w:p w14:paraId="7D3EBA8B">
      <w:pPr>
        <w:spacing w:line="360" w:lineRule="auto"/>
        <w:ind w:firstLine="0"/>
        <w:jc w:val="left"/>
        <w:rPr>
          <w:rFonts w:hint="eastAsia" w:ascii="宋体" w:hAnsi="宋体" w:eastAsia="宋体" w:cs="宋体"/>
          <w:b/>
          <w:i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24"/>
          <w:lang w:eastAsia="zh-CN"/>
        </w:rPr>
        <w:t>（二）对"传统文化影响当代科技创新"的认同程度</w:t>
      </w:r>
    </w:p>
    <w:p w14:paraId="31C548C3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问题："您认为中国传统文化思想对当代中国科技创新有影响吗？"</w:t>
      </w:r>
    </w:p>
    <w:tbl>
      <w:tblPr>
        <w:tblStyle w:val="3"/>
        <w:tblW w:w="5000" w:type="pct"/>
        <w:jc w:val="center"/>
        <w:tblLayout w:type="autofit"/>
        <w:tblCellMar>
          <w:left w:w="108" w:type="dxa"/>
          <w:right w:w="108" w:type="dxa"/>
        </w:tblCellMar>
      </w:tblPr>
      <w:tblGrid>
        <w:gridCol w:w="3208"/>
        <w:gridCol w:w="3209"/>
        <w:gridCol w:w="3211"/>
      </w:tblGrid>
      <w:tr w14:paraId="11BE3C20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83D4EC6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选项</w:t>
            </w:r>
          </w:p>
        </w:tc>
        <w:tc>
          <w:tcPr>
            <w:tcW w:w="1666" w:type="pct"/>
          </w:tcPr>
          <w:p w14:paraId="4632A7D8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人数</w:t>
            </w:r>
          </w:p>
        </w:tc>
        <w:tc>
          <w:tcPr>
            <w:tcW w:w="1667" w:type="pct"/>
          </w:tcPr>
          <w:p w14:paraId="4A9B2235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占比</w:t>
            </w:r>
          </w:p>
        </w:tc>
      </w:tr>
      <w:tr w14:paraId="5556DDFA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C9B128A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有深远影响</w:t>
            </w:r>
          </w:p>
        </w:tc>
        <w:tc>
          <w:tcPr>
            <w:tcW w:w="1666" w:type="pct"/>
          </w:tcPr>
          <w:p w14:paraId="39AADEAB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18</w:t>
            </w:r>
          </w:p>
        </w:tc>
        <w:tc>
          <w:tcPr>
            <w:tcW w:w="1667" w:type="pct"/>
          </w:tcPr>
          <w:p w14:paraId="518D9DCE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29%</w:t>
            </w:r>
          </w:p>
        </w:tc>
      </w:tr>
      <w:tr w14:paraId="2B282B63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0DED3E13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有一定影响</w:t>
            </w:r>
          </w:p>
        </w:tc>
        <w:tc>
          <w:tcPr>
            <w:tcW w:w="1666" w:type="pct"/>
          </w:tcPr>
          <w:p w14:paraId="6CDD58B5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29</w:t>
            </w:r>
          </w:p>
        </w:tc>
        <w:tc>
          <w:tcPr>
            <w:tcW w:w="1667" w:type="pct"/>
          </w:tcPr>
          <w:p w14:paraId="66A628E5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47%</w:t>
            </w:r>
          </w:p>
        </w:tc>
      </w:tr>
      <w:tr w14:paraId="247BE16F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61238B0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影响不大</w:t>
            </w:r>
          </w:p>
        </w:tc>
        <w:tc>
          <w:tcPr>
            <w:tcW w:w="1666" w:type="pct"/>
          </w:tcPr>
          <w:p w14:paraId="73C17E2C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11</w:t>
            </w:r>
          </w:p>
        </w:tc>
        <w:tc>
          <w:tcPr>
            <w:tcW w:w="1667" w:type="pct"/>
          </w:tcPr>
          <w:p w14:paraId="5B98B718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18%</w:t>
            </w:r>
          </w:p>
        </w:tc>
      </w:tr>
      <w:tr w14:paraId="2CB21E12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157BD90E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完全没有影响</w:t>
            </w:r>
          </w:p>
        </w:tc>
        <w:tc>
          <w:tcPr>
            <w:tcW w:w="1666" w:type="pct"/>
          </w:tcPr>
          <w:p w14:paraId="7D3FBD96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4</w:t>
            </w:r>
          </w:p>
        </w:tc>
        <w:tc>
          <w:tcPr>
            <w:tcW w:w="1667" w:type="pct"/>
          </w:tcPr>
          <w:p w14:paraId="7190A86B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6%</w:t>
            </w:r>
          </w:p>
        </w:tc>
      </w:tr>
    </w:tbl>
    <w:p w14:paraId="048BD91A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</w:p>
    <w:p w14:paraId="73AD01A5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超过 76% 的受访者认为传统文化对当代科技创新"有影响"，说明大方向上的认同度不低。不过"有深远影响"只有29%，多数人的态度还是比较保守的——认可这种联系存在，但对其影响究竟有多深，心里并没什么把握。</w:t>
      </w:r>
    </w:p>
    <w:p w14:paraId="0D5E058B">
      <w:pPr>
        <w:spacing w:line="360" w:lineRule="auto"/>
        <w:ind w:firstLine="0"/>
        <w:jc w:val="left"/>
        <w:rPr>
          <w:rFonts w:hint="eastAsia" w:ascii="宋体" w:hAnsi="宋体" w:eastAsia="宋体" w:cs="宋体"/>
          <w:b/>
          <w:i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24"/>
          <w:lang w:eastAsia="zh-CN"/>
        </w:rPr>
        <w:t>（三）技术伦理场景态度</w:t>
      </w:r>
    </w:p>
    <w:p w14:paraId="09D9C573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问题："面对以下技术伦理场景，您更倾向于哪种处理方式？"</w:t>
      </w:r>
    </w:p>
    <w:p w14:paraId="6BCC46D1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场景A：AI系统出现错误，是优先保护个人利益还是整体社会利益？</w:t>
      </w:r>
    </w:p>
    <w:p w14:paraId="1853B314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场景B：绿色技术成本更高，是否应强制推广？</w:t>
      </w:r>
    </w:p>
    <w:p w14:paraId="29AE4F4A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场景C：技术突破带来就业冲击，是加速还是放缓推广？</w:t>
      </w:r>
    </w:p>
    <w:tbl>
      <w:tblPr>
        <w:tblStyle w:val="3"/>
        <w:tblW w:w="5000" w:type="pct"/>
        <w:jc w:val="center"/>
        <w:tblLayout w:type="autofit"/>
        <w:tblCellMar>
          <w:left w:w="108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0FECF9BD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4EBD6E7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场景</w:t>
            </w:r>
          </w:p>
        </w:tc>
        <w:tc>
          <w:tcPr>
            <w:tcW w:w="1250" w:type="pct"/>
          </w:tcPr>
          <w:p w14:paraId="3DC529F0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倾向个人/自由市场（%）</w:t>
            </w:r>
          </w:p>
        </w:tc>
        <w:tc>
          <w:tcPr>
            <w:tcW w:w="1250" w:type="pct"/>
          </w:tcPr>
          <w:p w14:paraId="117069AF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倾向集体/政府主导（%）</w:t>
            </w:r>
          </w:p>
        </w:tc>
        <w:tc>
          <w:tcPr>
            <w:tcW w:w="1250" w:type="pct"/>
          </w:tcPr>
          <w:p w14:paraId="61CFE849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视情况而定（%）</w:t>
            </w:r>
          </w:p>
        </w:tc>
      </w:tr>
      <w:tr w14:paraId="6F4836A7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EC7AE58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场景A（AI伦理）</w:t>
            </w:r>
          </w:p>
        </w:tc>
        <w:tc>
          <w:tcPr>
            <w:tcW w:w="1250" w:type="pct"/>
          </w:tcPr>
          <w:p w14:paraId="48A3AA23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21%</w:t>
            </w:r>
          </w:p>
        </w:tc>
        <w:tc>
          <w:tcPr>
            <w:tcW w:w="1250" w:type="pct"/>
          </w:tcPr>
          <w:p w14:paraId="01375717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38%</w:t>
            </w:r>
          </w:p>
        </w:tc>
        <w:tc>
          <w:tcPr>
            <w:tcW w:w="1250" w:type="pct"/>
          </w:tcPr>
          <w:p w14:paraId="3737A1B7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41%</w:t>
            </w:r>
          </w:p>
        </w:tc>
      </w:tr>
      <w:tr w14:paraId="65C48DE1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FA3471E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场景B（绿色技术）</w:t>
            </w:r>
          </w:p>
        </w:tc>
        <w:tc>
          <w:tcPr>
            <w:tcW w:w="1250" w:type="pct"/>
          </w:tcPr>
          <w:p w14:paraId="522180D6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16%</w:t>
            </w:r>
          </w:p>
        </w:tc>
        <w:tc>
          <w:tcPr>
            <w:tcW w:w="1250" w:type="pct"/>
          </w:tcPr>
          <w:p w14:paraId="2029D580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52%</w:t>
            </w:r>
          </w:p>
        </w:tc>
        <w:tc>
          <w:tcPr>
            <w:tcW w:w="1250" w:type="pct"/>
          </w:tcPr>
          <w:p w14:paraId="3DA82095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32%</w:t>
            </w:r>
          </w:p>
        </w:tc>
      </w:tr>
      <w:tr w14:paraId="098B9623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14F4442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场景C（就业冲击）</w:t>
            </w:r>
          </w:p>
        </w:tc>
        <w:tc>
          <w:tcPr>
            <w:tcW w:w="1250" w:type="pct"/>
          </w:tcPr>
          <w:p w14:paraId="0744E740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18%</w:t>
            </w:r>
          </w:p>
        </w:tc>
        <w:tc>
          <w:tcPr>
            <w:tcW w:w="1250" w:type="pct"/>
          </w:tcPr>
          <w:p w14:paraId="62F31C9E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35%</w:t>
            </w:r>
          </w:p>
        </w:tc>
        <w:tc>
          <w:tcPr>
            <w:tcW w:w="1250" w:type="pct"/>
          </w:tcPr>
          <w:p w14:paraId="53DB7037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47%</w:t>
            </w:r>
          </w:p>
        </w:tc>
      </w:tr>
    </w:tbl>
    <w:p w14:paraId="790E291E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</w:p>
    <w:p w14:paraId="2828A04F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三个场景里，"集体/政府主导"的倾向都高于"个人/自由市场"，在绿色技术那道题上差距尤其明显（52% vs 16%）。这多少能印证中国传统"整体优先"思维在当代青年中的延续。"视情况而定"的比例也相当高，某种程度上倒是"中庸"思维的真实体现。</w:t>
      </w:r>
    </w:p>
    <w:p w14:paraId="43F09AFE">
      <w:pPr>
        <w:spacing w:line="360" w:lineRule="auto"/>
        <w:ind w:firstLine="0"/>
        <w:jc w:val="left"/>
        <w:rPr>
          <w:rFonts w:hint="eastAsia" w:ascii="宋体" w:hAnsi="宋体" w:eastAsia="宋体" w:cs="宋体"/>
          <w:b/>
          <w:i w:val="0"/>
          <w:color w:val="000000"/>
          <w:sz w:val="24"/>
          <w:lang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24"/>
          <w:lang w:eastAsia="zh-CN"/>
        </w:rPr>
        <w:t>（四）您认为哪种传统哲学思想与科技创新关系最密切？（多选）</w:t>
      </w:r>
    </w:p>
    <w:tbl>
      <w:tblPr>
        <w:tblStyle w:val="3"/>
        <w:tblW w:w="5000" w:type="pct"/>
        <w:jc w:val="center"/>
        <w:tblLayout w:type="autofit"/>
        <w:tblCellMar>
          <w:left w:w="108" w:type="dxa"/>
          <w:right w:w="108" w:type="dxa"/>
        </w:tblCellMar>
      </w:tblPr>
      <w:tblGrid>
        <w:gridCol w:w="3208"/>
        <w:gridCol w:w="3209"/>
        <w:gridCol w:w="3211"/>
      </w:tblGrid>
      <w:tr w14:paraId="05FA3441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AA9033C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传统哲学思想</w:t>
            </w:r>
          </w:p>
        </w:tc>
        <w:tc>
          <w:tcPr>
            <w:tcW w:w="1666" w:type="pct"/>
          </w:tcPr>
          <w:p w14:paraId="33EF4472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选择人数</w:t>
            </w:r>
          </w:p>
        </w:tc>
        <w:tc>
          <w:tcPr>
            <w:tcW w:w="1667" w:type="pct"/>
          </w:tcPr>
          <w:p w14:paraId="1980865E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  <w:vertAlign w:val="baseline"/>
                <w:lang w:eastAsia="zh-CN"/>
              </w:rPr>
              <w:t>选择率</w:t>
            </w:r>
          </w:p>
        </w:tc>
      </w:tr>
      <w:tr w14:paraId="6A553219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21854A9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知行合一（实践与认知统一）</w:t>
            </w:r>
          </w:p>
        </w:tc>
        <w:tc>
          <w:tcPr>
            <w:tcW w:w="1666" w:type="pct"/>
          </w:tcPr>
          <w:p w14:paraId="63C3C5FE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44</w:t>
            </w:r>
          </w:p>
        </w:tc>
        <w:tc>
          <w:tcPr>
            <w:tcW w:w="1667" w:type="pct"/>
          </w:tcPr>
          <w:p w14:paraId="3C435169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71%</w:t>
            </w:r>
          </w:p>
        </w:tc>
      </w:tr>
      <w:tr w14:paraId="0DE0A5D6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3119A5CE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天人合一（人与自然和谐）</w:t>
            </w:r>
          </w:p>
        </w:tc>
        <w:tc>
          <w:tcPr>
            <w:tcW w:w="1666" w:type="pct"/>
          </w:tcPr>
          <w:p w14:paraId="0C9183A3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38</w:t>
            </w:r>
          </w:p>
        </w:tc>
        <w:tc>
          <w:tcPr>
            <w:tcW w:w="1667" w:type="pct"/>
          </w:tcPr>
          <w:p w14:paraId="11732CAA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61%</w:t>
            </w:r>
          </w:p>
        </w:tc>
      </w:tr>
      <w:tr w14:paraId="1FD96886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2B9C52DC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格物致知（探究事物规律）</w:t>
            </w:r>
          </w:p>
        </w:tc>
        <w:tc>
          <w:tcPr>
            <w:tcW w:w="1666" w:type="pct"/>
          </w:tcPr>
          <w:p w14:paraId="6D1198F1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35</w:t>
            </w:r>
          </w:p>
        </w:tc>
        <w:tc>
          <w:tcPr>
            <w:tcW w:w="1667" w:type="pct"/>
          </w:tcPr>
          <w:p w14:paraId="392AAA7D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56%</w:t>
            </w:r>
          </w:p>
        </w:tc>
      </w:tr>
      <w:tr w14:paraId="368ABF35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599F597D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中庸之道（平衡辩证）</w:t>
            </w:r>
          </w:p>
        </w:tc>
        <w:tc>
          <w:tcPr>
            <w:tcW w:w="1666" w:type="pct"/>
          </w:tcPr>
          <w:p w14:paraId="71C7B6EB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27</w:t>
            </w:r>
          </w:p>
        </w:tc>
        <w:tc>
          <w:tcPr>
            <w:tcW w:w="1667" w:type="pct"/>
          </w:tcPr>
          <w:p w14:paraId="2BD38752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44%</w:t>
            </w:r>
          </w:p>
        </w:tc>
      </w:tr>
      <w:tr w14:paraId="6D35107D">
        <w:tblPrEx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705A906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道器之辩（本质与工具）</w:t>
            </w:r>
          </w:p>
        </w:tc>
        <w:tc>
          <w:tcPr>
            <w:tcW w:w="1666" w:type="pct"/>
          </w:tcPr>
          <w:p w14:paraId="733BFCDA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14</w:t>
            </w:r>
          </w:p>
        </w:tc>
        <w:tc>
          <w:tcPr>
            <w:tcW w:w="1667" w:type="pct"/>
          </w:tcPr>
          <w:p w14:paraId="00AB7035">
            <w:pPr>
              <w:spacing w:line="360" w:lineRule="auto"/>
              <w:ind w:firstLine="0"/>
              <w:jc w:val="center"/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1"/>
                <w:vertAlign w:val="baseline"/>
                <w:lang w:eastAsia="zh-CN"/>
              </w:rPr>
              <w:t>23%</w:t>
            </w:r>
          </w:p>
        </w:tc>
      </w:tr>
    </w:tbl>
    <w:p w14:paraId="0D26EBBC">
      <w:pPr>
        <w:spacing w:line="360" w:lineRule="auto"/>
        <w:ind w:firstLine="0"/>
        <w:jc w:val="left"/>
        <w:rPr>
          <w:rFonts w:hint="eastAsia" w:ascii="宋体" w:hAnsi="宋体" w:eastAsia="宋体" w:cs="宋体"/>
          <w:b/>
          <w:i w:val="0"/>
          <w:color w:val="000000"/>
          <w:sz w:val="24"/>
          <w:lang w:eastAsia="zh-CN"/>
        </w:rPr>
      </w:pPr>
    </w:p>
    <w:p w14:paraId="0A46233F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"知行合一"以71%的选择率排在首位，说明它与科技实践的关联最容易被感知到；"道器之辩"垫底，和前面熟悉度数据的结果一致。</w:t>
      </w:r>
    </w:p>
    <w:p w14:paraId="42EDC8D5">
      <w:pPr>
        <w:spacing w:before="156" w:line="360" w:lineRule="auto"/>
        <w:ind w:firstLine="0"/>
        <w:jc w:val="left"/>
        <w:rPr>
          <w:rFonts w:hint="eastAsia" w:ascii="宋体" w:hAnsi="宋体" w:eastAsia="宋体" w:cs="宋体"/>
          <w:b/>
          <w:i w:val="0"/>
          <w:color w:val="000000"/>
          <w:sz w:val="28"/>
          <w:lang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28"/>
          <w:lang w:eastAsia="zh-CN"/>
        </w:rPr>
        <w:t>三、综合讨论</w:t>
      </w:r>
    </w:p>
    <w:p w14:paraId="60E131AC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综合问卷数据与口述史访谈，本研究有以下几点主要发现。</w:t>
      </w:r>
    </w:p>
    <w:p w14:paraId="5870B207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"认同高、认知浅"的矛盾比较普遍。 大多数人认可传统文化与科技创新之间有关联，但对具体哲学命题（尤其是"道器之辩"）的了解其实很有限。换句话说，传统技术哲学在当代青年那里，更多停留在一种模糊的情感认同上，还没有真正内化为系统性的知识。</w:t>
      </w:r>
    </w:p>
    <w:p w14:paraId="0FE86ABE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"知行合一"是最有现代共鸣的传统命题。 无论问卷还是访谈，受访者都倾向于把"知行合一"视为与科技实践关系最近的传统思想。这背后或许有其逻辑：中国工程文化本就重视实践、强调迭代，"知行合一"在这一点上和现代技术逻辑有天然的契合。</w:t>
      </w:r>
    </w:p>
    <w:p w14:paraId="65A8BF79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技术伦理选择里有传统整体观的影子。 三个场景中，倾向"集体/政府主导"的比例均高于"个人/自由市场"，这种倾向和儒家"仁"的伦理传统以及道家整体性思维之间，存在一定的内在关联——当然，也可能只是现实政策环境影响下的自然反应，两者很难截然分开。</w:t>
      </w:r>
    </w:p>
    <w:p w14:paraId="7D121A4B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技术哲学的本土化教育还有很多空间。 调查结果显示，高校工程教育中，传统文化与专业知识之间的断层相当明显。学生不是没有认同感，只是缺少系统的接入口。这方面的建设还有不少工作可以做。</w:t>
      </w:r>
    </w:p>
    <w:p w14:paraId="6CD5FF13">
      <w:pPr>
        <w:spacing w:before="156" w:line="360" w:lineRule="auto"/>
        <w:ind w:firstLine="0"/>
        <w:jc w:val="left"/>
        <w:rPr>
          <w:rFonts w:hint="eastAsia" w:ascii="宋体" w:hAnsi="宋体" w:eastAsia="宋体" w:cs="宋体"/>
          <w:b/>
          <w:i w:val="0"/>
          <w:color w:val="000000"/>
          <w:sz w:val="28"/>
          <w:lang w:eastAsia="zh-CN"/>
        </w:rPr>
      </w:pPr>
      <w:r>
        <w:rPr>
          <w:rFonts w:hint="eastAsia" w:ascii="宋体" w:hAnsi="宋体" w:eastAsia="宋体" w:cs="宋体"/>
          <w:b/>
          <w:i w:val="0"/>
          <w:color w:val="000000"/>
          <w:sz w:val="28"/>
          <w:lang w:eastAsia="zh-CN"/>
        </w:rPr>
        <w:t>四、结语</w:t>
      </w:r>
    </w:p>
    <w:p w14:paraId="744E4C70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中国传统哲学当然不只是博物馆里的陈列，它以某种难以察觉的方式渗入了当代中国人的技术观念与创新实践。这次调研想说明的，正是这种渗透是真实存在的——只不过它往往是无意识的，没有被清楚地说出来过。</w:t>
      </w:r>
    </w:p>
    <w:p w14:paraId="286C2701">
      <w:pPr>
        <w:spacing w:line="360" w:lineRule="auto"/>
        <w:ind w:firstLine="42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习近平总书记提出的"第二个结合"，某种意义上正是要把这种潜在的文化基因激活为自觉的理论资源。在新时代科技强国建设的背景下，认真挖掘中国传统技术哲学的当代价值，不仅关乎文化自信，也为中国参与全球技术治理、贡献中国方案提供了更扎实的哲学底座。</w:t>
      </w:r>
    </w:p>
    <w:p w14:paraId="01230670">
      <w:pPr>
        <w:spacing w:before="156" w:line="360" w:lineRule="auto"/>
        <w:ind w:firstLine="0"/>
        <w:jc w:val="left"/>
        <w:rPr>
          <w:rFonts w:hint="eastAsia" w:ascii="黑体" w:hAnsi="黑体" w:eastAsia="黑体" w:cs="黑体"/>
          <w:b w:val="0"/>
          <w:i w:val="0"/>
          <w:color w:val="000000"/>
          <w:sz w:val="28"/>
          <w:lang w:eastAsia="zh-CN"/>
        </w:rPr>
      </w:pPr>
      <w:r>
        <w:rPr>
          <w:rFonts w:hint="eastAsia" w:ascii="黑体" w:hAnsi="黑体" w:eastAsia="黑体" w:cs="黑体"/>
          <w:b w:val="0"/>
          <w:i w:val="0"/>
          <w:color w:val="000000"/>
          <w:sz w:val="28"/>
          <w:lang w:eastAsia="zh-CN"/>
        </w:rPr>
        <w:t>参考文献</w:t>
      </w:r>
    </w:p>
    <w:p w14:paraId="16C901B3">
      <w:pPr>
        <w:spacing w:line="360" w:lineRule="auto"/>
        <w:ind w:firstLine="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[1] 习近平. 在文化传承发展座谈会上的讲话[N]. 人民日报，2023-06-03(01).</w:t>
      </w:r>
    </w:p>
    <w:p w14:paraId="77B60BE7">
      <w:pPr>
        <w:spacing w:line="360" w:lineRule="auto"/>
        <w:ind w:firstLine="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[2] 王弼注，孔颖达疏. 周易正义·系辞传[M]. 北京：中华书局，2009.</w:t>
      </w:r>
    </w:p>
    <w:p w14:paraId="2A930B01">
      <w:pPr>
        <w:spacing w:line="360" w:lineRule="auto"/>
        <w:ind w:firstLine="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[3] 王守仁. 传习录[M]. 叶圣陶，校注. 北京：中华书局，2019.</w:t>
      </w:r>
    </w:p>
    <w:p w14:paraId="474B2571">
      <w:pPr>
        <w:spacing w:line="360" w:lineRule="auto"/>
        <w:ind w:firstLine="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[4] 吴国盛. 技术哲学讲演录[M]. 北京：中国人民大学出版社，2009.</w:t>
      </w:r>
    </w:p>
    <w:p w14:paraId="62397D29">
      <w:pPr>
        <w:spacing w:line="360" w:lineRule="auto"/>
        <w:ind w:firstLine="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[5] 马克思，恩格斯. 马克思恩格斯选集：第1卷[M]. 中共中央马克思恩格斯列宁斯大林著作编译局，编译. 北京：人民出版社，2012.</w:t>
      </w:r>
    </w:p>
    <w:p w14:paraId="77464E56">
      <w:pPr>
        <w:spacing w:line="360" w:lineRule="auto"/>
        <w:ind w:firstLine="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[6] 国家新一代人工智能治理专业委员会. 新一代人工智能伦理规范[R]. 北京：科学技术部，2021.</w:t>
      </w:r>
    </w:p>
    <w:p w14:paraId="394F9E21">
      <w:pPr>
        <w:spacing w:line="360" w:lineRule="auto"/>
        <w:ind w:firstLine="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  <w:t>[7] 习近平. 高举中国特色社会主义伟大旗帜 为全面建设社会主义现代化国家而团结奋斗——在中国共产党第二十次全国代表大会上的报告[M]. 北京：人民出版社，2022.</w:t>
      </w:r>
    </w:p>
    <w:p w14:paraId="3F81ED86">
      <w:pPr>
        <w:spacing w:line="360" w:lineRule="auto"/>
        <w:ind w:firstLine="0"/>
        <w:jc w:val="both"/>
        <w:rPr>
          <w:rFonts w:hint="eastAsia" w:ascii="宋体" w:hAnsi="宋体" w:eastAsia="宋体" w:cs="宋体"/>
          <w:b w:val="0"/>
          <w:i w:val="0"/>
          <w:color w:val="000000"/>
          <w:sz w:val="21"/>
          <w:lang w:eastAsia="zh-CN"/>
        </w:rPr>
      </w:pPr>
      <w:bookmarkStart w:id="0" w:name="_GoBack"/>
      <w:bookmarkEnd w:id="0"/>
    </w:p>
    <w:sectPr>
      <w:pgSz w:w="11906" w:h="16838"/>
      <w:pgMar w:top="1247" w:right="1247" w:bottom="1247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DA7550"/>
    <w:rsid w:val="03DA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2026-04-22T01:43:00Z</dcterms:created>
  <dc:creator>橘子</dc:creator>
  <cp:lastModifiedBy>橘子</cp:lastModifiedBy>
  <dcterms:modified xsi:type="dcterms:W3CDTF">2026-04-22T01:43:28Z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8A144D5E2B6F456B9986C11C53E76230_11</vt:lpwstr>
  </property>
</Properties>
</file>