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52"/>
        </w:rPr>
        <w:t>医疗废物管理系统</w:t>
      </w:r>
    </w:p>
    <w:p>
      <w:pPr>
        <w:jc w:val="center"/>
      </w:pPr>
      <w:r>
        <w:rPr>
          <w:color w:val="2563EB"/>
          <w:sz w:val="40"/>
        </w:rPr>
        <w:t>软件需求规格说明书</w:t>
      </w:r>
    </w:p>
    <w:p/>
    <w:p/>
    <w:p/>
    <w:p/>
    <w:p>
      <w:pPr>
        <w:jc w:val="center"/>
      </w:pPr>
      <w:r>
        <w:rPr>
          <w:b/>
        </w:rPr>
        <w:t>项目名称：</w:t>
      </w:r>
      <w:r>
        <w:t>医疗废物管理系统</w:t>
      </w:r>
    </w:p>
    <w:p>
      <w:pPr>
        <w:jc w:val="center"/>
      </w:pPr>
      <w:r>
        <w:rPr>
          <w:b/>
        </w:rPr>
        <w:t>版本：</w:t>
      </w:r>
      <w:r>
        <w:t>V1.0</w:t>
      </w:r>
    </w:p>
    <w:p>
      <w:pPr>
        <w:jc w:val="center"/>
      </w:pPr>
      <w:r>
        <w:rPr>
          <w:b/>
        </w:rPr>
        <w:t>编制人：</w:t>
      </w:r>
      <w:r>
        <w:t>陈美焕</w:t>
      </w:r>
    </w:p>
    <w:p>
      <w:pPr>
        <w:jc w:val="center"/>
      </w:pPr>
      <w:r>
        <w:rPr>
          <w:b/>
        </w:rPr>
        <w:t>日期：</w:t>
      </w:r>
      <w:r>
        <w:t>2026.03</w:t>
      </w:r>
    </w:p>
    <w:p>
      <w:pPr>
        <w:jc w:val="center"/>
      </w:pPr>
      <w:r>
        <w:rPr>
          <w:b/>
        </w:rPr>
        <w:t>团队规模：</w:t>
      </w:r>
      <w:r>
        <w:t>5人</w:t>
      </w:r>
    </w:p>
    <w:p>
      <w:pPr>
        <w:jc w:val="center"/>
      </w:pPr>
      <w:r>
        <w:rPr>
          <w:b/>
        </w:rPr>
        <w:t>技术栈：</w:t>
      </w:r>
      <w:r>
        <w:t>Spring Boot 2.2.5 + MyBatis + MySQL + ECharts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/>
        </w:rPr>
        <w:t>1. 项目概述</w:t>
      </w:r>
    </w:p>
    <w:p>
      <w:pPr>
        <w:pStyle w:val="Heading2"/>
      </w:pPr>
      <w:r>
        <w:rPr>
          <w:rFonts w:ascii="Microsoft YaHei" w:hAnsi="Microsoft YaHei"/>
        </w:rPr>
        <w:t>1.1 项目背景</w:t>
      </w:r>
    </w:p>
    <w:p>
      <w:r>
        <w:t>医疗废物属于危险废物，管理涉及收集、暂存、转运、处置等多环节。传统纸质台账模式存在数据易丢失、追溯困难、统计效率低等问题，难以实现对废物流转全过程的实时监控和数据可视化。</w:t>
      </w:r>
    </w:p>
    <w:p>
      <w:pPr>
        <w:pStyle w:val="Heading2"/>
      </w:pPr>
      <w:r>
        <w:rPr>
          <w:rFonts w:ascii="Microsoft YaHei" w:hAnsi="Microsoft YaHei"/>
        </w:rPr>
        <w:t>1.2 项目目标</w:t>
      </w:r>
    </w:p>
    <w:p>
      <w:pPr>
        <w:pStyle w:val="ListBullet"/>
      </w:pPr>
      <w:r>
        <w:t>流程数字化：实现废物从产生到运出的全流程数字化记录</w:t>
      </w:r>
    </w:p>
    <w:p>
      <w:pPr>
        <w:pStyle w:val="ListBullet"/>
      </w:pPr>
      <w:r>
        <w:t>数据可追溯：每个环节的操作可查，形成完整闭环</w:t>
      </w:r>
    </w:p>
    <w:p>
      <w:pPr>
        <w:pStyle w:val="ListBullet"/>
      </w:pPr>
      <w:r>
        <w:t>统计可视化：通过大屏和报表直观展示管理数据</w:t>
      </w:r>
    </w:p>
    <w:p>
      <w:pPr>
        <w:pStyle w:val="ListBullet"/>
      </w:pPr>
      <w:r>
        <w:t>效率提升：减少人工登记和数据整理时间</w:t>
      </w:r>
    </w:p>
    <w:p>
      <w:pPr>
        <w:pStyle w:val="Heading2"/>
      </w:pPr>
      <w:r>
        <w:rPr>
          <w:rFonts w:ascii="Microsoft YaHei" w:hAnsi="Microsoft YaHei"/>
        </w:rPr>
        <w:t>1.3 项目范围</w:t>
      </w:r>
    </w:p>
    <w:p>
      <w:r>
        <w:t>覆盖科室收集、称重入库、暂存管理、转运管理、出库装车、数据统计大屏、设备监控、消息通知、人员权限管理等模块。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/>
        </w:rPr>
        <w:t>2. 功能性需求</w:t>
      </w:r>
    </w:p>
    <w:p>
      <w:pPr>
        <w:pStyle w:val="Heading2"/>
      </w:pPr>
      <w:r>
        <w:rPr>
          <w:rFonts w:ascii="Microsoft YaHei" w:hAnsi="Microsoft YaHei"/>
        </w:rPr>
        <w:t>2.1 用户角色与权限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权限描述</w:t>
            </w:r>
          </w:p>
        </w:tc>
      </w:tr>
      <w:tr>
        <w:tc>
          <w:tcPr>
            <w:tcW w:type="dxa" w:w="4320"/>
          </w:tcPr>
          <w:p>
            <w:r>
              <w:t>系统管理员</w:t>
            </w:r>
          </w:p>
        </w:tc>
        <w:tc>
          <w:tcPr>
            <w:tcW w:type="dxa" w:w="4320"/>
          </w:tcPr>
          <w:p>
            <w:r>
              <w:t>人员管理、角色分配、权限配置、系统设置</w:t>
            </w:r>
          </w:p>
        </w:tc>
      </w:tr>
      <w:tr>
        <w:tc>
          <w:tcPr>
            <w:tcW w:type="dxa" w:w="4320"/>
          </w:tcPr>
          <w:p>
            <w:r>
              <w:t>科室操作员</w:t>
            </w:r>
          </w:p>
        </w:tc>
        <w:tc>
          <w:tcPr>
            <w:tcW w:type="dxa" w:w="4320"/>
          </w:tcPr>
          <w:p>
            <w:r>
              <w:t>废物登记、查看本科室数据</w:t>
            </w:r>
          </w:p>
        </w:tc>
      </w:tr>
      <w:tr>
        <w:tc>
          <w:tcPr>
            <w:tcW w:type="dxa" w:w="4320"/>
          </w:tcPr>
          <w:p>
            <w:r>
              <w:t>仓库管理员</w:t>
            </w:r>
          </w:p>
        </w:tc>
        <w:tc>
          <w:tcPr>
            <w:tcW w:type="dxa" w:w="4320"/>
          </w:tcPr>
          <w:p>
            <w:r>
              <w:t>入库确认、暂存管理、出库操作</w:t>
            </w:r>
          </w:p>
        </w:tc>
      </w:tr>
      <w:tr>
        <w:tc>
          <w:tcPr>
            <w:tcW w:type="dxa" w:w="4320"/>
          </w:tcPr>
          <w:p>
            <w:r>
              <w:t>转运负责人</w:t>
            </w:r>
          </w:p>
        </w:tc>
        <w:tc>
          <w:tcPr>
            <w:tcW w:type="dxa" w:w="4320"/>
          </w:tcPr>
          <w:p>
            <w:r>
              <w:t>转运安排、运输追踪、出车确认</w:t>
            </w:r>
          </w:p>
        </w:tc>
      </w:tr>
      <w:tr>
        <w:tc>
          <w:tcPr>
            <w:tcW w:type="dxa" w:w="4320"/>
          </w:tcPr>
          <w:p>
            <w:r>
              <w:t>管理层</w:t>
            </w:r>
          </w:p>
        </w:tc>
        <w:tc>
          <w:tcPr>
            <w:tcW w:type="dxa" w:w="4320"/>
          </w:tcPr>
          <w:p>
            <w:r>
              <w:t>数据统计大屏、报表查看、全局监控</w:t>
            </w:r>
          </w:p>
        </w:tc>
      </w:tr>
    </w:tbl>
    <w:p>
      <w:pPr>
        <w:pStyle w:val="Heading2"/>
      </w:pPr>
      <w:r>
        <w:rPr>
          <w:rFonts w:ascii="Microsoft YaHei" w:hAnsi="Microsoft YaHei"/>
        </w:rPr>
        <w:t>2.2 功能模块清单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功能说明</w:t>
            </w:r>
          </w:p>
        </w:tc>
        <w:tc>
          <w:tcPr>
            <w:tcW w:type="dxa" w:w="2880"/>
          </w:tcPr>
          <w:p>
            <w:r>
              <w:t>优先级</w:t>
            </w:r>
          </w:p>
        </w:tc>
      </w:tr>
      <w:tr>
        <w:tc>
          <w:tcPr>
            <w:tcW w:type="dxa" w:w="2880"/>
          </w:tcPr>
          <w:p>
            <w:r>
              <w:t>废物登记</w:t>
            </w:r>
          </w:p>
        </w:tc>
        <w:tc>
          <w:tcPr>
            <w:tcW w:type="dxa" w:w="2880"/>
          </w:tcPr>
          <w:p>
            <w:r>
              <w:t>废物信息录入、称重记录、来源/种类选择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入库管理</w:t>
            </w:r>
          </w:p>
        </w:tc>
        <w:tc>
          <w:tcPr>
            <w:tcW w:type="dxa" w:w="2880"/>
          </w:tcPr>
          <w:p>
            <w:r>
              <w:t>入库确认、存储位置分配、状态更新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台账管理</w:t>
            </w:r>
          </w:p>
        </w:tc>
        <w:tc>
          <w:tcPr>
            <w:tcW w:type="dxa" w:w="2880"/>
          </w:tcPr>
          <w:p>
            <w:r>
              <w:t>全过程记录查询、多维度筛选、数据导出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转运管理</w:t>
            </w:r>
          </w:p>
        </w:tc>
        <w:tc>
          <w:tcPr>
            <w:tcW w:type="dxa" w:w="2880"/>
          </w:tcPr>
          <w:p>
            <w:r>
              <w:t>转运批次创建、车辆/人员分配、路线规划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出库管理</w:t>
            </w:r>
          </w:p>
        </w:tc>
        <w:tc>
          <w:tcPr>
            <w:tcW w:type="dxa" w:w="2880"/>
          </w:tcPr>
          <w:p>
            <w:r>
              <w:t>出库确认、装车记录、运出状态更新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数据大屏</w:t>
            </w:r>
          </w:p>
        </w:tc>
        <w:tc>
          <w:tcPr>
            <w:tcW w:type="dxa" w:w="2880"/>
          </w:tcPr>
          <w:p>
            <w:r>
              <w:t>ECharts可视化展示，包括日趋势、种类占比、来源分布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设备监控</w:t>
            </w:r>
          </w:p>
        </w:tc>
        <w:tc>
          <w:tcPr>
            <w:tcW w:type="dxa" w:w="2880"/>
          </w:tcPr>
          <w:p>
            <w:r>
              <w:t>存储设备状态监控、温湿度监测、异常告警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消息通知</w:t>
            </w:r>
          </w:p>
        </w:tc>
        <w:tc>
          <w:tcPr>
            <w:tcW w:type="dxa" w:w="2880"/>
          </w:tcPr>
          <w:p>
            <w:r>
              <w:t>WebSocket实时消息推送，支持转运提醒、库存预警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人员管理</w:t>
            </w:r>
          </w:p>
        </w:tc>
        <w:tc>
          <w:tcPr>
            <w:tcW w:type="dxa" w:w="2880"/>
          </w:tcPr>
          <w:p>
            <w:r>
              <w:t>RBAC角色权限控制，用户账号、角色分配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</w:tbl>
    <w:p>
      <w:pPr>
        <w:pStyle w:val="Heading2"/>
      </w:pPr>
      <w:r>
        <w:rPr>
          <w:rFonts w:ascii="Microsoft YaHei" w:hAnsi="Microsoft YaHei"/>
        </w:rPr>
        <w:t>2.3 功能详情</w:t>
      </w:r>
    </w:p>
    <w:p>
      <w:pPr>
        <w:pStyle w:val="Heading3"/>
      </w:pPr>
      <w:r>
        <w:rPr>
          <w:rFonts w:ascii="Microsoft YaHei" w:hAnsi="Microsoft YaHei"/>
        </w:rPr>
        <w:t>2.3.1 废物登记</w:t>
      </w:r>
    </w:p>
    <w:p>
      <w:r>
        <w:t>功能描述：科室操作员对产生的废物进行登记，记录来源、种类、重量等信息。用例：登录→登记页→选来源/种类/重量→提交→系统自动生成记录编号并更新状态为“已登记”。</w:t>
      </w:r>
    </w:p>
    <w:p>
      <w:pPr>
        <w:pStyle w:val="Heading3"/>
      </w:pPr>
      <w:r>
        <w:rPr>
          <w:rFonts w:ascii="Microsoft YaHei" w:hAnsi="Microsoft YaHei"/>
        </w:rPr>
        <w:t>2.3.2 入库管理</w:t>
      </w:r>
    </w:p>
    <w:p>
      <w:r>
        <w:t>功能描述：仓库管理员对已登记废物进行入库确认，分配存储位置并更新状态为“已入库”。支持批量操作和位置可视化展示。</w:t>
      </w:r>
    </w:p>
    <w:p>
      <w:pPr>
        <w:pStyle w:val="Heading3"/>
      </w:pPr>
      <w:r>
        <w:rPr>
          <w:rFonts w:ascii="Microsoft YaHei" w:hAnsi="Microsoft YaHei"/>
        </w:rPr>
        <w:t>2.3.3 转运管理</w:t>
      </w:r>
    </w:p>
    <w:p>
      <w:r>
        <w:t>功能描述：转运负责人创建批次、分配车辆司机、规划路线。实时追踪转运过程，更新运输状态。</w:t>
      </w:r>
    </w:p>
    <w:p>
      <w:pPr>
        <w:pStyle w:val="Heading3"/>
      </w:pPr>
      <w:r>
        <w:rPr>
          <w:rFonts w:ascii="Microsoft YaHei" w:hAnsi="Microsoft YaHei"/>
        </w:rPr>
        <w:t>2.3.4 出库管理</w:t>
      </w:r>
    </w:p>
    <w:p>
      <w:r>
        <w:t>确认废物装车并更新状态为“已运出”，记录出库时间、操作人、车辆信息，完成废物流转闭环。</w:t>
      </w:r>
    </w:p>
    <w:p>
      <w:pPr>
        <w:pStyle w:val="Heading3"/>
      </w:pPr>
      <w:r>
        <w:rPr>
          <w:rFonts w:ascii="Microsoft YaHei" w:hAnsi="Microsoft YaHei"/>
        </w:rPr>
        <w:t>2.3.5 台账管理</w:t>
      </w:r>
    </w:p>
    <w:p>
      <w:r>
        <w:t>提供废物全生命周期记录查询，支持按日期、种类、来源、状态等维度筛选。支持数据导出为Excel。</w:t>
      </w:r>
    </w:p>
    <w:p>
      <w:pPr>
        <w:pStyle w:val="Heading3"/>
      </w:pPr>
      <w:r>
        <w:rPr>
          <w:rFonts w:ascii="Microsoft YaHei" w:hAnsi="Microsoft YaHei"/>
        </w:rPr>
        <w:t>2.3.6 数据统计大屏</w:t>
      </w:r>
    </w:p>
    <w:p>
      <w:r>
        <w:t>基于ECharts的数据可视化大屏，包括废物处理量日趋势、各种类占比、各来源分布、运输完成率等指标。支持实时数据刷新。</w:t>
      </w:r>
    </w:p>
    <w:p>
      <w:pPr>
        <w:pStyle w:val="Heading3"/>
      </w:pPr>
      <w:r>
        <w:rPr>
          <w:rFonts w:ascii="Microsoft YaHei" w:hAnsi="Microsoft YaHei"/>
        </w:rPr>
        <w:t>2.3.7 设备监控</w:t>
      </w:r>
    </w:p>
    <w:p>
      <w:r>
        <w:t>存储设备状态监控，包括温湿度监测、设备运行状态、异常告警。支持设备信息维护和历史数据查询。</w:t>
      </w:r>
    </w:p>
    <w:p>
      <w:pPr>
        <w:pStyle w:val="Heading3"/>
      </w:pPr>
      <w:r>
        <w:rPr>
          <w:rFonts w:ascii="Microsoft YaHei" w:hAnsi="Microsoft YaHei"/>
        </w:rPr>
        <w:t>2.3.8 消息通知</w:t>
      </w:r>
    </w:p>
    <w:p>
      <w:r>
        <w:t>基于WebSocket的实时消息系统，支持转运提醒、库存预警、系统公告。提供消息列表和未读提醒。</w:t>
      </w:r>
    </w:p>
    <w:p>
      <w:pPr>
        <w:pStyle w:val="Heading3"/>
      </w:pPr>
      <w:r>
        <w:rPr>
          <w:rFonts w:ascii="Microsoft YaHei" w:hAnsi="Microsoft YaHei"/>
        </w:rPr>
        <w:t>2.3.9 人员权限管理</w:t>
      </w:r>
    </w:p>
    <w:p>
      <w:r>
        <w:t>基于RBAC的权限控制，管理员可创建/编辑/删除用户账号，分配角色和权限。不同角色拥有不同的模块访问权限。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/>
        </w:rPr>
        <w:t>3. 非功能性需求</w:t>
      </w:r>
    </w:p>
    <w:p>
      <w:pPr>
        <w:pStyle w:val="Heading2"/>
      </w:pPr>
      <w:r>
        <w:rPr>
          <w:rFonts w:ascii="Microsoft YaHei" w:hAnsi="Microsoft YaHei"/>
        </w:rPr>
        <w:t>3.1 用户界面需求</w:t>
      </w:r>
    </w:p>
    <w:p>
      <w:pPr>
        <w:pStyle w:val="ListBullet"/>
      </w:pPr>
      <w:r>
        <w:t>统一应用厅风格，左侧导航</w:t>
      </w:r>
    </w:p>
    <w:p>
      <w:pPr>
        <w:pStyle w:val="ListBullet"/>
      </w:pPr>
      <w:r>
        <w:t>关键数据采用ECharts可视化图表展示</w:t>
      </w:r>
    </w:p>
    <w:p>
      <w:pPr>
        <w:pStyle w:val="ListBullet"/>
      </w:pPr>
      <w:r>
        <w:t>表单提供实时校验和错误提示</w:t>
      </w:r>
    </w:p>
    <w:p>
      <w:pPr>
        <w:pStyle w:val="ListBullet"/>
      </w:pPr>
      <w:r>
        <w:t>响应式设计，支持主流分辨率</w:t>
      </w:r>
    </w:p>
    <w:p>
      <w:pPr>
        <w:pStyle w:val="Heading2"/>
      </w:pPr>
      <w:r>
        <w:rPr>
          <w:rFonts w:ascii="Microsoft YaHei" w:hAnsi="Microsoft YaHei"/>
        </w:rPr>
        <w:t>3.2 性能需求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要求</w:t>
            </w:r>
          </w:p>
        </w:tc>
      </w:tr>
      <w:tr>
        <w:tc>
          <w:tcPr>
            <w:tcW w:type="dxa" w:w="4320"/>
          </w:tcPr>
          <w:p>
            <w:r>
              <w:t>页面加载</w:t>
            </w:r>
          </w:p>
        </w:tc>
        <w:tc>
          <w:tcPr>
            <w:tcW w:type="dxa" w:w="4320"/>
          </w:tcPr>
          <w:p>
            <w:r>
              <w:t>≤ 3s</w:t>
            </w:r>
          </w:p>
        </w:tc>
      </w:tr>
      <w:tr>
        <w:tc>
          <w:tcPr>
            <w:tcW w:type="dxa" w:w="4320"/>
          </w:tcPr>
          <w:p>
            <w:r>
              <w:t>查询响应</w:t>
            </w:r>
          </w:p>
        </w:tc>
        <w:tc>
          <w:tcPr>
            <w:tcW w:type="dxa" w:w="4320"/>
          </w:tcPr>
          <w:p>
            <w:r>
              <w:t>≤ 2s</w:t>
            </w:r>
          </w:p>
        </w:tc>
      </w:tr>
      <w:tr>
        <w:tc>
          <w:tcPr>
            <w:tcW w:type="dxa" w:w="4320"/>
          </w:tcPr>
          <w:p>
            <w:r>
              <w:t>并发用户</w:t>
            </w:r>
          </w:p>
        </w:tc>
        <w:tc>
          <w:tcPr>
            <w:tcW w:type="dxa" w:w="4320"/>
          </w:tcPr>
          <w:p>
            <w:r>
              <w:t>≥ 50</w:t>
            </w:r>
          </w:p>
        </w:tc>
      </w:tr>
      <w:tr>
        <w:tc>
          <w:tcPr>
            <w:tcW w:type="dxa" w:w="4320"/>
          </w:tcPr>
          <w:p>
            <w:r>
              <w:t>系统可用率</w:t>
            </w:r>
          </w:p>
        </w:tc>
        <w:tc>
          <w:tcPr>
            <w:tcW w:type="dxa" w:w="4320"/>
          </w:tcPr>
          <w:p>
            <w:r>
              <w:t>≥ 99.5%</w:t>
            </w:r>
          </w:p>
        </w:tc>
      </w:tr>
      <w:tr>
        <w:tc>
          <w:tcPr>
            <w:tcW w:type="dxa" w:w="4320"/>
          </w:tcPr>
          <w:p>
            <w:r>
              <w:t>数据导出</w:t>
            </w:r>
          </w:p>
        </w:tc>
        <w:tc>
          <w:tcPr>
            <w:tcW w:type="dxa" w:w="4320"/>
          </w:tcPr>
          <w:p>
            <w:r>
              <w:t>≤ 5s/1万条</w:t>
            </w:r>
          </w:p>
        </w:tc>
      </w:tr>
    </w:tbl>
    <w:p>
      <w:pPr>
        <w:pStyle w:val="Heading2"/>
      </w:pPr>
      <w:r>
        <w:rPr>
          <w:rFonts w:ascii="Microsoft YaHei" w:hAnsi="Microsoft YaHei"/>
        </w:rPr>
        <w:t>3.3 运行环境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要求</w:t>
            </w:r>
          </w:p>
        </w:tc>
      </w:tr>
      <w:tr>
        <w:tc>
          <w:tcPr>
            <w:tcW w:type="dxa" w:w="4320"/>
          </w:tcPr>
          <w:p>
            <w:r>
              <w:t>OS</w:t>
            </w:r>
          </w:p>
        </w:tc>
        <w:tc>
          <w:tcPr>
            <w:tcW w:type="dxa" w:w="4320"/>
          </w:tcPr>
          <w:p>
            <w:r>
              <w:t>Windows Server/Linux</w:t>
            </w:r>
          </w:p>
        </w:tc>
      </w:tr>
      <w:tr>
        <w:tc>
          <w:tcPr>
            <w:tcW w:type="dxa" w:w="4320"/>
          </w:tcPr>
          <w:p>
            <w:r>
              <w:t>Java</w:t>
            </w:r>
          </w:p>
        </w:tc>
        <w:tc>
          <w:tcPr>
            <w:tcW w:type="dxa" w:w="4320"/>
          </w:tcPr>
          <w:p>
            <w:r>
              <w:t>JDK 1.8+</w:t>
            </w:r>
          </w:p>
        </w:tc>
      </w:tr>
      <w:tr>
        <w:tc>
          <w:tcPr>
            <w:tcW w:type="dxa" w:w="4320"/>
          </w:tcPr>
          <w:p>
            <w:r>
              <w:t>DB</w:t>
            </w:r>
          </w:p>
        </w:tc>
        <w:tc>
          <w:tcPr>
            <w:tcW w:type="dxa" w:w="4320"/>
          </w:tcPr>
          <w:p>
            <w:r>
              <w:t>MySQL 5.7+</w:t>
            </w:r>
          </w:p>
        </w:tc>
      </w:tr>
      <w:tr>
        <w:tc>
          <w:tcPr>
            <w:tcW w:type="dxa" w:w="4320"/>
          </w:tcPr>
          <w:p>
            <w:r>
              <w:t>浏览器</w:t>
            </w:r>
          </w:p>
        </w:tc>
        <w:tc>
          <w:tcPr>
            <w:tcW w:type="dxa" w:w="4320"/>
          </w:tcPr>
          <w:p>
            <w:r>
              <w:t>Chrome/Firefox/Edge</w:t>
            </w:r>
          </w:p>
        </w:tc>
      </w:tr>
    </w:tbl>
    <w:p>
      <w:pPr>
        <w:pStyle w:val="Heading2"/>
      </w:pPr>
      <w:r>
        <w:rPr>
          <w:rFonts w:ascii="Microsoft YaHei" w:hAnsi="Microsoft YaHei"/>
        </w:rPr>
        <w:t>3.4 安全需求</w:t>
      </w:r>
    </w:p>
    <w:p>
      <w:pPr>
        <w:pStyle w:val="ListBullet"/>
      </w:pPr>
      <w:r>
        <w:t>账号密码校验登录</w:t>
      </w:r>
    </w:p>
    <w:p>
      <w:pPr>
        <w:pStyle w:val="ListBullet"/>
      </w:pPr>
      <w:r>
        <w:t>RBAC角色权限控制</w:t>
      </w:r>
    </w:p>
    <w:p>
      <w:pPr>
        <w:pStyle w:val="ListBullet"/>
      </w:pPr>
      <w:r>
        <w:t>HTTPS数据加密传输</w:t>
      </w:r>
    </w:p>
    <w:p>
      <w:pPr>
        <w:pStyle w:val="ListBullet"/>
      </w:pPr>
      <w:r>
        <w:t>关键操作审计日志</w:t>
      </w:r>
    </w:p>
    <w:p>
      <w:pPr>
        <w:pStyle w:val="ListBullet"/>
      </w:pPr>
      <w:r>
        <w:t>定期数据备份</w:t>
      </w:r>
    </w:p>
    <w:p>
      <w:pPr>
        <w:pStyle w:val="ListBullet"/>
      </w:pPr>
      <w:r>
        <w:t>参数化查询防止SQL注入</w:t>
      </w:r>
    </w:p>
    <w:p>
      <w:pPr>
        <w:pStyle w:val="Heading2"/>
      </w:pPr>
      <w:r>
        <w:rPr>
          <w:rFonts w:ascii="Microsoft YaHei" w:hAnsi="Microsoft YaHei"/>
        </w:rPr>
        <w:t>3.5 系统架构</w:t>
      </w:r>
    </w:p>
    <w:p>
      <w:pPr>
        <w:pStyle w:val="ListBullet"/>
      </w:pPr>
      <w:r>
        <w:t>B/S架构，三层分离：表现层(Thymeleaf+jQuery+ECharts)、业务层(Spring Boot Controller+Service)、持久层(MyBatis+MySQL)</w:t>
      </w:r>
    </w:p>
    <w:p>
      <w:pPr>
        <w:pStyle w:val="Heading2"/>
      </w:pPr>
      <w:r>
        <w:rPr>
          <w:rFonts w:ascii="Microsoft YaHei" w:hAnsi="Microsoft YaHei"/>
        </w:rPr>
        <w:t>3.6 未来扩展</w:t>
      </w:r>
    </w:p>
    <w:p>
      <w:pPr>
        <w:pStyle w:val="ListBullet"/>
      </w:pPr>
      <w:r>
        <w:t>移动端小程序/App</w:t>
      </w:r>
    </w:p>
    <w:p>
      <w:pPr>
        <w:pStyle w:val="ListBullet"/>
      </w:pPr>
      <w:r>
        <w:t>二维码追溯，扫码查看全流转信息</w:t>
      </w:r>
    </w:p>
    <w:p>
      <w:pPr>
        <w:pStyle w:val="ListBullet"/>
      </w:pPr>
      <w:r>
        <w:t>AI异常检测和产量预测</w:t>
      </w:r>
    </w:p>
    <w:p>
      <w:pPr>
        <w:pStyle w:val="ListBullet"/>
      </w:pPr>
      <w:r>
        <w:t>与HIS系统/卫生监管平台数据对接</w:t>
      </w:r>
    </w:p>
    <w:p>
      <w:pPr>
        <w:pStyle w:val="ListBullet"/>
      </w:pPr>
      <w:r>
        <w:t>支持集团化医院多院区管理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/>
        </w:rPr>
        <w:t>4. 设计约束</w:t>
      </w:r>
    </w:p>
    <w:p>
      <w:pPr>
        <w:pStyle w:val="Heading2"/>
      </w:pPr>
      <w:r>
        <w:rPr>
          <w:rFonts w:ascii="Microsoft YaHei" w:hAnsi="Microsoft YaHei"/>
        </w:rPr>
        <w:t>4.1 进度约束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交付物</w:t>
            </w:r>
          </w:p>
        </w:tc>
      </w:tr>
      <w:tr>
        <w:tc>
          <w:tcPr>
            <w:tcW w:type="dxa" w:w="2880"/>
          </w:tcPr>
          <w:p>
            <w:r>
              <w:t>需求分析</w:t>
            </w:r>
          </w:p>
        </w:tc>
        <w:tc>
          <w:tcPr>
            <w:tcW w:type="dxa" w:w="2880"/>
          </w:tcPr>
          <w:p>
            <w:r>
              <w:t>第1周</w:t>
            </w:r>
          </w:p>
        </w:tc>
        <w:tc>
          <w:tcPr>
            <w:tcW w:type="dxa" w:w="2880"/>
          </w:tcPr>
          <w:p>
            <w:r>
              <w:t>需求文档、业务流程图</w:t>
            </w:r>
          </w:p>
        </w:tc>
      </w:tr>
      <w:tr>
        <w:tc>
          <w:tcPr>
            <w:tcW w:type="dxa" w:w="2880"/>
          </w:tcPr>
          <w:p>
            <w:r>
              <w:t>系统设计</w:t>
            </w:r>
          </w:p>
        </w:tc>
        <w:tc>
          <w:tcPr>
            <w:tcW w:type="dxa" w:w="2880"/>
          </w:tcPr>
          <w:p>
            <w:r>
              <w:t>第2周</w:t>
            </w:r>
          </w:p>
        </w:tc>
        <w:tc>
          <w:tcPr>
            <w:tcW w:type="dxa" w:w="2880"/>
          </w:tcPr>
          <w:p>
            <w:r>
              <w:t>数据库设计、接口设计</w:t>
            </w:r>
          </w:p>
        </w:tc>
      </w:tr>
      <w:tr>
        <w:tc>
          <w:tcPr>
            <w:tcW w:type="dxa" w:w="2880"/>
          </w:tcPr>
          <w:p>
            <w:r>
              <w:t>开发实现</w:t>
            </w:r>
          </w:p>
        </w:tc>
        <w:tc>
          <w:tcPr>
            <w:tcW w:type="dxa" w:w="2880"/>
          </w:tcPr>
          <w:p>
            <w:r>
              <w:t>第3-4周</w:t>
            </w:r>
          </w:p>
        </w:tc>
        <w:tc>
          <w:tcPr>
            <w:tcW w:type="dxa" w:w="2880"/>
          </w:tcPr>
          <w:p>
            <w:r>
              <w:t>系统代码、测试</w:t>
            </w:r>
          </w:p>
        </w:tc>
      </w:tr>
      <w:tr>
        <w:tc>
          <w:tcPr>
            <w:tcW w:type="dxa" w:w="2880"/>
          </w:tcPr>
          <w:p>
            <w:r>
              <w:t>测试上线</w:t>
            </w:r>
          </w:p>
        </w:tc>
        <w:tc>
          <w:tcPr>
            <w:tcW w:type="dxa" w:w="2880"/>
          </w:tcPr>
          <w:p>
            <w:r>
              <w:t>第5周</w:t>
            </w:r>
          </w:p>
        </w:tc>
        <w:tc>
          <w:tcPr>
            <w:tcW w:type="dxa" w:w="2880"/>
          </w:tcPr>
          <w:p>
            <w:r>
              <w:t>测试报告、用户手册</w:t>
            </w:r>
          </w:p>
        </w:tc>
      </w:tr>
    </w:tbl>
    <w:p>
      <w:pPr>
        <w:pStyle w:val="Heading2"/>
      </w:pPr>
      <w:r>
        <w:rPr>
          <w:rFonts w:ascii="Microsoft YaHei" w:hAnsi="Microsoft YaHei"/>
        </w:rPr>
        <w:t>4.2 资源约束</w:t>
      </w:r>
    </w:p>
    <w:p>
      <w:r>
        <w:t>团队5人：项目经理1人、后端开发2人、前端开发1人、测试1人。预算来自校内科研经费，硬件采用学校实验室服务器。</w:t>
      </w:r>
    </w:p>
    <w:p>
      <w:pPr>
        <w:pStyle w:val="Heading2"/>
      </w:pPr>
      <w:r>
        <w:rPr>
          <w:rFonts w:ascii="Microsoft YaHei" w:hAnsi="Microsoft YaHei"/>
        </w:rPr>
        <w:t>4.3 技术约束</w:t>
      </w:r>
    </w:p>
    <w:p>
      <w:pPr>
        <w:pStyle w:val="ListBullet"/>
      </w:pPr>
      <w:r>
        <w:t>后端固定Spring Boot 2.2.5+MyBatis</w:t>
      </w:r>
    </w:p>
    <w:p>
      <w:pPr>
        <w:pStyle w:val="ListBullet"/>
      </w:pPr>
      <w:r>
        <w:t>数据库统一MySQL</w:t>
      </w:r>
    </w:p>
    <w:p>
      <w:pPr>
        <w:pStyle w:val="ListBullet"/>
      </w:pPr>
      <w:r>
        <w:t>前端Thymeleaf+jQuery，不引入其他框架</w:t>
      </w:r>
    </w:p>
    <w:p>
      <w:pPr>
        <w:pStyle w:val="ListBullet"/>
      </w:pPr>
      <w:r>
        <w:t>可视化统一ECharts</w:t>
      </w:r>
    </w:p>
    <w:p>
      <w:pPr>
        <w:pStyle w:val="Heading2"/>
      </w:pPr>
      <w:r>
        <w:rPr>
          <w:rFonts w:ascii="Microsoft YaHei" w:hAnsi="Microsoft YaHei"/>
        </w:rPr>
        <w:t>4.4 外部约束</w:t>
      </w:r>
    </w:p>
    <w:p>
      <w:pPr>
        <w:pStyle w:val="ListBullet"/>
      </w:pPr>
      <w:r>
        <w:t>符合医疗废物管理法规</w:t>
      </w:r>
    </w:p>
    <w:p>
      <w:pPr>
        <w:pStyle w:val="ListBullet"/>
      </w:pPr>
      <w:r>
        <w:t>未来需对接卫生监管平台数据接口</w:t>
      </w:r>
    </w:p>
    <w:p>
      <w:pPr>
        <w:pStyle w:val="ListBullet"/>
      </w:pPr>
      <w:r>
        <w:t>数据存储遵守网络安全等级保护要求</w:t>
      </w:r>
    </w:p>
    <w:p>
      <w:pPr>
        <w:pStyle w:val="ListBullet"/>
      </w:pPr>
      <w:r>
        <w:t>开发环境Windows，可迁移至Linux部署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