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无线电干扰源的有界误差定位与联合搜索清除</w:t>
      </w:r>
    </w:p>
    <w:p>
      <w:pPr>
        <w:pStyle w:val="Heading1"/>
        <w:jc w:val="center"/>
      </w:pPr>
      <w:r>
        <w:t>摘要</w:t>
      </w:r>
    </w:p>
    <w:p>
      <w:pPr>
        <w:jc w:val="both"/>
      </w:pPr>
      <w:r>
        <w:t>无线电干扰源自动清除需要同时解决带误差方位观测下的定位、未知频道的搜索以及移动与检测动作的时间分配。针对半径1800 m圆形区域内的干扰源，本文建立有界误差定位模型，并在此基础上构建联合搜索、追踪与清除算法，以源级清除率、整局全清率和平均定位清除时间评价其效果。</w:t>
      </w:r>
    </w:p>
    <w:p>
      <w:pPr>
        <w:jc w:val="both"/>
      </w:pPr>
      <w:r>
        <w:t>针对问题一，将每次示向度的±1°误差转化为两条半平面约束，通过凸多边形裁剪得到定位区域，利用旋转卡壳计算区域直径，并以最小包围圆判断直径圆的覆盖性。证明直径圆一般不能覆盖定位区域。在三测点构造算例中，定位区域直径为40.748 m，最小包围圆半径为22.600 m，大于直径的一半20.374 m，与理论结论一致。</w:t>
      </w:r>
    </w:p>
    <w:p>
      <w:pPr>
        <w:jc w:val="both"/>
      </w:pPr>
      <w:r>
        <w:t>针对问题二，建立优先满足可靠接收、再压缩定位区域的第二测点选择模型。对源位置与测向误差进行离散枚举，按未获方向观测比例、最大后验直径、平均后验直径及移动距离依次排序，输出一组可替换的候选点。在150个源位置假设和1009个测点候选的算例中，得到51个离散零漏测候选，推荐其中11个；最优网格点为(1000,100) m，其枚举最大后验直径为110.854 m。</w:t>
      </w:r>
    </w:p>
    <w:p>
      <w:pPr>
        <w:jc w:val="both"/>
      </w:pPr>
      <w:r>
        <w:t>针对问题三，将同点多频道扫描与跨源追踪分开调度，以当前定位区域的代表点建立开放路径，并在获得新观测后更新路线。100局同种子配对仿真中，联合策略与基线均全清，平均定位清除时间由382.85 s/源降至315.84 s/源，逐局相对节时的均值为17.94%。在10至16源各100局的分层测试中，9100个源全部清除；七局官方演练累计清除95/95个源，其中最快全清演练为229.06 s/源。</w:t>
      </w:r>
    </w:p>
    <w:p>
      <w:pPr>
        <w:jc w:val="both"/>
      </w:pPr>
      <w:r>
        <w:t>针对问题四，在搜索信念中加入定向朝向和接收半径，以覆盖粒子统计未发现源概率，并构建源级漏检风险与任一剩余源概率的双风险停止模型。全清优先配置在固定16源500局中全部清除，平均357.58 s/源；在混合源500局中源级清除率为99.9846%、全清率为99.8%。速度配置source-98在另一批混合源300局中达到98.9824%的源级清除率和453.40 s/已清源，但全清率降至87.33%。结果说明联合路径规划能够降低重复移动，而概率提前停止存在明确的可靠性代价；现有实验成功率不构成任意场景全清的证明。</w:t>
      </w:r>
    </w:p>
    <w:p>
      <w:pPr>
        <w:jc w:val="both"/>
      </w:pPr>
      <w:r>
        <w:t>关键词：交会定位；有界误差；第二测点选择；开放路径；未知源数；定向干扰源</w:t>
      </w:r>
    </w:p>
    <w:p>
      <w:pPr>
        <w:pStyle w:val="Heading1"/>
        <w:pageBreakBefore/>
      </w:pPr>
      <w:r>
        <w:t>1 问题重述</w:t>
      </w:r>
    </w:p>
    <w:p>
      <w:pPr>
        <w:pStyle w:val="Heading2"/>
      </w:pPr>
      <w:r>
        <w:t>1.1 问题背景</w:t>
      </w:r>
    </w:p>
    <w:p>
      <w:pPr>
        <w:jc w:val="both"/>
      </w:pPr>
      <w:r>
        <w:t>干扰源精准定位需要在有限观测条件下逐步接近目标。人工排查依赖操作者对方位和信号有无的判断，若由机器狗承担任务，就需要将这些判断转化为可执行的观测更新、动作选择与结束条件。题目给出的测向机提供示向度而不直接返回距离或真实位置，且同一地点的示向误差固定，因而必须利用不同位置的观测获得新的几何信息[1]。</w:t>
      </w:r>
    </w:p>
    <w:p>
      <w:pPr>
        <w:jc w:val="both"/>
      </w:pPr>
      <w:r>
        <w:t>目标分布区域为以原点为圆心、半径1800 m的圆域，横轴正向为正东、纵轴正向为正北。干扰源各占一个不同频道，频道编号属于1至20；第三、四问源数均在10至16之间。有效接收半径位于1000至1500 m。全向源在360°内辐射，定向源仅在朝向两侧各90°的闭半平面内辐射。源位置和类型均不通过运行接口公开。</w:t>
      </w:r>
    </w:p>
    <w:p>
      <w:pPr>
        <w:pStyle w:val="Heading2"/>
      </w:pPr>
      <w:r>
        <w:t>1.2 需要解决的问题</w:t>
      </w:r>
    </w:p>
    <w:p>
      <w:pPr>
        <w:jc w:val="both"/>
      </w:pPr>
      <w:r>
        <w:t>问题一要求由多个检测点及示向度确定交会定位区域，计算区域内最远两点的距离，并判断以该距离为直径的圆能否覆盖区域。问题二要求根据第一次示向度选择第二检测点，给出较好定位效果对应的候选区域。</w:t>
      </w:r>
    </w:p>
    <w:p>
      <w:pPr>
        <w:jc w:val="both"/>
      </w:pPr>
      <w:r>
        <w:t>问题三要求在全向源数量未知时，从原点、频道1出发自动定位并清除全部干扰源，在全清前提下缩短总时间。问题四将源类型扩展为全向与定向混合，其余条件与问题三相同。两问都需要报告演练效果，并分别给出三次正式测试的案例编码、清除数量、平均定位清除时间和程序运行时间。</w:t>
      </w:r>
    </w:p>
    <w:p>
      <w:pPr>
        <w:pStyle w:val="Heading2"/>
      </w:pPr>
      <w:r>
        <w:t>1.3 动作约束与优化目标</w:t>
      </w:r>
    </w:p>
    <w:p>
      <w:pPr>
        <w:jc w:val="both"/>
      </w:pPr>
      <w:r>
        <w:t>机器狗以5 m/s沿直线移动，停下后才能检测。每次检测耗时5 s，检测频道改变时另耗时1 s；光学精确定位耗时3 s，成功后激光清除再耗时2 s。光学清除要求到源的距离不超过20 m，且不受定向覆盖角度影响。检测位置到源不超过5 m且位于其信号覆盖范围内时，接口返回近距离状态而非示向度[1–3]。</w:t>
      </w:r>
    </w:p>
    <w:p>
      <w:pPr>
        <w:jc w:val="both"/>
      </w:pPr>
      <w:r>
        <w:t>本文将题面目标写成在完成全部清除的条件下最小化动作总耗时。概率停止配置用于研究有限观测下的实现取舍，其经验可靠率必须与时间同时报告。98%的源级清除率属于速度实验的约束设定，不作为题面全清要求的替代。</w:t>
      </w:r>
    </w:p>
    <w:p>
      <w:pPr>
        <w:pStyle w:val="Heading1"/>
      </w:pPr>
      <w:r>
        <w:t>2 模型假设与符号说明</w:t>
      </w:r>
    </w:p>
    <w:p>
      <w:pPr>
        <w:pStyle w:val="Heading2"/>
      </w:pPr>
      <w:r>
        <w:t>2.1 模型假设</w:t>
      </w:r>
    </w:p>
    <w:p>
      <w:pPr>
        <w:jc w:val="both"/>
      </w:pPr>
      <w:r>
        <w:t>第一，采用题面给定的平面定位条件，机器狗位置输入准确，忽略设备高度差；不再引入未经给定的GPS误差模型。第二，源位置、频道、接收半径与定向方向在一局内保持不变，各源互不干扰。第三，示向误差仅受±1°约束，几何定位不假设误差服从正态分布，也不把同点重复检测视为独立样本。</w:t>
      </w:r>
    </w:p>
    <w:p>
      <w:pPr>
        <w:jc w:val="both"/>
      </w:pPr>
      <w:r>
        <w:t>第四，按官方接口允许的直线运动规划路径，机器狗可以离开目标圆域；1800 m约束的是源的位置，不是机器狗的运动边界。第五，自建模拟器为进行重复实验，另设源数在10至16间均匀抽样、位置在圆内按面积均匀分布、频道无放回抽样、接收半径均匀分布。第四问通常按0.5概率生成定向源，朝向均匀分布。上述分布属于代理仿真假设，不是对官方随机生成机制的断言。</w:t>
      </w:r>
    </w:p>
    <w:p>
      <w:pPr>
        <w:jc w:val="both"/>
      </w:pPr>
      <w:r>
        <w:t>第六，计算中用内接多边形近似圆盘，用有限隐状态样本近似搜索后验。因此，多边形计算的数值精度和概率模型的分布误差分别讨论；有限样本内零漏测不能直接推出连续空间内绝对保证。</w:t>
      </w:r>
    </w:p>
    <w:p>
      <w:pPr>
        <w:pStyle w:val="Heading2"/>
      </w:pPr>
      <w:r>
        <w:t>2.2 符号说明</w:t>
      </w:r>
    </w:p>
    <w:p>
      <w:pPr>
        <w:keepNext/>
        <w:ind w:firstLine="0"/>
        <w:jc w:val="center"/>
      </w:pPr>
      <w:r>
        <w:t>表1 主要符号与单位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6009"/>
        <w:gridCol w:w="1417"/>
      </w:tblGrid>
      <w:tr>
        <w:trPr>
          <w:cantSplit/>
          <w:tblHeader/>
        </w:trPr>
        <w:tc>
          <w:tcPr>
            <w:tcW w:type="dxa" w:w="1757"/>
            <w:vAlign w:val="center"/>
            <w:shd w:fill="EFEFEF"/>
          </w:tcPr>
          <w:p>
            <w:pPr>
              <w:spacing w:line="264" w:lineRule="auto" w:before="60" w:after="60"/>
              <w:ind w:firstLine="0"/>
              <w:jc w:val="center"/>
            </w:pPr>
            <w:r>
              <w:rPr>
                <w:b/>
                <w:sz w:val="20"/>
              </w:rPr>
              <w:t>符号</w:t>
            </w:r>
          </w:p>
        </w:tc>
        <w:tc>
          <w:tcPr>
            <w:tcW w:type="dxa" w:w="6009"/>
            <w:vAlign w:val="center"/>
            <w:shd w:fill="EFEFEF"/>
          </w:tcPr>
          <w:p>
            <w:pPr>
              <w:spacing w:line="264" w:lineRule="auto" w:before="60" w:after="60"/>
              <w:ind w:firstLine="0"/>
              <w:jc w:val="left"/>
            </w:pPr>
            <w:r>
              <w:rPr>
                <w:b/>
                <w:sz w:val="20"/>
              </w:rPr>
              <w:t>含义</w:t>
            </w:r>
          </w:p>
        </w:tc>
        <w:tc>
          <w:tcPr>
            <w:tcW w:type="dxa" w:w="1417"/>
            <w:vAlign w:val="center"/>
            <w:shd w:fill="EFEFEF"/>
          </w:tcPr>
          <w:p>
            <w:pPr>
              <w:spacing w:line="264" w:lineRule="auto" w:before="60" w:after="60"/>
              <w:ind w:firstLine="0"/>
              <w:jc w:val="center"/>
            </w:pPr>
            <w:r>
              <w:rPr>
                <w:b/>
                <w:sz w:val="20"/>
              </w:rPr>
              <w:t>单位</w:t>
            </w:r>
          </w:p>
        </w:tc>
      </w:tr>
      <w:tr>
        <w:trPr>
          <w:cantSplit/>
        </w:trPr>
        <w:tc>
          <w:tcPr>
            <w:tcW w:type="dxa" w:w="1757"/>
            <w:vAlign w:val="center"/>
          </w:tcPr>
          <w:p>
            <w:pPr>
              <w:spacing w:line="264" w:lineRule="auto" w:before="60" w:after="60"/>
              <w:ind w:firstLine="0"/>
              <w:jc w:val="center"/>
            </w:pPr>
            <m:oMath>
              <m:sSub>
                <m:e>
                  <m:r>
                    <m:t>S</m:t>
                    <w:rPr>
                      <w:rFonts w:ascii="Cambria Math" w:hAnsi="Cambria Math" w:eastAsia="Cambria Math"/>
                    </w:rPr>
                  </m:r>
                </m:e>
                <m:sub>
                  <m:r>
                    <m:t>i</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第i次检测位置</w:t>
            </w:r>
          </w:p>
        </w:tc>
        <w:tc>
          <w:tcPr>
            <w:tcW w:type="dxa" w:w="1417"/>
            <w:vAlign w:val="center"/>
          </w:tcPr>
          <w:p>
            <w:pPr>
              <w:spacing w:line="264" w:lineRule="auto" w:before="60" w:after="60"/>
              <w:ind w:firstLine="0"/>
              <w:jc w:val="center"/>
            </w:pPr>
            <w:r>
              <w:rPr>
                <w:b w:val="0"/>
                <w:sz w:val="20"/>
              </w:rPr>
              <w:t>m</w:t>
            </w:r>
          </w:p>
        </w:tc>
      </w:tr>
      <w:tr>
        <w:trPr>
          <w:cantSplit/>
        </w:trPr>
        <w:tc>
          <w:tcPr>
            <w:tcW w:type="dxa" w:w="1757"/>
            <w:vAlign w:val="center"/>
          </w:tcPr>
          <w:p>
            <w:pPr>
              <w:spacing w:line="264" w:lineRule="auto" w:before="60" w:after="60"/>
              <w:ind w:firstLine="0"/>
              <w:jc w:val="center"/>
            </w:pPr>
            <m:oMath>
              <m:sSub>
                <m:e>
                  <m:r>
                    <m:t>G</m:t>
                    <w:rPr>
                      <w:rFonts w:ascii="Cambria Math" w:hAnsi="Cambria Math" w:eastAsia="Cambria Math"/>
                    </w:rPr>
                  </m:r>
                </m:e>
                <m:sub>
                  <m:r>
                    <m:t>j</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频道j对应干扰源真实位置</w:t>
            </w:r>
          </w:p>
        </w:tc>
        <w:tc>
          <w:tcPr>
            <w:tcW w:type="dxa" w:w="1417"/>
            <w:vAlign w:val="center"/>
          </w:tcPr>
          <w:p>
            <w:pPr>
              <w:spacing w:line="264" w:lineRule="auto" w:before="60" w:after="60"/>
              <w:ind w:firstLine="0"/>
              <w:jc w:val="center"/>
            </w:pPr>
            <w:r>
              <w:rPr>
                <w:b w:val="0"/>
                <w:sz w:val="20"/>
              </w:rPr>
              <w:t>m</w:t>
            </w:r>
          </w:p>
        </w:tc>
      </w:tr>
      <w:tr>
        <w:trPr>
          <w:cantSplit/>
        </w:trPr>
        <w:tc>
          <w:tcPr>
            <w:tcW w:type="dxa" w:w="1757"/>
            <w:vAlign w:val="center"/>
          </w:tcPr>
          <w:p>
            <w:pPr>
              <w:spacing w:line="264" w:lineRule="auto" w:before="60" w:after="60"/>
              <w:ind w:firstLine="0"/>
              <w:jc w:val="center"/>
            </w:pPr>
            <m:oMath>
              <m:sSub>
                <m:e>
                  <m:acc>
                    <m:accPr>
                      <m:chr m:val="̂"/>
                    </m:accPr>
                    <m:e>
                      <m:r>
                        <m:t>θ</m:t>
                        <w:rPr>
                          <w:rFonts w:ascii="Cambria Math" w:hAnsi="Cambria Math" w:eastAsia="Cambria Math"/>
                        </w:rPr>
                      </m:r>
                    </m:e>
                  </m:acc>
                </m:e>
                <m:sub>
                  <m:r>
                    <m:t>i</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含误差示向度</w:t>
            </w:r>
          </w:p>
        </w:tc>
        <w:tc>
          <w:tcPr>
            <w:tcW w:type="dxa" w:w="1417"/>
            <w:vAlign w:val="center"/>
          </w:tcPr>
          <w:p>
            <w:pPr>
              <w:spacing w:line="264" w:lineRule="auto" w:before="60" w:after="60"/>
              <w:ind w:firstLine="0"/>
              <w:jc w:val="center"/>
            </w:pPr>
            <w:r>
              <w:rPr>
                <w:b w:val="0"/>
                <w:sz w:val="20"/>
              </w:rPr>
              <w:t>°</w:t>
            </w:r>
          </w:p>
        </w:tc>
      </w:tr>
      <w:tr>
        <w:trPr>
          <w:cantSplit/>
        </w:trPr>
        <w:tc>
          <w:tcPr>
            <w:tcW w:type="dxa" w:w="1757"/>
            <w:vAlign w:val="center"/>
          </w:tcPr>
          <w:p>
            <w:pPr>
              <w:spacing w:line="264" w:lineRule="auto" w:before="60" w:after="60"/>
              <w:ind w:firstLine="0"/>
              <w:jc w:val="center"/>
            </w:pPr>
            <m:oMath>
              <m:r>
                <m:t>ε</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示向误差上界，取1°</w:t>
            </w:r>
          </w:p>
        </w:tc>
        <w:tc>
          <w:tcPr>
            <w:tcW w:type="dxa" w:w="1417"/>
            <w:vAlign w:val="center"/>
          </w:tcPr>
          <w:p>
            <w:pPr>
              <w:spacing w:line="264" w:lineRule="auto" w:before="60" w:after="60"/>
              <w:ind w:firstLine="0"/>
              <w:jc w:val="center"/>
            </w:pPr>
            <w:r>
              <w:rPr>
                <w:b w:val="0"/>
                <w:sz w:val="20"/>
              </w:rPr>
              <w:t>°</w:t>
            </w:r>
          </w:p>
        </w:tc>
      </w:tr>
      <w:tr>
        <w:trPr>
          <w:cantSplit/>
        </w:trPr>
        <w:tc>
          <w:tcPr>
            <w:tcW w:type="dxa" w:w="1757"/>
            <w:vAlign w:val="center"/>
          </w:tcPr>
          <w:p>
            <w:pPr>
              <w:spacing w:line="264" w:lineRule="auto" w:before="60" w:after="60"/>
              <w:ind w:firstLine="0"/>
              <w:jc w:val="center"/>
            </w:pPr>
            <m:oMath>
              <m:sSub>
                <m:e>
                  <m:r>
                    <m:t>Ω</m:t>
                    <w:rPr>
                      <w:rFonts w:ascii="Cambria Math" w:hAnsi="Cambria Math" w:eastAsia="Cambria Math"/>
                    </w:rPr>
                  </m:r>
                </m:e>
                <m:sub>
                  <m:r>
                    <m:t>m</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m次有效示向后的定位可行域</w:t>
            </w:r>
          </w:p>
        </w:tc>
        <w:tc>
          <w:tcPr>
            <w:tcW w:type="dxa" w:w="1417"/>
            <w:vAlign w:val="center"/>
          </w:tcPr>
          <w:p>
            <w:pPr>
              <w:spacing w:line="264" w:lineRule="auto" w:before="60" w:after="60"/>
              <w:ind w:firstLine="0"/>
              <w:jc w:val="center"/>
            </w:pPr>
            <w:r>
              <w:rPr>
                <w:b w:val="0"/>
                <w:sz w:val="20"/>
              </w:rPr>
              <w:t>—</w:t>
            </w:r>
          </w:p>
        </w:tc>
      </w:tr>
      <w:tr>
        <w:trPr>
          <w:cantSplit/>
        </w:trPr>
        <w:tc>
          <w:tcPr>
            <w:tcW w:type="dxa" w:w="1757"/>
            <w:vAlign w:val="center"/>
          </w:tcPr>
          <w:p>
            <w:pPr>
              <w:spacing w:line="264" w:lineRule="auto" w:before="60" w:after="60"/>
              <w:ind w:firstLine="0"/>
              <w:jc w:val="center"/>
            </w:pPr>
            <m:oMath>
              <m:r>
                <m:t>D,</m:t>
                <w:rPr>
                  <w:rFonts w:ascii="Cambria Math" w:hAnsi="Cambria Math" w:eastAsia="Cambria Math"/>
                </w:rPr>
              </m:r>
              <m:r>
                <m:rPr>
                  <m:sty m:val="p"/>
                </m:rPr>
                <m:t> </m:t>
                <w:rPr>
                  <w:rFonts w:ascii="Cambria Math" w:hAnsi="Cambria Math" w:eastAsia="Cambria Math"/>
                </w:rPr>
              </m:r>
              <m:sSub>
                <m:e>
                  <m:r>
                    <m:t>R</m:t>
                    <w:rPr>
                      <w:rFonts w:ascii="Cambria Math" w:hAnsi="Cambria Math" w:eastAsia="Cambria Math"/>
                    </w:rPr>
                  </m:r>
                </m:e>
                <m:sub>
                  <m:r>
                    <m:t>*</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区域直径、最小包围圆半径</w:t>
            </w:r>
          </w:p>
        </w:tc>
        <w:tc>
          <w:tcPr>
            <w:tcW w:type="dxa" w:w="1417"/>
            <w:vAlign w:val="center"/>
          </w:tcPr>
          <w:p>
            <w:pPr>
              <w:spacing w:line="264" w:lineRule="auto" w:before="60" w:after="60"/>
              <w:ind w:firstLine="0"/>
              <w:jc w:val="center"/>
            </w:pPr>
            <w:r>
              <w:rPr>
                <w:b w:val="0"/>
                <w:sz w:val="20"/>
              </w:rPr>
              <w:t>m</w:t>
            </w:r>
          </w:p>
        </w:tc>
      </w:tr>
      <w:tr>
        <w:trPr>
          <w:cantSplit/>
        </w:trPr>
        <w:tc>
          <w:tcPr>
            <w:tcW w:type="dxa" w:w="1757"/>
            <w:vAlign w:val="center"/>
          </w:tcPr>
          <w:p>
            <w:pPr>
              <w:spacing w:line="264" w:lineRule="auto" w:before="60" w:after="60"/>
              <w:ind w:firstLine="0"/>
              <w:jc w:val="center"/>
            </w:pPr>
            <m:oMath>
              <m:r>
                <m:t>N,</m:t>
                <w:rPr>
                  <w:rFonts w:ascii="Cambria Math" w:hAnsi="Cambria Math" w:eastAsia="Cambria Math"/>
                </w:rPr>
              </m:r>
              <m:r>
                <m:rPr>
                  <m:sty m:val="p"/>
                </m:rPr>
                <m:t> </m:t>
                <w:rPr>
                  <w:rFonts w:ascii="Cambria Math" w:hAnsi="Cambria Math" w:eastAsia="Cambria Math"/>
                </w:rPr>
              </m:r>
              <m:r>
                <m:t>C,</m:t>
                <w:rPr>
                  <w:rFonts w:ascii="Cambria Math" w:hAnsi="Cambria Math" w:eastAsia="Cambria Math"/>
                </w:rPr>
              </m:r>
              <m:r>
                <m:rPr>
                  <m:sty m:val="p"/>
                </m:rPr>
                <m:t> </m:t>
                <w:rPr>
                  <w:rFonts w:ascii="Cambria Math" w:hAnsi="Cambria Math" w:eastAsia="Cambria Math"/>
                </w:rPr>
              </m:r>
              <m:r>
                <m:t>k</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真实源数、已清除数、已发现频道数</w:t>
            </w:r>
          </w:p>
        </w:tc>
        <w:tc>
          <w:tcPr>
            <w:tcW w:type="dxa" w:w="1417"/>
            <w:vAlign w:val="center"/>
          </w:tcPr>
          <w:p>
            <w:pPr>
              <w:spacing w:line="264" w:lineRule="auto" w:before="60" w:after="60"/>
              <w:ind w:firstLine="0"/>
              <w:jc w:val="center"/>
            </w:pPr>
            <w:r>
              <w:rPr>
                <w:b w:val="0"/>
                <w:sz w:val="20"/>
              </w:rPr>
              <w:t>个</w:t>
            </w:r>
          </w:p>
        </w:tc>
      </w:tr>
      <w:tr>
        <w:trPr>
          <w:cantSplit/>
        </w:trPr>
        <w:tc>
          <w:tcPr>
            <w:tcW w:type="dxa" w:w="1757"/>
            <w:vAlign w:val="center"/>
          </w:tcPr>
          <w:p>
            <w:pPr>
              <w:spacing w:line="264" w:lineRule="auto" w:before="60" w:after="60"/>
              <w:ind w:firstLine="0"/>
              <w:jc w:val="center"/>
            </w:pPr>
            <m:oMath>
              <m:r>
                <m:t>L,</m:t>
                <w:rPr>
                  <w:rFonts w:ascii="Cambria Math" w:hAnsi="Cambria Math" w:eastAsia="Cambria Math"/>
                </w:rPr>
              </m:r>
              <m:r>
                <m:rPr>
                  <m:sty m:val="p"/>
                </m:rPr>
                <m:t> </m:t>
                <w:rPr>
                  <w:rFonts w:ascii="Cambria Math" w:hAnsi="Cambria Math" w:eastAsia="Cambria Math"/>
                </w:rPr>
              </m:r>
              <m:r>
                <m:t>T</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总移动距离、虚拟总时间</w:t>
            </w:r>
          </w:p>
        </w:tc>
        <w:tc>
          <w:tcPr>
            <w:tcW w:type="dxa" w:w="1417"/>
            <w:vAlign w:val="center"/>
          </w:tcPr>
          <w:p>
            <w:pPr>
              <w:spacing w:line="264" w:lineRule="auto" w:before="60" w:after="60"/>
              <w:ind w:firstLine="0"/>
              <w:jc w:val="center"/>
            </w:pPr>
            <w:r>
              <w:rPr>
                <w:b w:val="0"/>
                <w:sz w:val="20"/>
              </w:rPr>
              <w:t>m，s</w:t>
            </w:r>
          </w:p>
        </w:tc>
      </w:tr>
      <w:tr>
        <w:trPr>
          <w:cantSplit/>
        </w:trPr>
        <w:tc>
          <w:tcPr>
            <w:tcW w:type="dxa" w:w="1757"/>
            <w:vAlign w:val="center"/>
          </w:tcPr>
          <w:p>
            <w:pPr>
              <w:spacing w:line="264" w:lineRule="auto" w:before="60" w:after="60"/>
              <w:ind w:firstLine="0"/>
              <w:jc w:val="center"/>
            </w:pPr>
            <m:oMath>
              <m:r>
                <m:t>M,</m:t>
                <w:rPr>
                  <w:rFonts w:ascii="Cambria Math" w:hAnsi="Cambria Math" w:eastAsia="Cambria Math"/>
                </w:rPr>
              </m:r>
              <m:r>
                <m:rPr>
                  <m:sty m:val="p"/>
                </m:rPr>
                <m:t> </m:t>
                <w:rPr>
                  <w:rFonts w:ascii="Cambria Math" w:hAnsi="Cambria Math" w:eastAsia="Cambria Math"/>
                </w:rPr>
              </m:r>
              <m:r>
                <m:t>F</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检测次数、检测换频次数</w:t>
            </w:r>
          </w:p>
        </w:tc>
        <w:tc>
          <w:tcPr>
            <w:tcW w:type="dxa" w:w="1417"/>
            <w:vAlign w:val="center"/>
          </w:tcPr>
          <w:p>
            <w:pPr>
              <w:spacing w:line="264" w:lineRule="auto" w:before="60" w:after="60"/>
              <w:ind w:firstLine="0"/>
              <w:jc w:val="center"/>
            </w:pPr>
            <w:r>
              <w:rPr>
                <w:b w:val="0"/>
                <w:sz w:val="20"/>
              </w:rPr>
              <w:t>次</w:t>
            </w:r>
          </w:p>
        </w:tc>
      </w:tr>
      <w:tr>
        <w:trPr>
          <w:cantSplit/>
        </w:trPr>
        <w:tc>
          <w:tcPr>
            <w:tcW w:type="dxa" w:w="1757"/>
            <w:vAlign w:val="center"/>
          </w:tcPr>
          <w:p>
            <w:pPr>
              <w:spacing w:line="264" w:lineRule="auto" w:before="60" w:after="60"/>
              <w:ind w:firstLine="0"/>
              <w:jc w:val="center"/>
            </w:pPr>
            <m:oMath>
              <m:sSub>
                <m:e>
                  <m:r>
                    <m:t>A</m:t>
                    <w:rPr>
                      <w:rFonts w:ascii="Cambria Math" w:hAnsi="Cambria Math" w:eastAsia="Cambria Math"/>
                    </w:rPr>
                  </m:r>
                </m:e>
                <m:sub>
                  <m:r>
                    <m:rPr>
                      <m:sty m:val="p"/>
                    </m:rPr>
                    <m:t>clr</m:t>
                    <w:rPr>
                      <w:rFonts w:ascii="Cambria Math" w:hAnsi="Cambria Math" w:eastAsia="Cambria Math"/>
                    </w:rPr>
                  </m:r>
                </m:sub>
              </m:sSub>
            </m:oMath>
          </w:p>
        </w:tc>
        <w:tc>
          <w:tcPr>
            <w:tcW w:type="dxa" w:w="6009"/>
            <w:vAlign w:val="center"/>
          </w:tcPr>
          <w:p>
            <w:pPr>
              <w:spacing w:line="264" w:lineRule="auto" w:before="60" w:after="60"/>
              <w:ind w:firstLine="0"/>
              <w:jc w:val="left"/>
            </w:pPr>
            <w:r>
              <w:rPr>
                <w:b w:val="0"/>
                <w:sz w:val="20"/>
              </w:rPr>
              <w:t>光学精确定位尝试次数</w:t>
            </w:r>
          </w:p>
        </w:tc>
        <w:tc>
          <w:tcPr>
            <w:tcW w:type="dxa" w:w="1417"/>
            <w:vAlign w:val="center"/>
          </w:tcPr>
          <w:p>
            <w:pPr>
              <w:spacing w:line="264" w:lineRule="auto" w:before="60" w:after="60"/>
              <w:ind w:firstLine="0"/>
              <w:jc w:val="center"/>
            </w:pPr>
            <w:r>
              <w:rPr>
                <w:b w:val="0"/>
                <w:sz w:val="20"/>
              </w:rPr>
              <w:t>次</w:t>
            </w:r>
          </w:p>
        </w:tc>
      </w:tr>
      <w:tr>
        <w:trPr>
          <w:cantSplit/>
        </w:trPr>
        <w:tc>
          <w:tcPr>
            <w:tcW w:type="dxa" w:w="1757"/>
            <w:vAlign w:val="center"/>
          </w:tcPr>
          <w:p>
            <w:pPr>
              <w:spacing w:line="264" w:lineRule="auto" w:before="60" w:after="60"/>
              <w:ind w:firstLine="0"/>
              <w:jc w:val="center"/>
            </w:pPr>
            <m:oMath>
              <m:r>
                <m:t>q</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一个潜在源未被已有扫描发现的模型概率</w:t>
            </w:r>
          </w:p>
        </w:tc>
        <w:tc>
          <w:tcPr>
            <w:tcW w:type="dxa" w:w="1417"/>
            <w:vAlign w:val="center"/>
          </w:tcPr>
          <w:p>
            <w:pPr>
              <w:spacing w:line="264" w:lineRule="auto" w:before="60" w:after="60"/>
              <w:ind w:firstLine="0"/>
              <w:jc w:val="center"/>
            </w:pPr>
            <w:r>
              <w:rPr>
                <w:b w:val="0"/>
                <w:sz w:val="20"/>
              </w:rPr>
              <w:t>—</w:t>
            </w:r>
          </w:p>
        </w:tc>
      </w:tr>
      <w:tr>
        <w:trPr>
          <w:cantSplit/>
        </w:trPr>
        <w:tc>
          <w:tcPr>
            <w:tcW w:type="dxa" w:w="1757"/>
            <w:vAlign w:val="center"/>
          </w:tcPr>
          <w:p>
            <w:pPr>
              <w:spacing w:line="264" w:lineRule="auto" w:before="60" w:after="60"/>
              <w:ind w:firstLine="0"/>
              <w:jc w:val="center"/>
            </w:pPr>
            <m:oMath>
              <m:sSub>
                <m:e>
                  <m:r>
                    <m:t>P</m:t>
                    <w:rPr>
                      <w:rFonts w:ascii="Cambria Math" w:hAnsi="Cambria Math" w:eastAsia="Cambria Math"/>
                    </w:rPr>
                  </m:r>
                </m:e>
                <m:sub>
                  <m:r>
                    <m:t>0</m:t>
                    <w:rPr>
                      <w:rFonts w:ascii="Cambria Math" w:hAnsi="Cambria Math" w:eastAsia="Cambria Math"/>
                    </w:rPr>
                  </m:r>
                </m:sub>
              </m:sSub>
              <m:r>
                <m:t>,</m:t>
                <w:rPr>
                  <w:rFonts w:ascii="Cambria Math" w:hAnsi="Cambria Math" w:eastAsia="Cambria Math"/>
                </w:rPr>
              </m:r>
              <m:r>
                <m:rPr>
                  <m:sty m:val="p"/>
                </m:rPr>
                <m:t> </m:t>
                <w:rPr>
                  <w:rFonts w:ascii="Cambria Math" w:hAnsi="Cambria Math" w:eastAsia="Cambria Math"/>
                </w:rPr>
              </m:r>
              <m:bar>
                <m:barPr>
                  <m:pos m:val="top"/>
                </m:barPr>
                <m:e>
                  <m:r>
                    <m:t>R</m:t>
                    <w:rPr>
                      <w:rFonts w:ascii="Cambria Math" w:hAnsi="Cambria Math" w:eastAsia="Cambria Math"/>
                    </w:rPr>
                  </m:r>
                </m:e>
              </m:bar>
              <m:r>
                <m:t>,ρ</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无剩余源后验、剩余源期望、比例风险指标</w:t>
            </w:r>
          </w:p>
        </w:tc>
        <w:tc>
          <w:tcPr>
            <w:tcW w:type="dxa" w:w="1417"/>
            <w:vAlign w:val="center"/>
          </w:tcPr>
          <w:p>
            <w:pPr>
              <w:spacing w:line="264" w:lineRule="auto" w:before="60" w:after="60"/>
              <w:ind w:firstLine="0"/>
              <w:jc w:val="center"/>
            </w:pPr>
            <w:r>
              <w:rPr>
                <w:b w:val="0"/>
                <w:sz w:val="20"/>
              </w:rPr>
              <w:t>—</w:t>
            </w:r>
          </w:p>
        </w:tc>
      </w:tr>
      <w:tr>
        <w:trPr>
          <w:cantSplit/>
        </w:trPr>
        <w:tc>
          <w:tcPr>
            <w:tcW w:type="dxa" w:w="1757"/>
            <w:vAlign w:val="center"/>
          </w:tcPr>
          <w:p>
            <w:pPr>
              <w:spacing w:line="264" w:lineRule="auto" w:before="60" w:after="60"/>
              <w:ind w:firstLine="0"/>
              <w:jc w:val="center"/>
            </w:pPr>
            <m:oMath>
              <m:r>
                <m:t>η,α</m:t>
                <w:rPr>
                  <w:rFonts w:ascii="Cambria Math" w:hAnsi="Cambria Math" w:eastAsia="Cambria Math"/>
                </w:rPr>
              </m:r>
            </m:oMath>
          </w:p>
        </w:tc>
        <w:tc>
          <w:tcPr>
            <w:tcW w:type="dxa" w:w="6009"/>
            <w:vAlign w:val="center"/>
          </w:tcPr>
          <w:p>
            <w:pPr>
              <w:spacing w:line="264" w:lineRule="auto" w:before="60" w:after="60"/>
              <w:ind w:firstLine="0"/>
              <w:jc w:val="left"/>
            </w:pPr>
            <w:r>
              <w:rPr>
                <w:b w:val="0"/>
                <w:sz w:val="20"/>
              </w:rPr>
              <w:t>比例风险预算、任一剩余源概率预算</w:t>
            </w:r>
          </w:p>
        </w:tc>
        <w:tc>
          <w:tcPr>
            <w:tcW w:type="dxa" w:w="1417"/>
            <w:vAlign w:val="center"/>
          </w:tcPr>
          <w:p>
            <w:pPr>
              <w:spacing w:line="264" w:lineRule="auto" w:before="60" w:after="60"/>
              <w:ind w:firstLine="0"/>
              <w:jc w:val="center"/>
            </w:pPr>
            <w:r>
              <w:rPr>
                <w:b w:val="0"/>
                <w:sz w:val="20"/>
              </w:rPr>
              <w:t>—</w:t>
            </w:r>
          </w:p>
        </w:tc>
      </w:tr>
    </w:tbl>
    <w:p>
      <w:pPr>
        <w:spacing w:after="40" w:before="0" w:line="72" w:lineRule="auto"/>
      </w:pPr>
    </w:p>
    <w:p>
      <w:pPr>
        <w:pStyle w:val="Heading1"/>
      </w:pPr>
      <w:r>
        <w:t>3 问题分析与总体求解思路</w:t>
      </w:r>
    </w:p>
    <w:p>
      <w:pPr>
        <w:pStyle w:val="Heading2"/>
      </w:pPr>
      <w:r>
        <w:t>3.1 四问的递进关系</w:t>
      </w:r>
    </w:p>
    <w:p>
      <w:pPr>
        <w:jc w:val="both"/>
      </w:pPr>
      <w:r>
        <w:t>第一问首先解决“观测允许源在哪里”。若直接交会两条中心射线，将丢失有界误差所形成的区域；区域直径和最小包围圆半径承担不同的几何任务，需要分别计算。第二问进一步解决“下一次从哪里观测”，应同时考虑接收能力和交会角，不能只选择与第一条示向线正交的位置。</w:t>
      </w:r>
    </w:p>
    <w:p>
      <w:pPr>
        <w:jc w:val="both"/>
      </w:pPr>
      <w:r>
        <w:t>第三问新增多频道和未知源数后，单源最短追踪不一定带来全局最短时间。若每发现一个源立即追踪，然后返回旧检测点继续扫其他频道，会反复支付往返成本。需要先收集同点信息，再对已发现源联合排序，并利用清除后的位置继续发现新源。</w:t>
      </w:r>
    </w:p>
    <w:p>
      <w:pPr>
        <w:jc w:val="both"/>
      </w:pPr>
      <w:r>
        <w:t>第四问中，未收到信号既可能源不存在，也可能超出半径或落在定向背面；追踪时信号突然消失，也不能简单解释为走远了。搜索必须处理类型和朝向的不确定性，同时在“继续证明没有剩余源”和“提前结束”之间建立明确的风险关系。</w:t>
      </w:r>
    </w:p>
    <w:p>
      <w:pPr>
        <w:pStyle w:val="Heading2"/>
      </w:pPr>
      <w:r>
        <w:t>3.2 总体方法</w:t>
      </w:r>
    </w:p>
    <w:p>
      <w:pPr>
        <w:jc w:val="both"/>
      </w:pPr>
      <w:r>
        <w:t>本文采用统一的几何定位内核和分层控制结构。观测层记录有效示向、近距离反馈、无信号位置与清除结果；几何层更新每个已发现频道的可行区域；搜索层评价未发现频道在候选点的可见性；路线层联合决定跨源服务顺序；执行层通过HTTP接口串行发送动作，并以响应更新时间和状态。</w:t>
      </w:r>
    </w:p>
    <w:p>
      <w:pPr>
        <w:jc w:val="both"/>
      </w:pPr>
      <w:r>
        <w:t>第一、二问用于给出几何解释和可执行选点方法。第三、四问沿用有界误差几何，但在线控制使用较低成本的候选追踪与路线重规划，不在每一步完整重跑第二问的1009点枚举。这样既保留几何依据，也控制多源任务的计算开销。</w:t>
      </w:r>
    </w:p>
    <w:p>
      <w:pPr>
        <w:ind w:firstLine="0"/>
        <w:jc w:val="both"/>
      </w:pPr>
      <w:r>
        <w:rPr>
          <w:color w:val="555555"/>
          <w:sz w:val="20"/>
        </w:rPr>
        <w:t>【图1待绘：四问关系与在线控制流程。标清几何更新、候选生成、联合路线、动作反馈和停止判断的循环，以及第四问新增的定向可见性模块。】</w:t>
      </w:r>
    </w:p>
    <w:p>
      <w:pPr>
        <w:pStyle w:val="Heading1"/>
      </w:pPr>
      <w:r>
        <w:t>4 基本模型</w:t>
      </w:r>
    </w:p>
    <w:p>
      <w:pPr>
        <w:pStyle w:val="Heading2"/>
      </w:pPr>
      <w:r>
        <w:t>4.1 示向约束与定位区域</w:t>
      </w:r>
    </w:p>
    <w:p>
      <w:pPr>
        <w:keepNext/>
        <w:jc w:val="both"/>
      </w:pPr>
      <w:r>
        <w:t>记单位方向向量为</w:t>
      </w:r>
      <m:oMath>
        <m:r>
          <m:t>u(θ)=(</m:t>
          <w:rPr>
            <w:rFonts w:ascii="Cambria Math" w:hAnsi="Cambria Math" w:eastAsia="Cambria Math"/>
          </w:rPr>
        </m:r>
        <m:r>
          <m:rPr>
            <m:sty m:val="p"/>
          </m:rPr>
          <m:t>cos</m:t>
          <w:rPr>
            <w:rFonts w:ascii="Cambria Math" w:hAnsi="Cambria Math" w:eastAsia="Cambria Math"/>
          </w:rPr>
        </m:r>
        <m:r>
          <m:t>θ,</m:t>
          <w:rPr>
            <w:rFonts w:ascii="Cambria Math" w:hAnsi="Cambria Math" w:eastAsia="Cambria Math"/>
          </w:rPr>
        </m:r>
        <m:r>
          <m:rPr>
            <m:sty m:val="p"/>
          </m:rPr>
          <m:t>sin</m:t>
          <w:rPr>
            <w:rFonts w:ascii="Cambria Math" w:hAnsi="Cambria Math" w:eastAsia="Cambria Math"/>
          </w:rPr>
        </m:r>
        <m:r>
          <m:t>θ)</m:t>
          <w:rPr>
            <w:rFonts w:ascii="Cambria Math" w:hAnsi="Cambria Math" w:eastAsia="Cambria Math"/>
          </w:rPr>
        </m:r>
      </m:oMath>
      <w:r>
        <w:t>。检测点</w:t>
      </w:r>
      <m:oMath>
        <m:sSub>
          <m:e>
            <m:r>
              <m:t>S</m:t>
              <w:rPr>
                <w:rFonts w:ascii="Cambria Math" w:hAnsi="Cambria Math" w:eastAsia="Cambria Math"/>
              </w:rPr>
            </m:r>
          </m:e>
          <m:sub>
            <m:r>
              <m:t>i</m:t>
              <w:rPr>
                <w:rFonts w:ascii="Cambria Math" w:hAnsi="Cambria Math" w:eastAsia="Cambria Math"/>
              </w:rPr>
            </m:r>
          </m:sub>
        </m:sSub>
      </m:oMath>
      <w:r>
        <w:t>的观测给出以</w:t>
      </w:r>
      <m:oMath>
        <m:sSub>
          <m:e>
            <m:acc>
              <m:accPr>
                <m:chr m:val="̂"/>
              </m:accPr>
              <m:e>
                <m:r>
                  <m:t>θ</m:t>
                  <w:rPr>
                    <w:rFonts w:ascii="Cambria Math" w:hAnsi="Cambria Math" w:eastAsia="Cambria Math"/>
                  </w:rPr>
                </m:r>
              </m:e>
            </m:acc>
          </m:e>
          <m:sub>
            <m:r>
              <m:t>i</m:t>
              <w:rPr>
                <w:rFonts w:ascii="Cambria Math" w:hAnsi="Cambria Math" w:eastAsia="Cambria Math"/>
              </w:rPr>
            </m:r>
          </m:sub>
        </m:sSub>
      </m:oMath>
      <w:r>
        <w:t>为中心、半角为</w:t>
      </w:r>
      <m:oMath>
        <m:r>
          <m:t>ε</m:t>
          <w:rPr>
            <w:rFonts w:ascii="Cambria Math" w:hAnsi="Cambria Math" w:eastAsia="Cambria Math"/>
          </w:rPr>
        </m:r>
      </m:oMath>
      <w:r>
        <w:t>的扇形约束。令二维叉积为</w:t>
      </w:r>
      <m:oMath>
        <m:r>
          <m:t>[a,b]=</m:t>
          <w:rPr>
            <w:rFonts w:ascii="Cambria Math" w:hAnsi="Cambria Math" w:eastAsia="Cambria Math"/>
          </w:rPr>
        </m:r>
        <m:sSub>
          <m:e>
            <m:r>
              <m:t>a</m:t>
              <w:rPr>
                <w:rFonts w:ascii="Cambria Math" w:hAnsi="Cambria Math" w:eastAsia="Cambria Math"/>
              </w:rPr>
            </m:r>
          </m:e>
          <m:sub>
            <m:r>
              <m:t>x</m:t>
              <w:rPr>
                <w:rFonts w:ascii="Cambria Math" w:hAnsi="Cambria Math" w:eastAsia="Cambria Math"/>
              </w:rPr>
            </m:r>
          </m:sub>
        </m:sSub>
        <m:sSub>
          <m:e>
            <m:r>
              <m:t>b</m:t>
              <w:rPr>
                <w:rFonts w:ascii="Cambria Math" w:hAnsi="Cambria Math" w:eastAsia="Cambria Math"/>
              </w:rPr>
            </m:r>
          </m:e>
          <m:sub>
            <m:r>
              <m:t>y</m:t>
              <w:rPr>
                <w:rFonts w:ascii="Cambria Math" w:hAnsi="Cambria Math" w:eastAsia="Cambria Math"/>
              </w:rPr>
            </m:r>
          </m:sub>
        </m:sSub>
        <m:r>
          <m:t>−</m:t>
          <w:rPr>
            <w:rFonts w:ascii="Cambria Math" w:hAnsi="Cambria Math" w:eastAsia="Cambria Math"/>
          </w:rPr>
        </m:r>
        <m:sSub>
          <m:e>
            <m:r>
              <m:t>a</m:t>
              <w:rPr>
                <w:rFonts w:ascii="Cambria Math" w:hAnsi="Cambria Math" w:eastAsia="Cambria Math"/>
              </w:rPr>
            </m:r>
          </m:e>
          <m:sub>
            <m:r>
              <m:t>y</m:t>
              <w:rPr>
                <w:rFonts w:ascii="Cambria Math" w:hAnsi="Cambria Math" w:eastAsia="Cambria Math"/>
              </w:rPr>
            </m:r>
          </m:sub>
        </m:sSub>
        <m:sSub>
          <m:e>
            <m:r>
              <m:t>b</m:t>
              <w:rPr>
                <w:rFonts w:ascii="Cambria Math" w:hAnsi="Cambria Math" w:eastAsia="Cambria Math"/>
              </w:rPr>
            </m:r>
          </m:e>
          <m:sub>
            <m:r>
              <m:t>x</m:t>
              <w:rPr>
                <w:rFonts w:ascii="Cambria Math" w:hAnsi="Cambria Math" w:eastAsia="Cambria Math"/>
              </w:rPr>
            </m:r>
          </m:sub>
        </m:sSub>
      </m:oMath>
      <w:r>
        <w:t>，其两个边界半平面可写为</w:t>
      </w:r>
    </w:p>
    <w:p>
      <w:pPr>
        <w:keepLines/>
        <w:ind w:firstLine="0"/>
        <w:jc w:val="center"/>
      </w:pPr>
      <m:oMath>
        <m:r>
          <m:t>[u(</m:t>
          <w:rPr>
            <w:rFonts w:ascii="Cambria Math" w:hAnsi="Cambria Math" w:eastAsia="Cambria Math"/>
          </w:rPr>
        </m:r>
        <m:sSub>
          <m:e>
            <m:acc>
              <m:accPr>
                <m:chr m:val="̂"/>
              </m:accPr>
              <m:e>
                <m:r>
                  <m:t>θ</m:t>
                  <w:rPr>
                    <w:rFonts w:ascii="Cambria Math" w:hAnsi="Cambria Math" w:eastAsia="Cambria Math"/>
                  </w:rPr>
                </m:r>
              </m:e>
            </m:acc>
          </m:e>
          <m:sub>
            <m:r>
              <m:t>i</m:t>
              <w:rPr>
                <w:rFonts w:ascii="Cambria Math" w:hAnsi="Cambria Math" w:eastAsia="Cambria Math"/>
              </w:rPr>
            </m:r>
          </m:sub>
        </m:sSub>
        <m:r>
          <m:t>−ε),p−</m:t>
          <w:rPr>
            <w:rFonts w:ascii="Cambria Math" w:hAnsi="Cambria Math" w:eastAsia="Cambria Math"/>
          </w:rPr>
        </m:r>
        <m:sSub>
          <m:e>
            <m:r>
              <m:t>S</m:t>
              <w:rPr>
                <w:rFonts w:ascii="Cambria Math" w:hAnsi="Cambria Math" w:eastAsia="Cambria Math"/>
              </w:rPr>
            </m:r>
          </m:e>
          <m:sub>
            <m:r>
              <m:t>i</m:t>
              <w:rPr>
                <w:rFonts w:ascii="Cambria Math" w:hAnsi="Cambria Math" w:eastAsia="Cambria Math"/>
              </w:rPr>
            </m:r>
          </m:sub>
        </m:sSub>
        <m:r>
          <m:t>]≥0,</m:t>
          <w:rPr>
            <w:rFonts w:ascii="Cambria Math" w:hAnsi="Cambria Math" w:eastAsia="Cambria Math"/>
          </w:rPr>
        </m:r>
        <m:r>
          <m:t>[u(</m:t>
          <w:rPr>
            <w:rFonts w:ascii="Cambria Math" w:hAnsi="Cambria Math" w:eastAsia="Cambria Math"/>
          </w:rPr>
        </m:r>
        <m:sSub>
          <m:e>
            <m:acc>
              <m:accPr>
                <m:chr m:val="̂"/>
              </m:accPr>
              <m:e>
                <m:r>
                  <m:t>θ</m:t>
                  <w:rPr>
                    <w:rFonts w:ascii="Cambria Math" w:hAnsi="Cambria Math" w:eastAsia="Cambria Math"/>
                  </w:rPr>
                </m:r>
              </m:e>
            </m:acc>
          </m:e>
          <m:sub>
            <m:r>
              <m:t>i</m:t>
              <w:rPr>
                <w:rFonts w:ascii="Cambria Math" w:hAnsi="Cambria Math" w:eastAsia="Cambria Math"/>
              </w:rPr>
            </m:r>
          </m:sub>
        </m:sSub>
        <m:r>
          <m:t>+ε),p−</m:t>
          <w:rPr>
            <w:rFonts w:ascii="Cambria Math" w:hAnsi="Cambria Math" w:eastAsia="Cambria Math"/>
          </w:rPr>
        </m:r>
        <m:sSub>
          <m:e>
            <m:r>
              <m:t>S</m:t>
              <w:rPr>
                <w:rFonts w:ascii="Cambria Math" w:hAnsi="Cambria Math" w:eastAsia="Cambria Math"/>
              </w:rPr>
            </m:r>
          </m:e>
          <m:sub>
            <m:r>
              <m:t>i</m:t>
              <w:rPr>
                <w:rFonts w:ascii="Cambria Math" w:hAnsi="Cambria Math" w:eastAsia="Cambria Math"/>
              </w:rPr>
            </m:r>
          </m:sub>
        </m:sSub>
        <m:r>
          <m:t>]≤0.</m:t>
          <w:rPr>
            <w:rFonts w:ascii="Cambria Math" w:hAnsi="Cambria Math" w:eastAsia="Cambria Math"/>
          </w:rPr>
        </m:r>
      </m:oMath>
      <w:r>
        <w:t xml:space="preserve">  (1)</w:t>
      </w:r>
    </w:p>
    <w:p>
      <w:pPr>
        <w:keepNext/>
        <w:jc w:val="both"/>
      </w:pPr>
      <w:r>
        <w:t>因此仅由方位和目标圆域形成的凸可行集为</w:t>
      </w:r>
    </w:p>
    <w:p>
      <w:pPr>
        <w:keepLines/>
        <w:ind w:firstLine="0"/>
        <w:jc w:val="center"/>
      </w:pPr>
      <m:oMath>
        <m:sSubSup>
          <m:e>
            <m:r>
              <m:t>Ω</m:t>
              <w:rPr>
                <w:rFonts w:ascii="Cambria Math" w:hAnsi="Cambria Math" w:eastAsia="Cambria Math"/>
              </w:rPr>
            </m:r>
          </m:e>
          <m:sub>
            <m:r>
              <m:t>m</m:t>
              <w:rPr>
                <w:rFonts w:ascii="Cambria Math" w:hAnsi="Cambria Math" w:eastAsia="Cambria Math"/>
              </w:rPr>
            </m:r>
          </m:sub>
          <m:sup>
            <m:r>
              <m:rPr>
                <m:sty m:val="p"/>
              </m:rPr>
              <m:t>ang</m:t>
              <w:rPr>
                <w:rFonts w:ascii="Cambria Math" w:hAnsi="Cambria Math" w:eastAsia="Cambria Math"/>
              </w:rPr>
            </m:r>
          </m:sup>
        </m:sSubSup>
        <m:r>
          <m:t>=B(0,1800)∩</m:t>
          <w:rPr>
            <w:rFonts w:ascii="Cambria Math" w:hAnsi="Cambria Math" w:eastAsia="Cambria Math"/>
          </w:rPr>
        </m:r>
        <m:nary>
          <m:naryPr>
            <m:chr m:val="⋂"/>
            <m:limLoc m:val="subSup"/>
            <m:grow m:val="1"/>
            <m:subHide m:val="off"/>
            <m:supHide m:val="off"/>
          </m:naryPr>
          <m:sub>
            <m:r>
              <m:t>i=1</m:t>
              <w:rPr>
                <w:rFonts w:ascii="Cambria Math" w:hAnsi="Cambria Math" w:eastAsia="Cambria Math"/>
              </w:rPr>
            </m:r>
          </m:sub>
          <m:sup>
            <m:r>
              <m:t>m</m:t>
              <w:rPr>
                <w:rFonts w:ascii="Cambria Math" w:hAnsi="Cambria Math" w:eastAsia="Cambria Math"/>
              </w:rPr>
            </m:r>
          </m:sup>
          <m:e>
            <m:sSub>
              <m:e>
                <m:r>
                  <m:t>W</m:t>
                  <w:rPr>
                    <w:rFonts w:ascii="Cambria Math" w:hAnsi="Cambria Math" w:eastAsia="Cambria Math"/>
                  </w:rPr>
                </m:r>
              </m:e>
              <m:sub>
                <m:r>
                  <m:t>i</m:t>
                  <w:rPr>
                    <w:rFonts w:ascii="Cambria Math" w:hAnsi="Cambria Math" w:eastAsia="Cambria Math"/>
                  </w:rPr>
                </m:r>
              </m:sub>
            </m:sSub>
          </m:e>
        </m:nary>
        <m:r>
          <m:t>.</m:t>
          <w:rPr>
            <w:rFonts w:ascii="Cambria Math" w:hAnsi="Cambria Math" w:eastAsia="Cambria Math"/>
          </w:rPr>
        </m:r>
      </m:oMath>
      <w:r>
        <w:t xml:space="preserve">  (2)</w:t>
      </w:r>
    </w:p>
    <w:p>
      <w:pPr>
        <w:keepNext/>
        <w:jc w:val="both"/>
      </w:pPr>
      <w:r>
        <w:t>若进一步利用收到信号意味着距离不超过1500 m，可增加接收圆盘约束，得到</w:t>
      </w:r>
    </w:p>
    <w:p>
      <w:pPr>
        <w:keepLines/>
        <w:ind w:firstLine="0"/>
        <w:jc w:val="center"/>
      </w:pPr>
      <m:oMath>
        <m:sSubSup>
          <m:e>
            <m:r>
              <m:t>Ω</m:t>
              <w:rPr>
                <w:rFonts w:ascii="Cambria Math" w:hAnsi="Cambria Math" w:eastAsia="Cambria Math"/>
              </w:rPr>
            </m:r>
          </m:e>
          <m:sub>
            <m:r>
              <m:t>m</m:t>
              <w:rPr>
                <w:rFonts w:ascii="Cambria Math" w:hAnsi="Cambria Math" w:eastAsia="Cambria Math"/>
              </w:rPr>
            </m:r>
          </m:sub>
          <m:sup>
            <m:r>
              <m:rPr>
                <m:sty m:val="p"/>
              </m:rPr>
              <m:t>aug</m:t>
              <w:rPr>
                <w:rFonts w:ascii="Cambria Math" w:hAnsi="Cambria Math" w:eastAsia="Cambria Math"/>
              </w:rPr>
            </m:r>
          </m:sup>
        </m:sSubSup>
        <m:r>
          <m:t>=</m:t>
          <w:rPr>
            <w:rFonts w:ascii="Cambria Math" w:hAnsi="Cambria Math" w:eastAsia="Cambria Math"/>
          </w:rPr>
        </m:r>
        <m:sSubSup>
          <m:e>
            <m:r>
              <m:t>Ω</m:t>
              <w:rPr>
                <w:rFonts w:ascii="Cambria Math" w:hAnsi="Cambria Math" w:eastAsia="Cambria Math"/>
              </w:rPr>
            </m:r>
          </m:e>
          <m:sub>
            <m:r>
              <m:t>m</m:t>
              <w:rPr>
                <w:rFonts w:ascii="Cambria Math" w:hAnsi="Cambria Math" w:eastAsia="Cambria Math"/>
              </w:rPr>
            </m:r>
          </m:sub>
          <m:sup>
            <m:r>
              <m:rPr>
                <m:sty m:val="p"/>
              </m:rPr>
              <m:t>ang</m:t>
              <w:rPr>
                <w:rFonts w:ascii="Cambria Math" w:hAnsi="Cambria Math" w:eastAsia="Cambria Math"/>
              </w:rPr>
            </m:r>
          </m:sup>
        </m:sSubSup>
        <m:r>
          <m:t>∩</m:t>
          <w:rPr>
            <w:rFonts w:ascii="Cambria Math" w:hAnsi="Cambria Math" w:eastAsia="Cambria Math"/>
          </w:rPr>
        </m:r>
        <m:nary>
          <m:naryPr>
            <m:chr m:val="⋂"/>
            <m:limLoc m:val="subSup"/>
            <m:grow m:val="1"/>
            <m:subHide m:val="off"/>
            <m:supHide m:val="off"/>
          </m:naryPr>
          <m:sub>
            <m:r>
              <m:t>i=1</m:t>
              <w:rPr>
                <w:rFonts w:ascii="Cambria Math" w:hAnsi="Cambria Math" w:eastAsia="Cambria Math"/>
              </w:rPr>
            </m:r>
          </m:sub>
          <m:sup>
            <m:r>
              <m:t>m</m:t>
              <w:rPr>
                <w:rFonts w:ascii="Cambria Math" w:hAnsi="Cambria Math" w:eastAsia="Cambria Math"/>
              </w:rPr>
            </m:r>
          </m:sup>
          <m:e>
            <m:r>
              <m:t>B(</m:t>
              <w:rPr>
                <w:rFonts w:ascii="Cambria Math" w:hAnsi="Cambria Math" w:eastAsia="Cambria Math"/>
              </w:rPr>
            </m:r>
          </m:e>
        </m:nary>
        <m:sSub>
          <m:e>
            <m:r>
              <m:t>S</m:t>
              <w:rPr>
                <w:rFonts w:ascii="Cambria Math" w:hAnsi="Cambria Math" w:eastAsia="Cambria Math"/>
              </w:rPr>
            </m:r>
          </m:e>
          <m:sub>
            <m:r>
              <m:t>i</m:t>
              <w:rPr>
                <w:rFonts w:ascii="Cambria Math" w:hAnsi="Cambria Math" w:eastAsia="Cambria Math"/>
              </w:rPr>
            </m:r>
          </m:sub>
        </m:sSub>
        <m:r>
          <m:t>,1500).</m:t>
          <w:rPr>
            <w:rFonts w:ascii="Cambria Math" w:hAnsi="Cambria Math" w:eastAsia="Cambria Math"/>
          </w:rPr>
        </m:r>
      </m:oMath>
      <w:r>
        <w:t xml:space="preserve">  (3)</w:t>
      </w:r>
    </w:p>
    <w:p>
      <w:pPr>
        <w:jc w:val="both"/>
      </w:pPr>
      <w:r>
        <w:t>问题一数值算例使用式(3)。在线几何函数localization_polygon实现式(2)，保留较宽的凸区域。示向度还意味着距离大于5 m，但删除近距离圆盘会使区域不一定凸；本模型保留该小区域作为凸松弛，在动作执行时单独处理near反馈。上述集合是定位不确定性的表示，不能用其中心直接替代真实位置。</w:t>
      </w:r>
    </w:p>
    <w:p>
      <w:pPr>
        <w:pStyle w:val="Heading2"/>
      </w:pPr>
      <w:r>
        <w:t>4.2 完整动作计时</w:t>
      </w:r>
    </w:p>
    <w:p>
      <w:pPr>
        <w:keepNext/>
        <w:jc w:val="both"/>
      </w:pPr>
      <w:r>
        <w:t>从位置</w:t>
      </w:r>
      <m:oMath>
        <m:r>
          <m:t>p</m:t>
          <w:rPr>
            <w:rFonts w:ascii="Cambria Math" w:hAnsi="Cambria Math" w:eastAsia="Cambria Math"/>
          </w:rPr>
        </m:r>
      </m:oMath>
      <w:r>
        <w:t>移到</w:t>
      </w:r>
      <m:oMath>
        <m:r>
          <m:t>s</m:t>
          <w:rPr>
            <w:rFonts w:ascii="Cambria Math" w:hAnsi="Cambria Math" w:eastAsia="Cambria Math"/>
          </w:rPr>
        </m:r>
      </m:oMath>
      <w:r>
        <w:t>并检测频道</w:t>
      </w:r>
      <m:oMath>
        <m:r>
          <m:t>j</m:t>
          <w:rPr>
            <w:rFonts w:ascii="Cambria Math" w:hAnsi="Cambria Math" w:eastAsia="Cambria Math"/>
          </w:rPr>
        </m:r>
      </m:oMath>
      <w:r>
        <w:t>，若当前测向频道为</w:t>
      </w:r>
      <m:oMath>
        <m:r>
          <m:t>c</m:t>
          <w:rPr>
            <w:rFonts w:ascii="Cambria Math" w:hAnsi="Cambria Math" w:eastAsia="Cambria Math"/>
          </w:rPr>
        </m:r>
      </m:oMath>
      <w:r>
        <w:t>，合法检测动作的虚拟耗时为</w:t>
      </w:r>
    </w:p>
    <w:p>
      <w:pPr>
        <w:keepLines/>
        <w:ind w:firstLine="0"/>
        <w:jc w:val="center"/>
      </w:pPr>
      <m:oMath>
        <m:r>
          <m:t>Δ</m:t>
          <w:rPr>
            <w:rFonts w:ascii="Cambria Math" w:hAnsi="Cambria Math" w:eastAsia="Cambria Math"/>
          </w:rPr>
        </m:r>
        <m:sSub>
          <m:e>
            <m:r>
              <m:t>T</m:t>
              <w:rPr>
                <w:rFonts w:ascii="Cambria Math" w:hAnsi="Cambria Math" w:eastAsia="Cambria Math"/>
              </w:rPr>
            </m:r>
          </m:e>
          <m:sub>
            <m:r>
              <m:rPr>
                <m:sty m:val="p"/>
              </m:rPr>
              <m:t>meas</m:t>
              <w:rPr>
                <w:rFonts w:ascii="Cambria Math" w:hAnsi="Cambria Math" w:eastAsia="Cambria Math"/>
              </w:rPr>
            </m:r>
          </m:sub>
        </m:sSub>
        <m:r>
          <m:t>=</m:t>
          <w:rPr>
            <w:rFonts w:ascii="Cambria Math" w:hAnsi="Cambria Math" w:eastAsia="Cambria Math"/>
          </w:rPr>
        </m:r>
        <m:f>
          <m:fPr>
            <m:type m:val="bar"/>
          </m:fPr>
          <m:num>
            <m:d>
              <m:dPr>
                <m:begChr m:val="‖"/>
                <m:sepChr m:val="−"/>
                <m:endChr m:val="‖"/>
              </m:dPr>
              <m:e>
                <m:r>
                  <m:t>s</m:t>
                  <w:rPr>
                    <w:rFonts w:ascii="Cambria Math" w:hAnsi="Cambria Math" w:eastAsia="Cambria Math"/>
                  </w:rPr>
                </m:r>
              </m:e>
              <m:e>
                <m:r>
                  <m:t>p</m:t>
                  <w:rPr>
                    <w:rFonts w:ascii="Cambria Math" w:hAnsi="Cambria Math" w:eastAsia="Cambria Math"/>
                  </w:rPr>
                </m:r>
              </m:e>
            </m:d>
          </m:num>
          <m:den>
            <m:r>
              <m:t>5</m:t>
              <w:rPr>
                <w:rFonts w:ascii="Cambria Math" w:hAnsi="Cambria Math" w:eastAsia="Cambria Math"/>
              </w:rPr>
            </m:r>
          </m:den>
        </m:f>
        <m:r>
          <m:t>+5+</m:t>
          <w:rPr>
            <w:rFonts w:ascii="Cambria Math" w:hAnsi="Cambria Math" w:eastAsia="Cambria Math"/>
          </w:rPr>
        </m:r>
        <m:r>
          <m:rPr>
            <m:sty m:val="b"/>
          </m:rPr>
          <m:t>1</m:t>
          <w:rPr>
            <w:rFonts w:ascii="Cambria Math" w:hAnsi="Cambria Math" w:eastAsia="Cambria Math"/>
          </w:rPr>
        </m:r>
        <m:r>
          <m:t>(j≠c).</m:t>
          <w:rPr>
            <w:rFonts w:ascii="Cambria Math" w:hAnsi="Cambria Math" w:eastAsia="Cambria Math"/>
          </w:rPr>
        </m:r>
      </m:oMath>
      <w:r>
        <w:t xml:space="preserve">  (4)</w:t>
      </w:r>
    </w:p>
    <w:p>
      <w:pPr>
        <w:keepNext/>
        <w:jc w:val="both"/>
      </w:pPr>
      <w:r>
        <w:t>清除指令不切换测向频道，失败只消耗3 s光学定位时间，成功再增加2 s。因而整局总时间可分解为</w:t>
      </w:r>
    </w:p>
    <w:p>
      <w:pPr>
        <w:keepLines/>
        <w:ind w:firstLine="0"/>
        <w:jc w:val="center"/>
      </w:pPr>
      <m:oMath>
        <m:r>
          <m:t>T=</m:t>
          <w:rPr>
            <w:rFonts w:ascii="Cambria Math" w:hAnsi="Cambria Math" w:eastAsia="Cambria Math"/>
          </w:rPr>
        </m:r>
        <m:f>
          <m:fPr>
            <m:type m:val="bar"/>
          </m:fPr>
          <m:num>
            <m:r>
              <m:t>L</m:t>
              <w:rPr>
                <w:rFonts w:ascii="Cambria Math" w:hAnsi="Cambria Math" w:eastAsia="Cambria Math"/>
              </w:rPr>
            </m:r>
          </m:num>
          <m:den>
            <m:r>
              <m:t>5</m:t>
              <w:rPr>
                <w:rFonts w:ascii="Cambria Math" w:hAnsi="Cambria Math" w:eastAsia="Cambria Math"/>
              </w:rPr>
            </m:r>
          </m:den>
        </m:f>
        <m:r>
          <m:t>+5M+F+3</m:t>
          <w:rPr>
            <w:rFonts w:ascii="Cambria Math" w:hAnsi="Cambria Math" w:eastAsia="Cambria Math"/>
          </w:rPr>
        </m:r>
        <m:sSub>
          <m:e>
            <m:r>
              <m:t>A</m:t>
              <w:rPr>
                <w:rFonts w:ascii="Cambria Math" w:hAnsi="Cambria Math" w:eastAsia="Cambria Math"/>
              </w:rPr>
            </m:r>
          </m:e>
          <m:sub>
            <m:r>
              <m:rPr>
                <m:sty m:val="p"/>
              </m:rPr>
              <m:t>clr</m:t>
              <w:rPr>
                <w:rFonts w:ascii="Cambria Math" w:hAnsi="Cambria Math" w:eastAsia="Cambria Math"/>
              </w:rPr>
            </m:r>
          </m:sub>
        </m:sSub>
        <m:r>
          <m:t>+2C.</m:t>
          <w:rPr>
            <w:rFonts w:ascii="Cambria Math" w:hAnsi="Cambria Math" w:eastAsia="Cambria Math"/>
          </w:rPr>
        </m:r>
      </m:oMath>
      <w:r>
        <w:t xml:space="preserve">  (5)</w:t>
      </w:r>
    </w:p>
    <w:p>
      <w:pPr>
        <w:jc w:val="both"/>
      </w:pPr>
      <w:r>
        <w:t>式(5)既用于评价动作，也用于核对日志：失败清除不是5 s，清除动作也不能算一次频道切换。程序计算和HTTP通信产生的现实耗时另行统计。题目进入接口后最多允许运行20分钟，并受25分钟测试窗口的实际剩余时间限制；虚拟时间通常不构成紧约束，防循环上限为100小时。</w:t>
      </w:r>
    </w:p>
    <w:p>
      <w:pPr>
        <w:pStyle w:val="Heading2"/>
      </w:pPr>
      <w:r>
        <w:t>4.3 状态与观测更新</w:t>
      </w:r>
    </w:p>
    <w:p>
      <w:pPr>
        <w:jc w:val="both"/>
      </w:pPr>
      <w:r>
        <w:t>每个频道维护未发现、已发现未清除和已清除三种状态，并保存有效示向序列。收到direction时追加检测点和示向度，裁剪定位区域；收到near时在当前位置尝试光学清除；收到no_signal时保存负观测，但不直接把该频道标为不存在。只有clear返回success后才更新清除标记。</w:t>
      </w:r>
    </w:p>
    <w:p>
      <w:pPr>
        <w:jc w:val="both"/>
      </w:pPr>
      <w:r>
        <w:t>真实源位置只在自建模拟器内部或离线评价时使用。运行中的候选点与路线代价来自观测历史，不能从演练结束后的统计信息回填到该局决策。实际总源数也只在演练结束后用于计算清除比例。</w:t>
      </w:r>
    </w:p>
    <w:p>
      <w:pPr>
        <w:pStyle w:val="Heading2"/>
      </w:pPr>
      <w:r>
        <w:t>4.4 评价口径</w:t>
      </w:r>
    </w:p>
    <w:p>
      <w:pPr>
        <w:keepNext/>
        <w:jc w:val="both"/>
      </w:pPr>
      <w:r>
        <w:t>题面定义第e局的清除比例和平均定位清除时间分别为</w:t>
      </w:r>
    </w:p>
    <w:p>
      <w:pPr>
        <w:keepLines/>
        <w:ind w:firstLine="0"/>
        <w:jc w:val="center"/>
      </w:pPr>
      <m:oMath>
        <m:sSub>
          <m:e>
            <m:r>
              <m:t>r</m:t>
              <w:rPr>
                <w:rFonts w:ascii="Cambria Math" w:hAnsi="Cambria Math" w:eastAsia="Cambria Math"/>
              </w:rPr>
            </m:r>
          </m:e>
          <m:sub>
            <m:r>
              <m:t>e</m:t>
              <w:rPr>
                <w:rFonts w:ascii="Cambria Math" w:hAnsi="Cambria Math" w:eastAsia="Cambria Math"/>
              </w:rPr>
            </m:r>
          </m:sub>
        </m:sSub>
        <m:r>
          <m:t>=</m:t>
          <w:rPr>
            <w:rFonts w:ascii="Cambria Math" w:hAnsi="Cambria Math" w:eastAsia="Cambria Math"/>
          </w:rPr>
        </m:r>
        <m:f>
          <m:fPr>
            <m:type m:val="bar"/>
          </m:fPr>
          <m:num>
            <m:sSub>
              <m:e>
                <m:r>
                  <m:t>C</m:t>
                  <w:rPr>
                    <w:rFonts w:ascii="Cambria Math" w:hAnsi="Cambria Math" w:eastAsia="Cambria Math"/>
                  </w:rPr>
                </m:r>
              </m:e>
              <m:sub>
                <m:r>
                  <m:t>e</m:t>
                  <w:rPr>
                    <w:rFonts w:ascii="Cambria Math" w:hAnsi="Cambria Math" w:eastAsia="Cambria Math"/>
                  </w:rPr>
                </m:r>
              </m:sub>
            </m:sSub>
          </m:num>
          <m:den>
            <m:sSub>
              <m:e>
                <m:r>
                  <m:t>N</m:t>
                  <w:rPr>
                    <w:rFonts w:ascii="Cambria Math" w:hAnsi="Cambria Math" w:eastAsia="Cambria Math"/>
                  </w:rPr>
                </m:r>
              </m:e>
              <m:sub>
                <m:r>
                  <m:t>e</m:t>
                  <w:rPr>
                    <w:rFonts w:ascii="Cambria Math" w:hAnsi="Cambria Math" w:eastAsia="Cambria Math"/>
                  </w:rPr>
                </m:r>
              </m:sub>
            </m:sSub>
          </m:den>
        </m:f>
        <m:r>
          <m:t>,</m:t>
          <w:rPr>
            <w:rFonts w:ascii="Cambria Math" w:hAnsi="Cambria Math" w:eastAsia="Cambria Math"/>
          </w:rPr>
        </m:r>
        <m:sSub>
          <m:e>
            <m:r>
              <m:t>t</m:t>
              <w:rPr>
                <w:rFonts w:ascii="Cambria Math" w:hAnsi="Cambria Math" w:eastAsia="Cambria Math"/>
              </w:rPr>
            </m:r>
          </m:e>
          <m:sub>
            <m:r>
              <m:t>e</m:t>
              <w:rPr>
                <w:rFonts w:ascii="Cambria Math" w:hAnsi="Cambria Math" w:eastAsia="Cambria Math"/>
              </w:rPr>
            </m:r>
          </m:sub>
        </m:sSub>
        <m:r>
          <m:t>=</m:t>
          <w:rPr>
            <w:rFonts w:ascii="Cambria Math" w:hAnsi="Cambria Math" w:eastAsia="Cambria Math"/>
          </w:rPr>
        </m:r>
        <m:f>
          <m:fPr>
            <m:type m:val="bar"/>
          </m:fPr>
          <m:num>
            <m:sSub>
              <m:e>
                <m:r>
                  <m:t>T</m:t>
                  <w:rPr>
                    <w:rFonts w:ascii="Cambria Math" w:hAnsi="Cambria Math" w:eastAsia="Cambria Math"/>
                  </w:rPr>
                </m:r>
              </m:e>
              <m:sub>
                <m:r>
                  <m:t>e</m:t>
                  <w:rPr>
                    <w:rFonts w:ascii="Cambria Math" w:hAnsi="Cambria Math" w:eastAsia="Cambria Math"/>
                  </w:rPr>
                </m:r>
              </m:sub>
            </m:sSub>
          </m:num>
          <m:den>
            <m:sSub>
              <m:e>
                <m:r>
                  <m:t>C</m:t>
                  <w:rPr>
                    <w:rFonts w:ascii="Cambria Math" w:hAnsi="Cambria Math" w:eastAsia="Cambria Math"/>
                  </w:rPr>
                </m:r>
              </m:e>
              <m:sub>
                <m:r>
                  <m:t>e</m:t>
                  <w:rPr>
                    <w:rFonts w:ascii="Cambria Math" w:hAnsi="Cambria Math" w:eastAsia="Cambria Math"/>
                  </w:rPr>
                </m:r>
              </m:sub>
            </m:sSub>
          </m:den>
        </m:f>
        <m:r>
          <m:t>.</m:t>
          <w:rPr>
            <w:rFonts w:ascii="Cambria Math" w:hAnsi="Cambria Math" w:eastAsia="Cambria Math"/>
          </w:rPr>
        </m:r>
      </m:oMath>
      <w:r>
        <w:t xml:space="preserve">  (6)</w:t>
      </w:r>
    </w:p>
    <w:p>
      <w:pPr>
        <w:keepNext/>
        <w:jc w:val="both"/>
      </w:pPr>
      <w:r>
        <w:t>多局主表使用</w:t>
      </w:r>
      <m:oMath>
        <m:sSub>
          <m:e>
            <m:r>
              <m:t>t</m:t>
              <w:rPr>
                <w:rFonts w:ascii="Cambria Math" w:hAnsi="Cambria Math" w:eastAsia="Cambria Math"/>
              </w:rPr>
            </m:r>
          </m:e>
          <m:sub>
            <m:r>
              <m:t>e</m:t>
              <w:rPr>
                <w:rFonts w:ascii="Cambria Math" w:hAnsi="Cambria Math" w:eastAsia="Cambria Math"/>
              </w:rPr>
            </m:r>
          </m:sub>
        </m:sSub>
      </m:oMath>
      <w:r>
        <w:t>的算术平均，并同时给出源级清除率与整局全清率：</w:t>
      </w:r>
    </w:p>
    <w:p>
      <w:pPr>
        <w:keepLines/>
        <w:ind w:firstLine="0"/>
        <w:jc w:val="center"/>
      </w:pPr>
      <m:oMath>
        <m:bar>
          <m:barPr>
            <m:pos m:val="top"/>
          </m:barPr>
          <m:e>
            <m:r>
              <m:t>t</m:t>
              <w:rPr>
                <w:rFonts w:ascii="Cambria Math" w:hAnsi="Cambria Math" w:eastAsia="Cambria Math"/>
              </w:rPr>
            </m:r>
          </m:e>
        </m:bar>
        <m:r>
          <m:t>=</m:t>
          <w:rPr>
            <w:rFonts w:ascii="Cambria Math" w:hAnsi="Cambria Math" w:eastAsia="Cambria Math"/>
          </w:rPr>
        </m:r>
        <m:f>
          <m:fPr>
            <m:type m:val="bar"/>
          </m:fPr>
          <m:num>
            <m:r>
              <m:t>1</m:t>
              <w:rPr>
                <w:rFonts w:ascii="Cambria Math" w:hAnsi="Cambria Math" w:eastAsia="Cambria Math"/>
              </w:rPr>
            </m:r>
          </m:num>
          <m:den>
            <m:r>
              <m:t>E</m:t>
              <w:rPr>
                <w:rFonts w:ascii="Cambria Math" w:hAnsi="Cambria Math" w:eastAsia="Cambria Math"/>
              </w:rPr>
            </m:r>
          </m:den>
        </m:f>
        <m:nary>
          <m:naryPr>
            <m:chr m:val="∑"/>
            <m:limLoc m:val="subSup"/>
            <m:grow m:val="1"/>
            <m:subHide m:val="off"/>
            <m:supHide m:val="off"/>
          </m:naryPr>
          <m:sub>
            <m:r>
              <m:t>e=1</m:t>
              <w:rPr>
                <w:rFonts w:ascii="Cambria Math" w:hAnsi="Cambria Math" w:eastAsia="Cambria Math"/>
              </w:rPr>
            </m:r>
          </m:sub>
          <m:sup>
            <m:r>
              <m:t>E</m:t>
              <w:rPr>
                <w:rFonts w:ascii="Cambria Math" w:hAnsi="Cambria Math" w:eastAsia="Cambria Math"/>
              </w:rPr>
            </m:r>
          </m:sup>
          <m:e>
            <m:f>
              <m:fPr>
                <m:type m:val="bar"/>
              </m:fPr>
              <m:num>
                <m:sSub>
                  <m:e>
                    <m:r>
                      <m:t>T</m:t>
                      <w:rPr>
                        <w:rFonts w:ascii="Cambria Math" w:hAnsi="Cambria Math" w:eastAsia="Cambria Math"/>
                      </w:rPr>
                    </m:r>
                  </m:e>
                  <m:sub>
                    <m:r>
                      <m:t>e</m:t>
                      <w:rPr>
                        <w:rFonts w:ascii="Cambria Math" w:hAnsi="Cambria Math" w:eastAsia="Cambria Math"/>
                      </w:rPr>
                    </m:r>
                  </m:sub>
                </m:sSub>
              </m:num>
              <m:den>
                <m:sSub>
                  <m:e>
                    <m:r>
                      <m:t>C</m:t>
                      <w:rPr>
                        <w:rFonts w:ascii="Cambria Math" w:hAnsi="Cambria Math" w:eastAsia="Cambria Math"/>
                      </w:rPr>
                    </m:r>
                  </m:e>
                  <m:sub>
                    <m:r>
                      <m:t>e</m:t>
                      <w:rPr>
                        <w:rFonts w:ascii="Cambria Math" w:hAnsi="Cambria Math" w:eastAsia="Cambria Math"/>
                      </w:rPr>
                    </m:r>
                  </m:sub>
                </m:sSub>
              </m:den>
            </m:f>
          </m:e>
        </m:nary>
        <m:r>
          <m:t>,</m:t>
          <w:rPr>
            <w:rFonts w:ascii="Cambria Math" w:hAnsi="Cambria Math" w:eastAsia="Cambria Math"/>
          </w:rPr>
        </m:r>
        <m:sSub>
          <m:e>
            <m:r>
              <m:t>r</m:t>
              <w:rPr>
                <w:rFonts w:ascii="Cambria Math" w:hAnsi="Cambria Math" w:eastAsia="Cambria Math"/>
              </w:rPr>
            </m:r>
          </m:e>
          <m:sub>
            <m:r>
              <m:rPr>
                <m:sty m:val="p"/>
              </m:rPr>
              <m:t>src</m:t>
              <w:rPr>
                <w:rFonts w:ascii="Cambria Math" w:hAnsi="Cambria Math" w:eastAsia="Cambria Math"/>
              </w:rPr>
            </m:r>
          </m:sub>
        </m:sSub>
        <m:r>
          <m:t>=</m:t>
          <w:rPr>
            <w:rFonts w:ascii="Cambria Math" w:hAnsi="Cambria Math" w:eastAsia="Cambria Math"/>
          </w:rPr>
        </m:r>
        <m:f>
          <m:fPr>
            <m:type m:val="bar"/>
          </m:fPr>
          <m:num>
            <m:nary>
              <m:naryPr>
                <m:chr m:val="∑"/>
                <m:limLoc m:val="subSup"/>
                <m:grow m:val="1"/>
                <m:subHide m:val="off"/>
                <m:supHide m:val="on"/>
              </m:naryPr>
              <m:sub>
                <m:r>
                  <m:t>e</m:t>
                  <w:rPr>
                    <w:rFonts w:ascii="Cambria Math" w:hAnsi="Cambria Math" w:eastAsia="Cambria Math"/>
                  </w:rPr>
                </m:r>
              </m:sub>
              <m:sup/>
              <m:e>
                <m:sSub>
                  <m:e>
                    <m:r>
                      <m:t>C</m:t>
                      <w:rPr>
                        <w:rFonts w:ascii="Cambria Math" w:hAnsi="Cambria Math" w:eastAsia="Cambria Math"/>
                      </w:rPr>
                    </m:r>
                  </m:e>
                  <m:sub>
                    <m:r>
                      <m:t>e</m:t>
                      <w:rPr>
                        <w:rFonts w:ascii="Cambria Math" w:hAnsi="Cambria Math" w:eastAsia="Cambria Math"/>
                      </w:rPr>
                    </m:r>
                  </m:sub>
                </m:sSub>
              </m:e>
            </m:nary>
          </m:num>
          <m:den>
            <m:nary>
              <m:naryPr>
                <m:chr m:val="∑"/>
                <m:limLoc m:val="subSup"/>
                <m:grow m:val="1"/>
                <m:subHide m:val="off"/>
                <m:supHide m:val="on"/>
              </m:naryPr>
              <m:sub>
                <m:r>
                  <m:t>e</m:t>
                  <w:rPr>
                    <w:rFonts w:ascii="Cambria Math" w:hAnsi="Cambria Math" w:eastAsia="Cambria Math"/>
                  </w:rPr>
                </m:r>
              </m:sub>
              <m:sup/>
              <m:e>
                <m:sSub>
                  <m:e>
                    <m:r>
                      <m:t>N</m:t>
                      <w:rPr>
                        <w:rFonts w:ascii="Cambria Math" w:hAnsi="Cambria Math" w:eastAsia="Cambria Math"/>
                      </w:rPr>
                    </m:r>
                  </m:e>
                  <m:sub>
                    <m:r>
                      <m:t>e</m:t>
                      <w:rPr>
                        <w:rFonts w:ascii="Cambria Math" w:hAnsi="Cambria Math" w:eastAsia="Cambria Math"/>
                      </w:rPr>
                    </m:r>
                  </m:sub>
                </m:sSub>
              </m:e>
            </m:nary>
          </m:den>
        </m:f>
        <m:r>
          <m:t>,</m:t>
          <w:rPr>
            <w:rFonts w:ascii="Cambria Math" w:hAnsi="Cambria Math" w:eastAsia="Cambria Math"/>
          </w:rPr>
        </m:r>
        <m:sSub>
          <m:e>
            <m:r>
              <m:t>r</m:t>
              <w:rPr>
                <w:rFonts w:ascii="Cambria Math" w:hAnsi="Cambria Math" w:eastAsia="Cambria Math"/>
              </w:rPr>
            </m:r>
          </m:e>
          <m:sub>
            <m:r>
              <m:rPr>
                <m:sty m:val="p"/>
              </m:rPr>
              <m:t>all</m:t>
              <w:rPr>
                <w:rFonts w:ascii="Cambria Math" w:hAnsi="Cambria Math" w:eastAsia="Cambria Math"/>
              </w:rPr>
            </m:r>
          </m:sub>
        </m:sSub>
        <m:r>
          <m:t>=</m:t>
          <w:rPr>
            <w:rFonts w:ascii="Cambria Math" w:hAnsi="Cambria Math" w:eastAsia="Cambria Math"/>
          </w:rPr>
        </m:r>
        <m:f>
          <m:fPr>
            <m:type m:val="bar"/>
          </m:fPr>
          <m:num>
            <m:r>
              <m:t>1</m:t>
              <w:rPr>
                <w:rFonts w:ascii="Cambria Math" w:hAnsi="Cambria Math" w:eastAsia="Cambria Math"/>
              </w:rPr>
            </m:r>
          </m:num>
          <m:den>
            <m:r>
              <m:t>E</m:t>
              <w:rPr>
                <w:rFonts w:ascii="Cambria Math" w:hAnsi="Cambria Math" w:eastAsia="Cambria Math"/>
              </w:rPr>
            </m:r>
          </m:den>
        </m:f>
        <m:nary>
          <m:naryPr>
            <m:chr m:val="∑"/>
            <m:limLoc m:val="subSup"/>
            <m:grow m:val="1"/>
            <m:subHide m:val="off"/>
            <m:supHide m:val="on"/>
          </m:naryPr>
          <m:sub>
            <m:r>
              <m:t>e</m:t>
              <w:rPr>
                <w:rFonts w:ascii="Cambria Math" w:hAnsi="Cambria Math" w:eastAsia="Cambria Math"/>
              </w:rPr>
            </m:r>
          </m:sub>
          <m:sup/>
          <m:e>
            <m:r>
              <m:rPr>
                <m:sty m:val="b"/>
              </m:rPr>
              <m:t>1</m:t>
              <w:rPr>
                <w:rFonts w:ascii="Cambria Math" w:hAnsi="Cambria Math" w:eastAsia="Cambria Math"/>
              </w:rPr>
            </m:r>
            <m:r>
              <m:t>(</m:t>
              <w:rPr>
                <w:rFonts w:ascii="Cambria Math" w:hAnsi="Cambria Math" w:eastAsia="Cambria Math"/>
              </w:rPr>
            </m:r>
          </m:e>
        </m:nary>
        <m:sSub>
          <m:e>
            <m:r>
              <m:t>C</m:t>
              <w:rPr>
                <w:rFonts w:ascii="Cambria Math" w:hAnsi="Cambria Math" w:eastAsia="Cambria Math"/>
              </w:rPr>
            </m:r>
          </m:e>
          <m:sub>
            <m:r>
              <m:t>e</m:t>
              <w:rPr>
                <w:rFonts w:ascii="Cambria Math" w:hAnsi="Cambria Math" w:eastAsia="Cambria Math"/>
              </w:rPr>
            </m:r>
          </m:sub>
        </m:sSub>
        <m:r>
          <m:t>=</m:t>
          <w:rPr>
            <w:rFonts w:ascii="Cambria Math" w:hAnsi="Cambria Math" w:eastAsia="Cambria Math"/>
          </w:rPr>
        </m:r>
        <m:sSub>
          <m:e>
            <m:r>
              <m:t>N</m:t>
              <w:rPr>
                <w:rFonts w:ascii="Cambria Math" w:hAnsi="Cambria Math" w:eastAsia="Cambria Math"/>
              </w:rPr>
            </m:r>
          </m:e>
          <m:sub>
            <m:r>
              <m:t>e</m:t>
              <w:rPr>
                <w:rFonts w:ascii="Cambria Math" w:hAnsi="Cambria Math" w:eastAsia="Cambria Math"/>
              </w:rPr>
            </m:r>
          </m:sub>
        </m:sSub>
        <m:r>
          <m:t>).</m:t>
          <w:rPr>
            <w:rFonts w:ascii="Cambria Math" w:hAnsi="Cambria Math" w:eastAsia="Cambria Math"/>
          </w:rPr>
        </m:r>
      </m:oMath>
      <w:r>
        <w:t xml:space="preserve">  (7)</w:t>
      </w:r>
    </w:p>
    <w:p>
      <w:pPr>
        <w:jc w:val="both"/>
      </w:pPr>
      <w:r>
        <w:t>为比较总体工作量，另给出</w:t>
      </w:r>
      <m:oMath>
        <m:sSub>
          <m:e>
            <m:r>
              <m:t>τ</m:t>
              <w:rPr>
                <w:rFonts w:ascii="Cambria Math" w:hAnsi="Cambria Math" w:eastAsia="Cambria Math"/>
              </w:rPr>
            </m:r>
          </m:e>
          <m:sub>
            <m:r>
              <m:t>N</m:t>
              <w:rPr>
                <w:rFonts w:ascii="Cambria Math" w:hAnsi="Cambria Math" w:eastAsia="Cambria Math"/>
              </w:rPr>
            </m:r>
          </m:sub>
        </m:sSub>
        <m:r>
          <m:t>=</m:t>
          <w:rPr>
            <w:rFonts w:ascii="Cambria Math" w:hAnsi="Cambria Math" w:eastAsia="Cambria Math"/>
          </w:rPr>
        </m:r>
        <m:nary>
          <m:naryPr>
            <m:chr m:val="∑"/>
            <m:limLoc m:val="subSup"/>
            <m:grow m:val="1"/>
            <m:subHide m:val="off"/>
            <m:supHide m:val="on"/>
          </m:naryPr>
          <m:sub>
            <m:r>
              <m:t>e</m:t>
              <w:rPr>
                <w:rFonts w:ascii="Cambria Math" w:hAnsi="Cambria Math" w:eastAsia="Cambria Math"/>
              </w:rPr>
            </m:r>
          </m:sub>
          <m:sup/>
          <m:e>
            <m:sSub>
              <m:e>
                <m:r>
                  <m:t>T</m:t>
                  <w:rPr>
                    <w:rFonts w:ascii="Cambria Math" w:hAnsi="Cambria Math" w:eastAsia="Cambria Math"/>
                  </w:rPr>
                </m:r>
              </m:e>
              <m:sub>
                <m:r>
                  <m:t>e</m:t>
                  <w:rPr>
                    <w:rFonts w:ascii="Cambria Math" w:hAnsi="Cambria Math" w:eastAsia="Cambria Math"/>
                  </w:rPr>
                </m:r>
              </m:sub>
            </m:sSub>
          </m:e>
        </m:nary>
        <m:r>
          <m:t>/</m:t>
          <w:rPr>
            <w:rFonts w:ascii="Cambria Math" w:hAnsi="Cambria Math" w:eastAsia="Cambria Math"/>
          </w:rPr>
        </m:r>
        <m:nary>
          <m:naryPr>
            <m:chr m:val="∑"/>
            <m:limLoc m:val="subSup"/>
            <m:grow m:val="1"/>
            <m:subHide m:val="off"/>
            <m:supHide m:val="on"/>
          </m:naryPr>
          <m:sub>
            <m:r>
              <m:t>e</m:t>
              <w:rPr>
                <w:rFonts w:ascii="Cambria Math" w:hAnsi="Cambria Math" w:eastAsia="Cambria Math"/>
              </w:rPr>
            </m:r>
          </m:sub>
          <m:sup/>
          <m:e>
            <m:sSub>
              <m:e>
                <m:r>
                  <m:t>N</m:t>
                  <w:rPr>
                    <w:rFonts w:ascii="Cambria Math" w:hAnsi="Cambria Math" w:eastAsia="Cambria Math"/>
                  </w:rPr>
                </m:r>
              </m:e>
              <m:sub>
                <m:r>
                  <m:t>e</m:t>
                  <w:rPr>
                    <w:rFonts w:ascii="Cambria Math" w:hAnsi="Cambria Math" w:eastAsia="Cambria Math"/>
                  </w:rPr>
                </m:r>
              </m:sub>
            </m:sSub>
          </m:e>
        </m:nary>
      </m:oMath>
      <w:r>
        <w:t>。该统计按真实源数加权，不能替代题面</w:t>
      </w:r>
      <m:oMath>
        <m:sSub>
          <m:e>
            <m:r>
              <m:t>t</m:t>
              <w:rPr>
                <w:rFonts w:ascii="Cambria Math" w:hAnsi="Cambria Math" w:eastAsia="Cambria Math"/>
              </w:rPr>
            </m:r>
          </m:e>
          <m:sub>
            <m:r>
              <m:t>e</m:t>
              <w:rPr>
                <w:rFonts w:ascii="Cambria Math" w:hAnsi="Cambria Math" w:eastAsia="Cambria Math"/>
              </w:rPr>
            </m:r>
          </m:sub>
        </m:sSub>
      </m:oMath>
      <w:r>
        <w:t>。即使所有源全清，只要各局源数不同，</w:t>
      </w:r>
      <m:oMath>
        <m:bar>
          <m:barPr>
            <m:pos m:val="top"/>
          </m:barPr>
          <m:e>
            <m:r>
              <m:t>t</m:t>
              <w:rPr>
                <w:rFonts w:ascii="Cambria Math" w:hAnsi="Cambria Math" w:eastAsia="Cambria Math"/>
              </w:rPr>
            </m:r>
          </m:e>
        </m:bar>
      </m:oMath>
      <w:r>
        <w:t>与</w:t>
      </w:r>
      <m:oMath>
        <m:sSub>
          <m:e>
            <m:r>
              <m:t>τ</m:t>
              <w:rPr>
                <w:rFonts w:ascii="Cambria Math" w:hAnsi="Cambria Math" w:eastAsia="Cambria Math"/>
              </w:rPr>
            </m:r>
          </m:e>
          <m:sub>
            <m:r>
              <m:t>N</m:t>
              <w:rPr>
                <w:rFonts w:ascii="Cambria Math" w:hAnsi="Cambria Math" w:eastAsia="Cambria Math"/>
              </w:rPr>
            </m:r>
          </m:sub>
        </m:sSub>
      </m:oMath>
      <w:r>
        <w:t>也可能不同。若清除数为零，题面平均时间无定义，应将该局单独报告为失败，不通过删掉失败局降低均值。</w:t>
      </w:r>
    </w:p>
    <w:p>
      <w:pPr>
        <w:pStyle w:val="Heading1"/>
      </w:pPr>
      <w:r>
        <w:t>5 问题一的定位区域直径与覆盖判定</w:t>
      </w:r>
    </w:p>
    <w:p>
      <w:pPr>
        <w:pStyle w:val="Heading2"/>
      </w:pPr>
      <w:r>
        <w:t>5.1 定位区域构造</w:t>
      </w:r>
    </w:p>
    <w:p>
      <w:pPr>
        <w:jc w:val="both"/>
      </w:pPr>
      <w:r>
        <w:t>目标圆域先用720边内接正多边形表示，接收圆盘使用360边近似；每个示向约束转换成式(1)后依次裁剪。对一条边的两个端点，根据其位于半平面的内外关系决定保留端点或插入交点，直到完成全部边界处理。这属于逐半平面裁剪的实现方式。</w:t>
      </w:r>
    </w:p>
    <w:p>
      <w:pPr>
        <w:jc w:val="both"/>
      </w:pPr>
      <w:r>
        <w:t>若连续观测后区域为空，表示在当前误差边界和数值近似下观测不相容，不能继续输出一个虚假的定位点。若区域退化为点或线段，则分别令直径为0或线段长度。一般情况下，输出逆时针顶点序列，供后续直径和包围圆计算使用。</w:t>
      </w:r>
    </w:p>
    <w:p>
      <w:pPr>
        <w:pStyle w:val="Heading2"/>
      </w:pPr>
      <w:r>
        <w:t>5.2 旋转卡壳求直径</w:t>
      </w:r>
    </w:p>
    <w:p>
      <w:pPr>
        <w:keepNext/>
        <w:jc w:val="both"/>
      </w:pPr>
      <w:r>
        <w:t>设凸多边形顶点为</w:t>
      </w:r>
      <m:oMath>
        <m:sSub>
          <m:e>
            <m:r>
              <m:t>v</m:t>
              <w:rPr>
                <w:rFonts w:ascii="Cambria Math" w:hAnsi="Cambria Math" w:eastAsia="Cambria Math"/>
              </w:rPr>
            </m:r>
          </m:e>
          <m:sub>
            <m:r>
              <m:t>0</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n−1</m:t>
              <w:rPr>
                <w:rFonts w:ascii="Cambria Math" w:hAnsi="Cambria Math" w:eastAsia="Cambria Math"/>
              </w:rPr>
            </m:r>
          </m:sub>
        </m:sSub>
      </m:oMath>
      <w:r>
        <w:t>，定位区域直径为</w:t>
      </w:r>
    </w:p>
    <w:p>
      <w:pPr>
        <w:keepLines/>
        <w:ind w:firstLine="0"/>
        <w:jc w:val="center"/>
      </w:pPr>
      <m:oMath>
        <m:r>
          <m:t>D=</m:t>
          <w:rPr>
            <w:rFonts w:ascii="Cambria Math" w:hAnsi="Cambria Math" w:eastAsia="Cambria Math"/>
          </w:rPr>
        </m:r>
        <m:sSub>
          <m:e>
            <m:r>
              <m:t>max</m:t>
              <w:rPr>
                <w:rFonts w:ascii="Cambria Math" w:hAnsi="Cambria Math" w:eastAsia="Cambria Math"/>
              </w:rPr>
            </m:r>
          </m:e>
          <m:sub>
            <m:r>
              <m:t>0≤i,j&lt;n</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i</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j</m:t>
              <w:rPr>
                <w:rFonts w:ascii="Cambria Math" w:hAnsi="Cambria Math" w:eastAsia="Cambria Math"/>
              </w:rPr>
            </m:r>
          </m:sub>
        </m:sSub>
        <m:r>
          <m:t>‖.</m:t>
          <w:rPr>
            <w:rFonts w:ascii="Cambria Math" w:hAnsi="Cambria Math" w:eastAsia="Cambria Math"/>
          </w:rPr>
        </m:r>
      </m:oMath>
      <w:r>
        <w:t xml:space="preserve">  (8)</w:t>
      </w:r>
    </w:p>
    <w:p>
      <w:pPr>
        <w:jc w:val="both"/>
      </w:pPr>
      <w:r>
        <w:t>由于距离在凸组合下不超过相应顶点距离的最大值，最远点对可在顶点中寻找。若枚举全部点对，需要平方级时间。旋转卡壳沿凸多边形边界移动一对平行支撑线，通过对踵顶点计算候选距离，可在得到有序凸顶点后将复杂度降为线性[4]。</w:t>
      </w:r>
    </w:p>
    <w:p>
      <w:pPr>
        <w:jc w:val="both"/>
      </w:pPr>
      <w:r>
        <w:t>具体实现对每条边</w:t>
      </w:r>
      <m:oMath>
        <m:d>
          <m:dPr>
            <m:sepChr m:val=","/>
          </m:dPr>
          <m:e>
            <m:sSub>
              <m:e>
                <m:r>
                  <m:t>v</m:t>
                  <w:rPr>
                    <w:rFonts w:ascii="Cambria Math" w:hAnsi="Cambria Math" w:eastAsia="Cambria Math"/>
                  </w:rPr>
                </m:r>
              </m:e>
              <m:sub>
                <m:r>
                  <m:t>i</m:t>
                  <w:rPr>
                    <w:rFonts w:ascii="Cambria Math" w:hAnsi="Cambria Math" w:eastAsia="Cambria Math"/>
                  </w:rPr>
                </m:r>
              </m:sub>
            </m:sSub>
          </m:e>
          <m:e>
            <m:sSub>
              <m:e>
                <m:r>
                  <m:t>v</m:t>
                  <w:rPr>
                    <w:rFonts w:ascii="Cambria Math" w:hAnsi="Cambria Math" w:eastAsia="Cambria Math"/>
                  </w:rPr>
                </m:r>
              </m:e>
              <m:sub>
                <m:r>
                  <m:t>i+1</m:t>
                  <w:rPr>
                    <w:rFonts w:ascii="Cambria Math" w:hAnsi="Cambria Math" w:eastAsia="Cambria Math"/>
                  </w:rPr>
                </m:r>
              </m:sub>
            </m:sSub>
          </m:e>
        </m:d>
      </m:oMath>
      <w:r>
        <w:t>，单调推进另一指针j，使三角形面积</w:t>
      </w:r>
      <m:oMath>
        <m:d>
          <m:dPr>
            <m:begChr m:val="|"/>
            <m:sepChr m:val=""/>
            <m:endChr m:val="|"/>
          </m:dPr>
          <m:e>
            <m:r>
              <m:t>[</m:t>
              <w:rPr>
                <w:rFonts w:ascii="Cambria Math" w:hAnsi="Cambria Math" w:eastAsia="Cambria Math"/>
              </w:rPr>
            </m:r>
            <m:sSub>
              <m:e>
                <m:r>
                  <m:t>v</m:t>
                  <w:rPr>
                    <w:rFonts w:ascii="Cambria Math" w:hAnsi="Cambria Math" w:eastAsia="Cambria Math"/>
                  </w:rPr>
                </m:r>
              </m:e>
              <m:sub>
                <m:r>
                  <m:t>i+1</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i</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j</m:t>
                  <w:rPr>
                    <w:rFonts w:ascii="Cambria Math" w:hAnsi="Cambria Math" w:eastAsia="Cambria Math"/>
                  </w:rPr>
                </m:r>
              </m:sub>
            </m:sSub>
            <m:r>
              <m:t>−</m:t>
              <w:rPr>
                <w:rFonts w:ascii="Cambria Math" w:hAnsi="Cambria Math" w:eastAsia="Cambria Math"/>
              </w:rPr>
            </m:r>
            <m:sSub>
              <m:e>
                <m:r>
                  <m:t>v</m:t>
                  <w:rPr>
                    <w:rFonts w:ascii="Cambria Math" w:hAnsi="Cambria Math" w:eastAsia="Cambria Math"/>
                  </w:rPr>
                </m:r>
              </m:e>
              <m:sub>
                <m:r>
                  <m:t>i</m:t>
                  <w:rPr>
                    <w:rFonts w:ascii="Cambria Math" w:hAnsi="Cambria Math" w:eastAsia="Cambria Math"/>
                  </w:rPr>
                </m:r>
              </m:sub>
            </m:sSub>
            <m:r>
              <m:t>]</m:t>
              <w:rPr>
                <w:rFonts w:ascii="Cambria Math" w:hAnsi="Cambria Math" w:eastAsia="Cambria Math"/>
              </w:rPr>
            </m:r>
          </m:e>
        </m:d>
      </m:oMath>
      <w:r>
        <w:t>不再增大；比较</w:t>
      </w:r>
      <m:oMath>
        <m:d>
          <m:dPr>
            <m:sepChr m:val=","/>
          </m:dPr>
          <m:e>
            <m:sSub>
              <m:e>
                <m:r>
                  <m:t>v</m:t>
                  <w:rPr>
                    <w:rFonts w:ascii="Cambria Math" w:hAnsi="Cambria Math" w:eastAsia="Cambria Math"/>
                  </w:rPr>
                </m:r>
              </m:e>
              <m:sub>
                <m:r>
                  <m:t>i</m:t>
                  <w:rPr>
                    <w:rFonts w:ascii="Cambria Math" w:hAnsi="Cambria Math" w:eastAsia="Cambria Math"/>
                  </w:rPr>
                </m:r>
              </m:sub>
            </m:sSub>
          </m:e>
          <m:e>
            <m:sSub>
              <m:e>
                <m:r>
                  <m:t>v</m:t>
                  <w:rPr>
                    <w:rFonts w:ascii="Cambria Math" w:hAnsi="Cambria Math" w:eastAsia="Cambria Math"/>
                  </w:rPr>
                </m:r>
              </m:e>
              <m:sub>
                <m:r>
                  <m:t>j</m:t>
                  <w:rPr>
                    <w:rFonts w:ascii="Cambria Math" w:hAnsi="Cambria Math" w:eastAsia="Cambria Math"/>
                  </w:rPr>
                </m:r>
              </m:sub>
            </m:sSub>
          </m:e>
        </m:d>
      </m:oMath>
      <w:r>
        <w:t>和</w:t>
      </w:r>
      <m:oMath>
        <m:d>
          <m:dPr>
            <m:sepChr m:val=","/>
          </m:dPr>
          <m:e>
            <m:sSub>
              <m:e>
                <m:r>
                  <m:t>v</m:t>
                  <w:rPr>
                    <w:rFonts w:ascii="Cambria Math" w:hAnsi="Cambria Math" w:eastAsia="Cambria Math"/>
                  </w:rPr>
                </m:r>
              </m:e>
              <m:sub>
                <m:r>
                  <m:t>i+1</m:t>
                  <w:rPr>
                    <w:rFonts w:ascii="Cambria Math" w:hAnsi="Cambria Math" w:eastAsia="Cambria Math"/>
                  </w:rPr>
                </m:r>
              </m:sub>
            </m:sSub>
          </m:e>
          <m:e>
            <m:sSub>
              <m:e>
                <m:r>
                  <m:t>v</m:t>
                  <w:rPr>
                    <w:rFonts w:ascii="Cambria Math" w:hAnsi="Cambria Math" w:eastAsia="Cambria Math"/>
                  </w:rPr>
                </m:r>
              </m:e>
              <m:sub>
                <m:r>
                  <m:t>j</m:t>
                  <w:rPr>
                    <w:rFonts w:ascii="Cambria Math" w:hAnsi="Cambria Math" w:eastAsia="Cambria Math"/>
                  </w:rPr>
                </m:r>
              </m:sub>
            </m:sSub>
          </m:e>
        </m:d>
      </m:oMath>
      <w:r>
        <w:t>两组距离，保存最大值及端点。面积和距离比较中采用浮点容差，并显式处理少于三个顶点的情况。</w:t>
      </w:r>
    </w:p>
    <w:p>
      <w:pPr>
        <w:pStyle w:val="Heading2"/>
      </w:pPr>
      <w:r>
        <w:t>5.3 直径圆能否覆盖区域</w:t>
      </w:r>
    </w:p>
    <w:p>
      <w:pPr>
        <w:keepNext/>
        <w:jc w:val="both"/>
      </w:pPr>
      <w:r>
        <w:t>设最小包围圆圆心与半径满足</w:t>
      </w:r>
    </w:p>
    <w:p>
      <w:pPr>
        <w:keepLines/>
        <w:ind w:firstLine="0"/>
        <w:jc w:val="center"/>
      </w:pPr>
      <m:oMath>
        <m:sSub>
          <m:e>
            <m:r>
              <m:t>R</m:t>
              <w:rPr>
                <w:rFonts w:ascii="Cambria Math" w:hAnsi="Cambria Math" w:eastAsia="Cambria Math"/>
              </w:rPr>
            </m:r>
          </m:e>
          <m:sub>
            <m:r>
              <m:t>*</m:t>
              <w:rPr>
                <w:rFonts w:ascii="Cambria Math" w:hAnsi="Cambria Math" w:eastAsia="Cambria Math"/>
              </w:rPr>
            </m:r>
          </m:sub>
        </m:sSub>
        <m:r>
          <m:t>=</m:t>
          <w:rPr>
            <w:rFonts w:ascii="Cambria Math" w:hAnsi="Cambria Math" w:eastAsia="Cambria Math"/>
          </w:rPr>
        </m:r>
        <m:sSub>
          <m:e>
            <m:r>
              <m:t>min</m:t>
              <w:rPr>
                <w:rFonts w:ascii="Cambria Math" w:hAnsi="Cambria Math" w:eastAsia="Cambria Math"/>
              </w:rPr>
            </m:r>
          </m:e>
          <m:sub>
            <m:r>
              <m:t>c</m:t>
              <w:rPr>
                <w:rFonts w:ascii="Cambria Math" w:hAnsi="Cambria Math" w:eastAsia="Cambria Math"/>
              </w:rPr>
            </m:r>
          </m:sub>
        </m:sSub>
        <m:sSub>
          <m:e>
            <m:r>
              <m:t>max</m:t>
              <w:rPr>
                <w:rFonts w:ascii="Cambria Math" w:hAnsi="Cambria Math" w:eastAsia="Cambria Math"/>
              </w:rPr>
            </m:r>
          </m:e>
          <m:sub>
            <m:r>
              <m:t>p∈</m:t>
              <w:rPr>
                <w:rFonts w:ascii="Cambria Math" w:hAnsi="Cambria Math" w:eastAsia="Cambria Math"/>
              </w:rPr>
            </m:r>
            <m:sSub>
              <m:e>
                <m:r>
                  <m:t>Ω</m:t>
                  <w:rPr>
                    <w:rFonts w:ascii="Cambria Math" w:hAnsi="Cambria Math" w:eastAsia="Cambria Math"/>
                  </w:rPr>
                </m:r>
              </m:e>
              <m:sub>
                <m:r>
                  <m:t>m</m:t>
                  <w:rPr>
                    <w:rFonts w:ascii="Cambria Math" w:hAnsi="Cambria Math" w:eastAsia="Cambria Math"/>
                  </w:rPr>
                </m:r>
              </m:sub>
            </m:sSub>
          </m:sub>
        </m:sSub>
        <m:r>
          <m:t>‖p−c‖.</m:t>
          <w:rPr>
            <w:rFonts w:ascii="Cambria Math" w:hAnsi="Cambria Math" w:eastAsia="Cambria Math"/>
          </w:rPr>
        </m:r>
      </m:oMath>
      <w:r>
        <w:t xml:space="preserve">  (9)</w:t>
      </w:r>
    </w:p>
    <w:p>
      <w:pPr>
        <w:jc w:val="both"/>
      </w:pPr>
      <w:r>
        <w:t>任意覆盖圆必须覆盖一对距离为D的最远点，所以其半径不小于D/2。存在直径恰为D的圆覆盖区域，当且仅当</w:t>
      </w:r>
      <m:oMath>
        <m:sSub>
          <m:e>
            <m:r>
              <m:t>R</m:t>
              <w:rPr>
                <w:rFonts w:ascii="Cambria Math" w:hAnsi="Cambria Math" w:eastAsia="Cambria Math"/>
              </w:rPr>
            </m:r>
          </m:e>
          <m:sub>
            <m:r>
              <m:t>*</m:t>
              <w:rPr>
                <w:rFonts w:ascii="Cambria Math" w:hAnsi="Cambria Math" w:eastAsia="Cambria Math"/>
              </w:rPr>
            </m:r>
          </m:sub>
        </m:sSub>
        <m:r>
          <m:t>=D/2</m:t>
          <w:rPr>
            <w:rFonts w:ascii="Cambria Math" w:hAnsi="Cambria Math" w:eastAsia="Cambria Math"/>
          </w:rPr>
        </m:r>
      </m:oMath>
      <w:r>
        <w:t>；数值实现用</w:t>
      </w:r>
      <m:oMath>
        <m:sSub>
          <m:e>
            <m:r>
              <m:t>R</m:t>
              <w:rPr>
                <w:rFonts w:ascii="Cambria Math" w:hAnsi="Cambria Math" w:eastAsia="Cambria Math"/>
              </w:rPr>
            </m:r>
          </m:e>
          <m:sub>
            <m:r>
              <m:t>*</m:t>
              <w:rPr>
                <w:rFonts w:ascii="Cambria Math" w:hAnsi="Cambria Math" w:eastAsia="Cambria Math"/>
              </w:rPr>
            </m:r>
          </m:sub>
        </m:sSub>
        <m:r>
          <m:t>≤D/2+</m:t>
          <w:rPr>
            <w:rFonts w:ascii="Cambria Math" w:hAnsi="Cambria Math" w:eastAsia="Cambria Math"/>
          </w:rPr>
        </m:r>
        <m:sSub>
          <m:e>
            <m:r>
              <m:t>δ</m:t>
              <w:rPr>
                <w:rFonts w:ascii="Cambria Math" w:hAnsi="Cambria Math" w:eastAsia="Cambria Math"/>
              </w:rPr>
            </m:r>
          </m:e>
          <m:sub>
            <m:r>
              <m:rPr>
                <m:sty m:val="p"/>
              </m:rPr>
              <m:t>num</m:t>
              <w:rPr>
                <w:rFonts w:ascii="Cambria Math" w:hAnsi="Cambria Math" w:eastAsia="Cambria Math"/>
              </w:rPr>
            </m:r>
          </m:sub>
        </m:sSub>
      </m:oMath>
      <w:r>
        <w:t>判断。最小包围圆采用随机增量方法：新顶点位于当前圆外时，以该点作为边界点重新求圆，圆最终由两个或三个边界点决定[5]。</w:t>
      </w:r>
    </w:p>
    <w:p>
      <w:pPr>
        <w:jc w:val="both"/>
      </w:pPr>
      <w:r>
        <w:t>一般凸区域不满足此条件。以边长为D的等边三角形为例，其最小包围圆半径为</w:t>
      </w:r>
      <m:oMath>
        <m:f>
          <m:fPr>
            <m:type m:val="lin"/>
          </m:fPr>
          <m:num>
            <m:r>
              <m:t>D</m:t>
              <w:rPr>
                <w:rFonts w:ascii="Cambria Math" w:hAnsi="Cambria Math" w:eastAsia="Cambria Math"/>
              </w:rPr>
            </m:r>
          </m:num>
          <m:den>
            <m:rad>
              <m:radPr>
                <m:degHide m:val="on"/>
              </m:radPr>
              <m:deg/>
              <m:e>
                <m:r>
                  <m:t>3</m:t>
                  <w:rPr>
                    <w:rFonts w:ascii="Cambria Math" w:hAnsi="Cambria Math" w:eastAsia="Cambria Math"/>
                  </w:rPr>
                </m:r>
              </m:e>
            </m:rad>
          </m:den>
        </m:f>
      </m:oMath>
      <w:r>
        <w:t>，严格大于D/2。因此不能用区域直径的一半充当覆盖半径，也不能仅因</w:t>
      </w:r>
      <m:oMath>
        <m:r>
          <m:t>D≤40</m:t>
          <w:rPr>
            <w:rFonts w:ascii="Cambria Math" w:hAnsi="Cambria Math" w:eastAsia="Cambria Math"/>
          </w:rPr>
        </m:r>
      </m:oMath>
      <w:r>
        <w:t xml:space="preserve"> m就直接宣称存在一个20 m半径的圆覆盖整个区域。后续控制采用最小包围圆半径判断局部清除范围。</w:t>
      </w:r>
    </w:p>
    <w:p>
      <w:pPr>
        <w:pStyle w:val="Heading2"/>
      </w:pPr>
      <w:r>
        <w:t>5.4 构造算例验证</w:t>
      </w:r>
    </w:p>
    <w:p>
      <w:pPr>
        <w:jc w:val="both"/>
      </w:pPr>
      <w:r>
        <w:t>设置真实源为(500,400) m，三个检测点分别为(−500,0)、(400,−600)、(−200,1000) m，叠加0.6°、−0.7°、0.3°固定示向误差。所得读数为22.401409°、83.589407°、319.698705°。该组数据用于算法验证，不属于官方给定测试案例。</w:t>
      </w:r>
    </w:p>
    <w:p>
      <w:pPr>
        <w:keepNext/>
        <w:ind w:firstLine="0"/>
        <w:jc w:val="center"/>
      </w:pPr>
      <w:r>
        <w:t>表2 问题一构造算例结果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6803"/>
      </w:tblGrid>
      <w:tr>
        <w:trPr>
          <w:cantSplit/>
          <w:tblHeader/>
        </w:trPr>
        <w:tc>
          <w:tcPr>
            <w:tcW w:type="dxa" w:w="2381"/>
            <w:vAlign w:val="center"/>
            <w:shd w:fill="EFEFEF"/>
          </w:tcPr>
          <w:p>
            <w:pPr>
              <w:keepNext/>
              <w:spacing w:line="264" w:lineRule="auto" w:before="60" w:after="60"/>
              <w:ind w:firstLine="0"/>
              <w:jc w:val="left"/>
            </w:pPr>
            <w:r>
              <w:rPr>
                <w:b/>
                <w:sz w:val="20"/>
              </w:rPr>
              <w:t>评价量</w:t>
            </w:r>
          </w:p>
        </w:tc>
        <w:tc>
          <w:tcPr>
            <w:tcW w:type="dxa" w:w="6803"/>
            <w:vAlign w:val="center"/>
            <w:shd w:fill="EFEFEF"/>
          </w:tcPr>
          <w:p>
            <w:pPr>
              <w:keepNext/>
              <w:spacing w:line="264" w:lineRule="auto" w:before="60" w:after="60"/>
              <w:ind w:firstLine="0"/>
              <w:jc w:val="left"/>
            </w:pPr>
            <w:r>
              <w:rPr>
                <w:b/>
                <w:sz w:val="20"/>
              </w:rPr>
              <w:t>数值</w:t>
            </w:r>
          </w:p>
        </w:tc>
      </w:tr>
      <w:tr>
        <w:trPr>
          <w:cantSplit/>
        </w:trPr>
        <w:tc>
          <w:tcPr>
            <w:tcW w:type="dxa" w:w="2381"/>
            <w:vAlign w:val="center"/>
          </w:tcPr>
          <w:p>
            <w:pPr>
              <w:keepNext/>
              <w:spacing w:line="264" w:lineRule="auto" w:before="60" w:after="60"/>
              <w:ind w:firstLine="0"/>
              <w:jc w:val="left"/>
            </w:pPr>
            <w:r>
              <w:rPr>
                <w:b w:val="0"/>
                <w:sz w:val="20"/>
              </w:rPr>
              <w:t>定位区域面积/m²</w:t>
            </w:r>
          </w:p>
        </w:tc>
        <w:tc>
          <w:tcPr>
            <w:tcW w:type="dxa" w:w="6803"/>
            <w:vAlign w:val="center"/>
          </w:tcPr>
          <w:p>
            <w:pPr>
              <w:keepNext/>
              <w:spacing w:line="264" w:lineRule="auto" w:before="60" w:after="60"/>
              <w:ind w:firstLine="0"/>
              <w:jc w:val="left"/>
            </w:pPr>
            <w:r>
              <w:rPr>
                <w:b w:val="0"/>
                <w:sz w:val="20"/>
              </w:rPr>
              <w:t>673.003</w:t>
            </w:r>
          </w:p>
        </w:tc>
      </w:tr>
      <w:tr>
        <w:trPr>
          <w:cantSplit/>
        </w:trPr>
        <w:tc>
          <w:tcPr>
            <w:tcW w:type="dxa" w:w="2381"/>
            <w:vAlign w:val="center"/>
          </w:tcPr>
          <w:p>
            <w:pPr>
              <w:keepNext/>
              <w:spacing w:line="264" w:lineRule="auto" w:before="60" w:after="60"/>
              <w:ind w:firstLine="0"/>
              <w:jc w:val="left"/>
            </w:pPr>
            <w:r>
              <w:rPr>
                <w:b w:val="0"/>
                <w:sz w:val="20"/>
              </w:rPr>
              <w:t>定位区域直径/m</w:t>
            </w:r>
          </w:p>
        </w:tc>
        <w:tc>
          <w:tcPr>
            <w:tcW w:type="dxa" w:w="6803"/>
            <w:vAlign w:val="center"/>
          </w:tcPr>
          <w:p>
            <w:pPr>
              <w:keepNext/>
              <w:spacing w:line="264" w:lineRule="auto" w:before="60" w:after="60"/>
              <w:ind w:firstLine="0"/>
              <w:jc w:val="left"/>
            </w:pPr>
            <w:r>
              <w:rPr>
                <w:b w:val="0"/>
                <w:sz w:val="20"/>
              </w:rPr>
              <w:t>40.748</w:t>
            </w:r>
          </w:p>
        </w:tc>
      </w:tr>
      <w:tr>
        <w:trPr>
          <w:cantSplit/>
        </w:trPr>
        <w:tc>
          <w:tcPr>
            <w:tcW w:type="dxa" w:w="2381"/>
            <w:vAlign w:val="center"/>
          </w:tcPr>
          <w:p>
            <w:pPr>
              <w:keepNext/>
              <w:spacing w:line="264" w:lineRule="auto" w:before="60" w:after="60"/>
              <w:ind w:firstLine="0"/>
              <w:jc w:val="left"/>
            </w:pPr>
            <w:r>
              <w:rPr>
                <w:b w:val="0"/>
                <w:sz w:val="20"/>
              </w:rPr>
              <w:t>直径的一半/m</w:t>
            </w:r>
          </w:p>
        </w:tc>
        <w:tc>
          <w:tcPr>
            <w:tcW w:type="dxa" w:w="6803"/>
            <w:vAlign w:val="center"/>
          </w:tcPr>
          <w:p>
            <w:pPr>
              <w:keepNext/>
              <w:spacing w:line="264" w:lineRule="auto" w:before="60" w:after="60"/>
              <w:ind w:firstLine="0"/>
              <w:jc w:val="left"/>
            </w:pPr>
            <w:r>
              <w:rPr>
                <w:b w:val="0"/>
                <w:sz w:val="20"/>
              </w:rPr>
              <w:t>20.374</w:t>
            </w:r>
          </w:p>
        </w:tc>
      </w:tr>
      <w:tr>
        <w:trPr>
          <w:cantSplit/>
        </w:trPr>
        <w:tc>
          <w:tcPr>
            <w:tcW w:type="dxa" w:w="2381"/>
            <w:vAlign w:val="center"/>
          </w:tcPr>
          <w:p>
            <w:pPr>
              <w:keepNext/>
              <w:spacing w:line="264" w:lineRule="auto" w:before="60" w:after="60"/>
              <w:ind w:firstLine="0"/>
              <w:jc w:val="left"/>
            </w:pPr>
            <w:r>
              <w:rPr>
                <w:b w:val="0"/>
                <w:sz w:val="20"/>
              </w:rPr>
              <w:t>最小包围圆半径/m</w:t>
            </w:r>
          </w:p>
        </w:tc>
        <w:tc>
          <w:tcPr>
            <w:tcW w:type="dxa" w:w="6803"/>
            <w:vAlign w:val="center"/>
          </w:tcPr>
          <w:p>
            <w:pPr>
              <w:keepNext/>
              <w:spacing w:line="264" w:lineRule="auto" w:before="60" w:after="60"/>
              <w:ind w:firstLine="0"/>
              <w:jc w:val="left"/>
            </w:pPr>
            <w:r>
              <w:rPr>
                <w:b w:val="0"/>
                <w:sz w:val="20"/>
              </w:rPr>
              <w:t>22.600</w:t>
            </w:r>
          </w:p>
        </w:tc>
      </w:tr>
      <w:tr>
        <w:trPr>
          <w:cantSplit/>
        </w:trPr>
        <w:tc>
          <w:tcPr>
            <w:tcW w:type="dxa" w:w="2381"/>
            <w:vAlign w:val="center"/>
          </w:tcPr>
          <w:p>
            <w:pPr>
              <w:spacing w:line="264" w:lineRule="auto" w:before="60" w:after="60"/>
              <w:ind w:firstLine="0"/>
              <w:jc w:val="left"/>
            </w:pPr>
            <w:r>
              <w:rPr>
                <w:b w:val="0"/>
                <w:sz w:val="20"/>
              </w:rPr>
              <w:t>直径圆能否覆盖</w:t>
            </w:r>
          </w:p>
        </w:tc>
        <w:tc>
          <w:tcPr>
            <w:tcW w:type="dxa" w:w="6803"/>
            <w:vAlign w:val="center"/>
          </w:tcPr>
          <w:p>
            <w:pPr>
              <w:spacing w:line="264" w:lineRule="auto" w:before="60" w:after="60"/>
              <w:ind w:firstLine="0"/>
              <w:jc w:val="left"/>
            </w:pPr>
            <w:r>
              <w:rPr>
                <w:b w:val="0"/>
                <w:sz w:val="20"/>
              </w:rPr>
              <w:t>不能</w:t>
            </w:r>
          </w:p>
        </w:tc>
      </w:tr>
    </w:tbl>
    <w:p>
      <w:pPr>
        <w:spacing w:after="40" w:before="0" w:line="72" w:lineRule="auto"/>
      </w:pPr>
    </w:p>
    <w:p>
      <w:pPr>
        <w:jc w:val="both"/>
      </w:pPr>
      <w:r>
        <w:t>该区域为凸四边形。最远端点约为(497.471,429.101) m和(529.002,403.291) m；最小包围圆中心为(507.042,408.628) m。圆半径22.600 m超过20.374 m，说明即使准确算出了直径，还必须单独解决覆盖问题。</w:t>
      </w:r>
    </w:p>
    <w:p>
      <w:pPr>
        <w:ind w:firstLine="0"/>
        <w:jc w:val="both"/>
      </w:pPr>
      <w:r>
        <w:rPr>
          <w:color w:val="555555"/>
          <w:sz w:val="20"/>
        </w:rPr>
        <w:t>【图2待绘：三条有界示向扇形的全局交会图与局部放大图。局部同时画真实源、四边形、最远点对、直径圆及最小包围圆，并突出未被直径圆覆盖的部分。】</w:t>
      </w:r>
    </w:p>
    <w:p>
      <w:pPr>
        <w:pStyle w:val="Heading1"/>
      </w:pPr>
      <w:r>
        <w:t>6 问题二的第二检测点选择</w:t>
      </w:r>
    </w:p>
    <w:p>
      <w:pPr>
        <w:pStyle w:val="Heading2"/>
      </w:pPr>
      <w:r>
        <w:t>6.1 接收约束与交会几何</w:t>
      </w:r>
    </w:p>
    <w:p>
      <w:pPr>
        <w:keepNext/>
        <w:jc w:val="both"/>
      </w:pPr>
      <w:r>
        <w:t>第二次有效方向观测需要落在源的接收范围内。当实际接收半径未知时，1000 m是对所有允许半径均成立的距离上限。给定首次可行域</w:t>
      </w:r>
      <m:oMath>
        <m:sSub>
          <m:e>
            <m:r>
              <m:t>Ω</m:t>
              <w:rPr>
                <w:rFonts w:ascii="Cambria Math" w:hAnsi="Cambria Math" w:eastAsia="Cambria Math"/>
              </w:rPr>
            </m:r>
          </m:e>
          <m:sub>
            <m:r>
              <m:t>1</m:t>
              <w:rPr>
                <w:rFonts w:ascii="Cambria Math" w:hAnsi="Cambria Math" w:eastAsia="Cambria Math"/>
              </w:rPr>
            </m:r>
          </m:sub>
        </m:sSub>
      </m:oMath>
      <w:r>
        <w:t>，理想可靠接收区域可写为</w:t>
      </w:r>
    </w:p>
    <w:p>
      <w:pPr>
        <w:keepLines/>
        <w:ind w:firstLine="0"/>
        <w:jc w:val="center"/>
      </w:pPr>
      <m:oMath>
        <m:sSub>
          <m:e>
            <m:r>
              <m:rPr>
                <m:scr m:val="script"/>
              </m:rPr>
              <m:t>C</m:t>
              <w:rPr>
                <w:rFonts w:ascii="Cambria Math" w:hAnsi="Cambria Math" w:eastAsia="Cambria Math"/>
              </w:rPr>
            </m:r>
          </m:e>
          <m:sub>
            <m:r>
              <m:rPr>
                <m:sty m:val="p"/>
              </m:rPr>
              <m:t>rec</m:t>
              <w:rPr>
                <w:rFonts w:ascii="Cambria Math" w:hAnsi="Cambria Math" w:eastAsia="Cambria Math"/>
              </w:rPr>
            </m:r>
          </m:sub>
        </m:sSub>
        <m:r>
          <m:t>=</m:t>
          <w:rPr>
            <w:rFonts w:ascii="Cambria Math" w:hAnsi="Cambria Math" w:eastAsia="Cambria Math"/>
          </w:rPr>
        </m:r>
        <m:nary>
          <m:naryPr>
            <m:chr m:val="⋂"/>
            <m:limLoc m:val="subSup"/>
            <m:grow m:val="1"/>
            <m:subHide m:val="off"/>
            <m:supHide m:val="on"/>
          </m:naryPr>
          <m:sub>
            <m:r>
              <m:t>g∈</m:t>
              <w:rPr>
                <w:rFonts w:ascii="Cambria Math" w:hAnsi="Cambria Math" w:eastAsia="Cambria Math"/>
              </w:rPr>
            </m:r>
            <m:sSub>
              <m:e>
                <m:r>
                  <m:t>Ω</m:t>
                  <w:rPr>
                    <w:rFonts w:ascii="Cambria Math" w:hAnsi="Cambria Math" w:eastAsia="Cambria Math"/>
                  </w:rPr>
                </m:r>
              </m:e>
              <m:sub>
                <m:r>
                  <m:t>1</m:t>
                  <w:rPr>
                    <w:rFonts w:ascii="Cambria Math" w:hAnsi="Cambria Math" w:eastAsia="Cambria Math"/>
                  </w:rPr>
                </m:r>
              </m:sub>
            </m:sSub>
          </m:sub>
          <m:sup/>
          <m:e>
            <m:r>
              <m:t>B(g,1000).</m:t>
              <w:rPr>
                <w:rFonts w:ascii="Cambria Math" w:hAnsi="Cambria Math" w:eastAsia="Cambria Math"/>
              </w:rPr>
            </m:r>
          </m:e>
        </m:nary>
      </m:oMath>
      <w:r>
        <w:t xml:space="preserve">  (10)</w:t>
      </w:r>
    </w:p>
    <w:p>
      <w:pPr>
        <w:jc w:val="both"/>
      </w:pPr>
      <w:r>
        <w:t>式(10)表明候选点必须同时接近首次可行域的近端和远端。另需考虑5 m以内只能获得near而非方向读数。对单纯的第二次方向定位任务，这种结果单独计入“未获第二示向”；对实际清除任务，它是可以直接清除的有利结果，不能等同于源未发现。</w:t>
      </w:r>
    </w:p>
    <w:p>
      <w:pPr>
        <w:jc w:val="both"/>
      </w:pPr>
      <w:r>
        <w:t>两条中心示向线的交点对误差的放大与交会角有关。由方位函数对位置求导可得第i次观测的局部导数行为</w:t>
      </w:r>
      <m:oMath>
        <m:r>
          <m:t>(−</m:t>
          <w:rPr>
            <w:rFonts w:ascii="Cambria Math" w:hAnsi="Cambria Math" w:eastAsia="Cambria Math"/>
          </w:rPr>
        </m:r>
        <m:r>
          <m:rPr>
            <m:sty m:val="p"/>
          </m:rPr>
          <m:t>sin</m:t>
          <w:rPr>
            <w:rFonts w:ascii="Cambria Math" w:hAnsi="Cambria Math" w:eastAsia="Cambria Math"/>
          </w:rPr>
        </m:r>
        <m:sSub>
          <m:e>
            <m:r>
              <m:t>θ</m:t>
              <w:rPr>
                <w:rFonts w:ascii="Cambria Math" w:hAnsi="Cambria Math" w:eastAsia="Cambria Math"/>
              </w:rPr>
            </m:r>
          </m:e>
          <m:sub>
            <m:r>
              <m:t>i</m:t>
              <w:rPr>
                <w:rFonts w:ascii="Cambria Math" w:hAnsi="Cambria Math" w:eastAsia="Cambria Math"/>
              </w:rPr>
            </m:r>
          </m:sub>
        </m:sSub>
        <m:r>
          <m:t>,</m:t>
          <w:rPr>
            <w:rFonts w:ascii="Cambria Math" w:hAnsi="Cambria Math" w:eastAsia="Cambria Math"/>
          </w:rPr>
        </m:r>
        <m:r>
          <m:rPr>
            <m:sty m:val="p"/>
          </m:rPr>
          <m:t>cos</m:t>
          <w:rPr>
            <w:rFonts w:ascii="Cambria Math" w:hAnsi="Cambria Math" w:eastAsia="Cambria Math"/>
          </w:rPr>
        </m:r>
        <m:sSub>
          <m:e>
            <m:r>
              <m:t>θ</m:t>
              <w:rPr>
                <w:rFonts w:ascii="Cambria Math" w:hAnsi="Cambria Math" w:eastAsia="Cambria Math"/>
              </w:rPr>
            </m:r>
          </m:e>
          <m:sub>
            <m:r>
              <m:t>i</m:t>
              <w:rPr>
                <w:rFonts w:ascii="Cambria Math" w:hAnsi="Cambria Math" w:eastAsia="Cambria Math"/>
              </w:rPr>
            </m:r>
          </m:sub>
        </m:sSub>
        <m:r>
          <m:t>)/</m:t>
          <w:rPr>
            <w:rFonts w:ascii="Cambria Math" w:hAnsi="Cambria Math" w:eastAsia="Cambria Math"/>
          </w:rPr>
        </m:r>
        <m:sSub>
          <m:e>
            <m:r>
              <m:t>r</m:t>
              <w:rPr>
                <w:rFonts w:ascii="Cambria Math" w:hAnsi="Cambria Math" w:eastAsia="Cambria Math"/>
              </w:rPr>
            </m:r>
          </m:e>
          <m:sub>
            <m:r>
              <m:t>i</m:t>
              <w:rPr>
                <w:rFonts w:ascii="Cambria Math" w:hAnsi="Cambria Math" w:eastAsia="Cambria Math"/>
              </w:rPr>
            </m:r>
          </m:sub>
        </m:sSub>
      </m:oMath>
      <w:r>
        <w:t>，两行组成的矩阵行列式绝对值为</w:t>
      </w:r>
      <m:oMath>
        <m:r>
          <m:t>|</m:t>
          <w:rPr>
            <w:rFonts w:ascii="Cambria Math" w:hAnsi="Cambria Math" w:eastAsia="Cambria Math"/>
          </w:rPr>
        </m:r>
        <m:r>
          <m:rPr>
            <m:sty m:val="p"/>
          </m:rPr>
          <m:t>sin</m:t>
          <w:rPr>
            <w:rFonts w:ascii="Cambria Math" w:hAnsi="Cambria Math" w:eastAsia="Cambria Math"/>
          </w:rPr>
        </m:r>
        <m:r>
          <m:t>α|/(</m:t>
          <w:rPr>
            <w:rFonts w:ascii="Cambria Math" w:hAnsi="Cambria Math" w:eastAsia="Cambria Math"/>
          </w:rPr>
        </m:r>
        <m:sSub>
          <m:e>
            <m:r>
              <m:t>r</m:t>
              <w:rPr>
                <w:rFonts w:ascii="Cambria Math" w:hAnsi="Cambria Math" w:eastAsia="Cambria Math"/>
              </w:rPr>
            </m:r>
          </m:e>
          <m:sub>
            <m:r>
              <m:t>1</m:t>
              <w:rPr>
                <w:rFonts w:ascii="Cambria Math" w:hAnsi="Cambria Math" w:eastAsia="Cambria Math"/>
              </w:rPr>
            </m:r>
          </m:sub>
        </m:sSub>
        <m:sSub>
          <m:e>
            <m:r>
              <m:t>r</m:t>
              <w:rPr>
                <w:rFonts w:ascii="Cambria Math" w:hAnsi="Cambria Math" w:eastAsia="Cambria Math"/>
              </w:rPr>
            </m:r>
          </m:e>
          <m:sub>
            <m:r>
              <m:t>2</m:t>
              <w:rPr>
                <w:rFonts w:ascii="Cambria Math" w:hAnsi="Cambria Math" w:eastAsia="Cambria Math"/>
              </w:rPr>
            </m:r>
          </m:sub>
        </m:sSub>
        <m:r>
          <m:t>)</m:t>
          <w:rPr>
            <w:rFonts w:ascii="Cambria Math" w:hAnsi="Cambria Math" w:eastAsia="Cambria Math"/>
          </w:rPr>
        </m:r>
      </m:oMath>
      <w:r>
        <w:t>。交会角接近0°时该矩阵接近奇异；在距离相当条件下，较大交会角有利于减小误差放大。但这仅解释候选点的几何趋势，最终还需接收约束和完整区域计算。</w:t>
      </w:r>
    </w:p>
    <w:p>
      <w:pPr>
        <w:pStyle w:val="Heading2"/>
      </w:pPr>
      <w:r>
        <w:t>6.2 离散稳健选点模型</w:t>
      </w:r>
    </w:p>
    <w:p>
      <w:pPr>
        <w:keepNext/>
        <w:jc w:val="both"/>
      </w:pPr>
      <w:r>
        <w:t>在首次可行域内取源位置假设集</w:t>
      </w:r>
      <m:oMath>
        <m:r>
          <m:t>H</m:t>
          <w:rPr>
            <w:rFonts w:ascii="Cambria Math" w:hAnsi="Cambria Math" w:eastAsia="Cambria Math"/>
          </w:rPr>
        </m:r>
      </m:oMath>
      <w:r>
        <w:t>，在候选点集合</w:t>
      </w:r>
      <m:oMath>
        <m:r>
          <m:rPr>
            <m:scr m:val="script"/>
          </m:rPr>
          <m:t>C</m:t>
          <w:rPr>
            <w:rFonts w:ascii="Cambria Math" w:hAnsi="Cambria Math" w:eastAsia="Cambria Math"/>
          </w:rPr>
        </m:r>
      </m:oMath>
      <w:r>
        <w:t>内取第二点s。对每个</w:t>
      </w:r>
      <m:oMath>
        <m:r>
          <m:t>g∈H</m:t>
          <w:rPr>
            <w:rFonts w:ascii="Cambria Math" w:hAnsi="Cambria Math" w:eastAsia="Cambria Math"/>
          </w:rPr>
        </m:r>
      </m:oMath>
      <w:r>
        <w:t>及误差样本</w:t>
      </w:r>
      <m:oMath>
        <m:r>
          <m:t>e∈{−</m:t>
          <w:rPr>
            <w:rFonts w:ascii="Cambria Math" w:hAnsi="Cambria Math" w:eastAsia="Cambria Math"/>
          </w:rPr>
        </m:r>
        <m:sSup>
          <m:e>
            <m:r>
              <m:t>1</m:t>
              <w:rPr>
                <w:rFonts w:ascii="Cambria Math" w:hAnsi="Cambria Math" w:eastAsia="Cambria Math"/>
              </w:rPr>
            </m:r>
          </m:e>
          <m:sup>
            <m:r>
              <m:t>∘</m:t>
              <w:rPr>
                <w:rFonts w:ascii="Cambria Math" w:hAnsi="Cambria Math" w:eastAsia="Cambria Math"/>
              </w:rPr>
            </m:r>
          </m:sup>
        </m:sSup>
        <m:r>
          <m:t>,0,</m:t>
          <w:rPr>
            <w:rFonts w:ascii="Cambria Math" w:hAnsi="Cambria Math" w:eastAsia="Cambria Math"/>
          </w:rPr>
        </m:r>
        <m:sSup>
          <m:e>
            <m:r>
              <m:t>1</m:t>
              <w:rPr>
                <w:rFonts w:ascii="Cambria Math" w:hAnsi="Cambria Math" w:eastAsia="Cambria Math"/>
              </w:rPr>
            </m:r>
          </m:e>
          <m:sup>
            <m:r>
              <m:t>∘</m:t>
              <w:rPr>
                <w:rFonts w:ascii="Cambria Math" w:hAnsi="Cambria Math" w:eastAsia="Cambria Math"/>
              </w:rPr>
            </m:r>
          </m:sup>
        </m:sSup>
        <m:r>
          <m:t>}</m:t>
          <w:rPr>
            <w:rFonts w:ascii="Cambria Math" w:hAnsi="Cambria Math" w:eastAsia="Cambria Math"/>
          </w:rPr>
        </m:r>
      </m:oMath>
      <w:r>
        <w:t>构造模拟第二示向，调用问题一的半平面裁剪得到后验区域。定义未获有效第二方向的比例为</w:t>
      </w:r>
      <m:oMath>
        <m:sSub>
          <m:e>
            <m:r>
              <m:t>p</m:t>
              <w:rPr>
                <w:rFonts w:ascii="Cambria Math" w:hAnsi="Cambria Math" w:eastAsia="Cambria Math"/>
              </w:rPr>
            </m:r>
          </m:e>
          <m:sub>
            <m:r>
              <m:rPr>
                <m:sty m:val="p"/>
              </m:rPr>
              <m:t>nd</m:t>
              <w:rPr>
                <w:rFonts w:ascii="Cambria Math" w:hAnsi="Cambria Math" w:eastAsia="Cambria Math"/>
              </w:rPr>
            </m:r>
          </m:sub>
        </m:sSub>
        <m:r>
          <m:t>(s)</m:t>
          <w:rPr>
            <w:rFonts w:ascii="Cambria Math" w:hAnsi="Cambria Math" w:eastAsia="Cambria Math"/>
          </w:rPr>
        </m:r>
      </m:oMath>
      <w:r>
        <w:t>，对获得有效方向的样本计算直径最大值和平均值：</w:t>
      </w:r>
    </w:p>
    <w:p>
      <w:pPr>
        <w:keepLines/>
        <w:ind w:firstLine="0"/>
        <w:jc w:val="center"/>
      </w:pPr>
      <m:oMath>
        <m:sSub>
          <m:e>
            <m:r>
              <m:t>D</m:t>
              <w:rPr>
                <w:rFonts w:ascii="Cambria Math" w:hAnsi="Cambria Math" w:eastAsia="Cambria Math"/>
              </w:rPr>
            </m:r>
          </m:e>
          <m:sub>
            <m:r>
              <m:t>max</m:t>
              <w:rPr>
                <w:rFonts w:ascii="Cambria Math" w:hAnsi="Cambria Math" w:eastAsia="Cambria Math"/>
              </w:rPr>
            </m:r>
          </m:sub>
        </m:sSub>
        <m:r>
          <m:t>(s)=</m:t>
          <w:rPr>
            <w:rFonts w:ascii="Cambria Math" w:hAnsi="Cambria Math" w:eastAsia="Cambria Math"/>
          </w:rPr>
        </m:r>
        <m:sSub>
          <m:e>
            <m:r>
              <m:t>max</m:t>
              <w:rPr>
                <w:rFonts w:ascii="Cambria Math" w:hAnsi="Cambria Math" w:eastAsia="Cambria Math"/>
              </w:rPr>
            </m:r>
          </m:e>
          <m:sub>
            <m:r>
              <m:t>g,e</m:t>
              <w:rPr>
                <w:rFonts w:ascii="Cambria Math" w:hAnsi="Cambria Math" w:eastAsia="Cambria Math"/>
              </w:rPr>
            </m:r>
          </m:sub>
        </m:sSub>
        <m:r>
          <m:t>D(</m:t>
          <w:rPr>
            <w:rFonts w:ascii="Cambria Math" w:hAnsi="Cambria Math" w:eastAsia="Cambria Math"/>
          </w:rPr>
        </m:r>
        <m:sSub>
          <m:e>
            <m:r>
              <m:t>Ω</m:t>
              <w:rPr>
                <w:rFonts w:ascii="Cambria Math" w:hAnsi="Cambria Math" w:eastAsia="Cambria Math"/>
              </w:rPr>
            </m:r>
          </m:e>
          <m:sub>
            <m:r>
              <m:t>2</m:t>
              <w:rPr>
                <w:rFonts w:ascii="Cambria Math" w:hAnsi="Cambria Math" w:eastAsia="Cambria Math"/>
              </w:rPr>
            </m:r>
          </m:sub>
        </m:sSub>
        <m:r>
          <m:t>(s,g,e)),</m:t>
          <w:rPr>
            <w:rFonts w:ascii="Cambria Math" w:hAnsi="Cambria Math" w:eastAsia="Cambria Math"/>
          </w:rPr>
        </m:r>
        <m:bar>
          <m:barPr>
            <m:pos m:val="top"/>
          </m:barPr>
          <m:e>
            <m:r>
              <m:t>D</m:t>
              <w:rPr>
                <w:rFonts w:ascii="Cambria Math" w:hAnsi="Cambria Math" w:eastAsia="Cambria Math"/>
              </w:rPr>
            </m:r>
          </m:e>
        </m:bar>
        <m:r>
          <m:t>(s)=</m:t>
          <w:rPr>
            <w:rFonts w:ascii="Cambria Math" w:hAnsi="Cambria Math" w:eastAsia="Cambria Math"/>
          </w:rPr>
        </m:r>
        <m:sSub>
          <m:e>
            <m:r>
              <m:t>mean</m:t>
              <w:rPr>
                <w:rFonts w:ascii="Cambria Math" w:hAnsi="Cambria Math" w:eastAsia="Cambria Math"/>
              </w:rPr>
            </m:r>
          </m:e>
          <m:sub>
            <m:r>
              <m:t>g,e</m:t>
              <w:rPr>
                <w:rFonts w:ascii="Cambria Math" w:hAnsi="Cambria Math" w:eastAsia="Cambria Math"/>
              </w:rPr>
            </m:r>
          </m:sub>
        </m:sSub>
        <m:r>
          <m:t>D(</m:t>
          <w:rPr>
            <w:rFonts w:ascii="Cambria Math" w:hAnsi="Cambria Math" w:eastAsia="Cambria Math"/>
          </w:rPr>
        </m:r>
        <m:sSub>
          <m:e>
            <m:r>
              <m:t>Ω</m:t>
              <w:rPr>
                <w:rFonts w:ascii="Cambria Math" w:hAnsi="Cambria Math" w:eastAsia="Cambria Math"/>
              </w:rPr>
            </m:r>
          </m:e>
          <m:sub>
            <m:r>
              <m:t>2</m:t>
              <w:rPr>
                <w:rFonts w:ascii="Cambria Math" w:hAnsi="Cambria Math" w:eastAsia="Cambria Math"/>
              </w:rPr>
            </m:r>
          </m:sub>
        </m:sSub>
        <m:r>
          <m:t>(s,g,e)).</m:t>
          <w:rPr>
            <w:rFonts w:ascii="Cambria Math" w:hAnsi="Cambria Math" w:eastAsia="Cambria Math"/>
          </w:rPr>
        </m:r>
      </m:oMath>
      <w:r>
        <w:t xml:space="preserve">  (11)</w:t>
      </w:r>
    </w:p>
    <w:p>
      <w:pPr>
        <w:keepNext/>
        <w:jc w:val="both"/>
      </w:pPr>
      <w:r>
        <w:t>评价键按字典序排列：</w:t>
      </w:r>
    </w:p>
    <w:p>
      <w:pPr>
        <w:keepLines/>
        <w:ind w:firstLine="0"/>
        <w:jc w:val="center"/>
      </w:pPr>
      <m:oMath>
        <m:r>
          <m:t>J(s)=</m:t>
          <w:rPr>
            <w:rFonts w:ascii="Cambria Math" w:hAnsi="Cambria Math" w:eastAsia="Cambria Math"/>
          </w:rPr>
        </m:r>
        <m:d>
          <m:dPr>
            <m:sepChr m:val=""/>
          </m:dPr>
          <m:e>
            <m:sSub>
              <m:e>
                <m:r>
                  <m:t>p</m:t>
                  <w:rPr>
                    <w:rFonts w:ascii="Cambria Math" w:hAnsi="Cambria Math" w:eastAsia="Cambria Math"/>
                  </w:rPr>
                </m:r>
              </m:e>
              <m:sub>
                <m:r>
                  <m:rPr>
                    <m:sty m:val="p"/>
                  </m:rPr>
                  <m:t>nd</m:t>
                  <w:rPr>
                    <w:rFonts w:ascii="Cambria Math" w:hAnsi="Cambria Math" w:eastAsia="Cambria Math"/>
                  </w:rPr>
                </m:r>
              </m:sub>
            </m:sSub>
            <m:r>
              <m:t>(</m:t>
              <w:rPr>
                <w:rFonts w:ascii="Cambria Math" w:hAnsi="Cambria Math" w:eastAsia="Cambria Math"/>
              </w:rPr>
            </m:r>
            <m:r>
              <m:t>s</m:t>
              <w:rPr>
                <w:rFonts w:ascii="Cambria Math" w:hAnsi="Cambria Math" w:eastAsia="Cambria Math"/>
              </w:rPr>
            </m:r>
            <m:r>
              <m:t>)</m:t>
              <w:rPr>
                <w:rFonts w:ascii="Cambria Math" w:hAnsi="Cambria Math" w:eastAsia="Cambria Math"/>
              </w:rPr>
            </m:r>
            <m:r>
              <m:t>,</m:t>
              <w:rPr>
                <w:rFonts w:ascii="Cambria Math" w:hAnsi="Cambria Math" w:eastAsia="Cambria Math"/>
              </w:rPr>
            </m:r>
            <m:sSub>
              <m:e>
                <m:r>
                  <m:t>D</m:t>
                  <w:rPr>
                    <w:rFonts w:ascii="Cambria Math" w:hAnsi="Cambria Math" w:eastAsia="Cambria Math"/>
                  </w:rPr>
                </m:r>
              </m:e>
              <m:sub>
                <m:r>
                  <m:t>max</m:t>
                  <w:rPr>
                    <w:rFonts w:ascii="Cambria Math" w:hAnsi="Cambria Math" w:eastAsia="Cambria Math"/>
                  </w:rPr>
                </m:r>
              </m:sub>
            </m:sSub>
            <m:r>
              <m:t>(</m:t>
              <w:rPr>
                <w:rFonts w:ascii="Cambria Math" w:hAnsi="Cambria Math" w:eastAsia="Cambria Math"/>
              </w:rPr>
            </m:r>
            <m:r>
              <m:t>s</m:t>
              <w:rPr>
                <w:rFonts w:ascii="Cambria Math" w:hAnsi="Cambria Math" w:eastAsia="Cambria Math"/>
              </w:rPr>
            </m:r>
            <m:r>
              <m:t>)</m:t>
              <w:rPr>
                <w:rFonts w:ascii="Cambria Math" w:hAnsi="Cambria Math" w:eastAsia="Cambria Math"/>
              </w:rPr>
            </m:r>
            <m:r>
              <m:t>,</m:t>
              <w:rPr>
                <w:rFonts w:ascii="Cambria Math" w:hAnsi="Cambria Math" w:eastAsia="Cambria Math"/>
              </w:rPr>
            </m:r>
            <m:bar>
              <m:barPr>
                <m:pos m:val="top"/>
              </m:barPr>
              <m:e>
                <m:r>
                  <m:t>D</m:t>
                  <w:rPr>
                    <w:rFonts w:ascii="Cambria Math" w:hAnsi="Cambria Math" w:eastAsia="Cambria Math"/>
                  </w:rPr>
                </m:r>
              </m:e>
            </m:bar>
            <m:r>
              <m:t>(</m:t>
              <w:rPr>
                <w:rFonts w:ascii="Cambria Math" w:hAnsi="Cambria Math" w:eastAsia="Cambria Math"/>
              </w:rPr>
            </m:r>
            <m:r>
              <m:t>s</m:t>
              <w:rPr>
                <w:rFonts w:ascii="Cambria Math" w:hAnsi="Cambria Math" w:eastAsia="Cambria Math"/>
              </w:rPr>
            </m:r>
            <m:r>
              <m:t>)</m:t>
              <w:rPr>
                <w:rFonts w:ascii="Cambria Math" w:hAnsi="Cambria Math" w:eastAsia="Cambria Math"/>
              </w:rPr>
            </m:r>
            <m:r>
              <m:t>,</m:t>
              <w:rPr>
                <w:rFonts w:ascii="Cambria Math" w:hAnsi="Cambria Math" w:eastAsia="Cambria Math"/>
              </w:rPr>
            </m:r>
            <m:r>
              <m:t>‖</m:t>
              <w:rPr>
                <w:rFonts w:ascii="Cambria Math" w:hAnsi="Cambria Math" w:eastAsia="Cambria Math"/>
              </w:rPr>
            </m:r>
            <m:r>
              <m:t>s</m:t>
              <w:rPr>
                <w:rFonts w:ascii="Cambria Math" w:hAnsi="Cambria Math" w:eastAsia="Cambria Math"/>
              </w:rPr>
            </m:r>
            <m:r>
              <m:t>−</m:t>
              <w:rPr>
                <w:rFonts w:ascii="Cambria Math" w:hAnsi="Cambria Math" w:eastAsia="Cambria Math"/>
              </w:rPr>
            </m:r>
            <m:sSub>
              <m:e>
                <m:r>
                  <m:t>S</m:t>
                  <w:rPr>
                    <w:rFonts w:ascii="Cambria Math" w:hAnsi="Cambria Math" w:eastAsia="Cambria Math"/>
                  </w:rPr>
                </m:r>
              </m:e>
              <m:sub>
                <m:r>
                  <m:t>1</m:t>
                  <w:rPr>
                    <w:rFonts w:ascii="Cambria Math" w:hAnsi="Cambria Math" w:eastAsia="Cambria Math"/>
                  </w:rPr>
                </m:r>
              </m:sub>
            </m:sSub>
            <m:r>
              <m:t>‖</m:t>
              <w:rPr>
                <w:rFonts w:ascii="Cambria Math" w:hAnsi="Cambria Math" w:eastAsia="Cambria Math"/>
              </w:rPr>
            </m:r>
          </m:e>
        </m:d>
        <m:r>
          <m:t>.</m:t>
          <w:rPr>
            <w:rFonts w:ascii="Cambria Math" w:hAnsi="Cambria Math" w:eastAsia="Cambria Math"/>
          </w:rPr>
        </m:r>
      </m:oMath>
      <w:r>
        <w:t xml:space="preserve">  (12)</w:t>
      </w:r>
    </w:p>
    <w:p>
      <w:pPr>
        <w:jc w:val="both"/>
      </w:pPr>
      <w:r>
        <w:t>先最小化无法获得第二示向的比例，再最小化定位范围的最大值，随后比较平均范围和移动距离。代码中超过1000 m、距离不超过5 m或数值后验为空的样本计入第一项。第二次更新只增加示向半平面，未利用所有无信号信息对源类型或半径作后验反演，因此属于保守且便于执行的选点方式。</w:t>
      </w:r>
    </w:p>
    <w:p>
      <w:pPr>
        <w:jc w:val="both"/>
      </w:pPr>
      <w:r>
        <w:t>这里的“最大值”是有限假设与三个误差样本上的枚举最大值。它不等价于所有连续源位置和连续测向误差下的数学上确界；也不能仅根据当前网格的最优点宣称连续空间全局最优。</w:t>
      </w:r>
    </w:p>
    <w:p>
      <w:pPr>
        <w:pStyle w:val="Heading2"/>
      </w:pPr>
      <w:r>
        <w:t>6.3 推荐候选区域生成</w:t>
      </w:r>
    </w:p>
    <w:p>
      <w:pPr>
        <w:jc w:val="both"/>
      </w:pPr>
      <w:r>
        <w:t>算法先计算全部候选的评价键，再抽取</w:t>
      </w:r>
      <m:oMath>
        <m:sSub>
          <m:e>
            <m:r>
              <m:t>p</m:t>
              <w:rPr>
                <w:rFonts w:ascii="Cambria Math" w:hAnsi="Cambria Math" w:eastAsia="Cambria Math"/>
              </w:rPr>
            </m:r>
          </m:e>
          <m:sub>
            <m:r>
              <m:rPr>
                <m:sty m:val="p"/>
              </m:rPr>
              <m:t>nd</m:t>
              <w:rPr>
                <w:rFonts w:ascii="Cambria Math" w:hAnsi="Cambria Math" w:eastAsia="Cambria Math"/>
              </w:rPr>
            </m:r>
          </m:sub>
        </m:sSub>
        <m:r>
          <m:t>=0</m:t>
          <w:rPr>
            <w:rFonts w:ascii="Cambria Math" w:hAnsi="Cambria Math" w:eastAsia="Cambria Math"/>
          </w:rPr>
        </m:r>
      </m:oMath>
      <w:r>
        <w:t>的点集，在其中保留</w:t>
      </w:r>
      <m:oMath>
        <m:sSub>
          <m:e>
            <m:r>
              <m:t>D</m:t>
              <w:rPr>
                <w:rFonts w:ascii="Cambria Math" w:hAnsi="Cambria Math" w:eastAsia="Cambria Math"/>
              </w:rPr>
            </m:r>
          </m:e>
          <m:sub>
            <m:r>
              <m:t>max</m:t>
              <w:rPr>
                <w:rFonts w:ascii="Cambria Math" w:hAnsi="Cambria Math" w:eastAsia="Cambria Math"/>
              </w:rPr>
            </m:r>
          </m:sub>
        </m:sSub>
      </m:oMath>
      <w:r>
        <w:t>位于较小20%的一组点，作为推荐候选集合。若该点集为空，则依次采用字典序排序靠前的候选，同时报告其未获示向风险，不擅自宣称保证接收。</w:t>
      </w:r>
    </w:p>
    <w:p>
      <w:pPr>
        <w:jc w:val="both"/>
      </w:pPr>
      <w:r>
        <w:t>第二点一般位于首条示向线两侧、能形成较大锐交会角的位置。对于实际路径约束，可在推荐点中选择移动距离较小的点；如果将来加入障碍地图，则需要重新计算可达距离。当前题面允许直线移动，本文数值结果使用欧氏距离。</w:t>
      </w:r>
    </w:p>
    <w:p>
      <w:pPr>
        <w:pStyle w:val="Heading2"/>
      </w:pPr>
      <w:r>
        <w:t>6.4 数值结果</w:t>
      </w:r>
    </w:p>
    <w:p>
      <w:pPr>
        <w:jc w:val="both"/>
      </w:pPr>
      <w:r>
        <w:t>标准化算例取首次检测点(0,0) m、示向度35°。沿首次扇形按50 m距离步长及−1°、−0.5°、0°、0.5°、1°角度偏移生成150个源假设；在1800 m圆域内以100 m间距生成1009个候选点。计算得到51个离散零漏测候选，推荐其中11个，其枚举最大直径阈值为134.677 m。</w:t>
      </w:r>
    </w:p>
    <w:p>
      <w:pPr>
        <w:keepNext/>
        <w:ind w:firstLine="0"/>
        <w:jc w:val="center"/>
      </w:pPr>
      <w:r>
        <w:t>表3 问题二排名前五的候选点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6"/>
        <w:gridCol w:w="2296"/>
        <w:gridCol w:w="2296"/>
        <w:gridCol w:w="2296"/>
      </w:tblGrid>
      <w:tr>
        <w:trPr>
          <w:cantSplit/>
          <w:tblHeader/>
        </w:trPr>
        <w:tc>
          <w:tcPr>
            <w:tcW w:type="dxa" w:w="2296"/>
            <w:vAlign w:val="center"/>
            <w:shd w:fill="EFEFEF"/>
          </w:tcPr>
          <w:p>
            <w:pPr>
              <w:keepNext/>
              <w:spacing w:line="264" w:lineRule="auto" w:before="60" w:after="60"/>
              <w:ind w:firstLine="0"/>
              <w:jc w:val="center"/>
            </w:pPr>
            <w:r>
              <w:rPr>
                <w:b/>
                <w:sz w:val="20"/>
              </w:rPr>
              <w:t>排名</w:t>
            </w:r>
          </w:p>
        </w:tc>
        <w:tc>
          <w:tcPr>
            <w:tcW w:type="dxa" w:w="2296"/>
            <w:vAlign w:val="center"/>
            <w:shd w:fill="EFEFEF"/>
          </w:tcPr>
          <w:p>
            <w:pPr>
              <w:keepNext/>
              <w:spacing w:line="264" w:lineRule="auto" w:before="60" w:after="60"/>
              <w:ind w:firstLine="0"/>
              <w:jc w:val="center"/>
            </w:pPr>
            <w:r>
              <w:rPr>
                <w:b/>
                <w:sz w:val="20"/>
              </w:rPr>
              <w:t>第二测点/m</w:t>
            </w:r>
          </w:p>
        </w:tc>
        <w:tc>
          <w:tcPr>
            <w:tcW w:type="dxa" w:w="2296"/>
            <w:vAlign w:val="center"/>
            <w:shd w:fill="EFEFEF"/>
          </w:tcPr>
          <w:p>
            <w:pPr>
              <w:keepNext/>
              <w:spacing w:line="264" w:lineRule="auto" w:before="60" w:after="60"/>
              <w:ind w:firstLine="0"/>
              <w:jc w:val="center"/>
            </w:pPr>
            <w:r>
              <w:rPr>
                <w:b/>
                <w:sz w:val="20"/>
              </w:rPr>
              <w:t>枚举最大直径/m</w:t>
            </w:r>
          </w:p>
        </w:tc>
        <w:tc>
          <w:tcPr>
            <w:tcW w:type="dxa" w:w="2296"/>
            <w:vAlign w:val="center"/>
            <w:shd w:fill="EFEFEF"/>
          </w:tcPr>
          <w:p>
            <w:pPr>
              <w:keepNext/>
              <w:spacing w:line="264" w:lineRule="auto" w:before="60" w:after="60"/>
              <w:ind w:firstLine="0"/>
              <w:jc w:val="center"/>
            </w:pPr>
            <w:r>
              <w:rPr>
                <w:b/>
                <w:sz w:val="20"/>
              </w:rPr>
              <w:t>枚举平均直径/m</w:t>
            </w:r>
          </w:p>
        </w:tc>
      </w:tr>
      <w:tr>
        <w:trPr>
          <w:cantSplit/>
        </w:trPr>
        <w:tc>
          <w:tcPr>
            <w:tcW w:type="dxa" w:w="2296"/>
            <w:vAlign w:val="center"/>
          </w:tcPr>
          <w:p>
            <w:pPr>
              <w:keepNext/>
              <w:spacing w:line="264" w:lineRule="auto" w:before="60" w:after="60"/>
              <w:ind w:firstLine="0"/>
              <w:jc w:val="center"/>
            </w:pPr>
            <w:r>
              <w:rPr>
                <w:b w:val="0"/>
                <w:sz w:val="20"/>
              </w:rPr>
              <w:t>1</w:t>
            </w:r>
          </w:p>
        </w:tc>
        <w:tc>
          <w:tcPr>
            <w:tcW w:type="dxa" w:w="2296"/>
            <w:vAlign w:val="center"/>
          </w:tcPr>
          <w:p>
            <w:pPr>
              <w:keepNext/>
              <w:spacing w:line="264" w:lineRule="auto" w:before="60" w:after="60"/>
              <w:ind w:firstLine="0"/>
              <w:jc w:val="center"/>
            </w:pPr>
            <w:r>
              <w:rPr>
                <w:b w:val="0"/>
                <w:sz w:val="20"/>
              </w:rPr>
              <w:t>(1000,100)</w:t>
            </w:r>
          </w:p>
        </w:tc>
        <w:tc>
          <w:tcPr>
            <w:tcW w:type="dxa" w:w="2296"/>
            <w:vAlign w:val="center"/>
          </w:tcPr>
          <w:p>
            <w:pPr>
              <w:keepNext/>
              <w:spacing w:line="264" w:lineRule="auto" w:before="60" w:after="60"/>
              <w:ind w:firstLine="0"/>
              <w:jc w:val="center"/>
            </w:pPr>
            <w:r>
              <w:rPr>
                <w:b w:val="0"/>
                <w:sz w:val="20"/>
              </w:rPr>
              <w:t>110.854</w:t>
            </w:r>
          </w:p>
        </w:tc>
        <w:tc>
          <w:tcPr>
            <w:tcW w:type="dxa" w:w="2296"/>
            <w:vAlign w:val="center"/>
          </w:tcPr>
          <w:p>
            <w:pPr>
              <w:keepNext/>
              <w:spacing w:line="264" w:lineRule="auto" w:before="60" w:after="60"/>
              <w:ind w:firstLine="0"/>
              <w:jc w:val="center"/>
            </w:pPr>
            <w:r>
              <w:rPr>
                <w:b w:val="0"/>
                <w:sz w:val="20"/>
              </w:rPr>
              <w:t>55.976</w:t>
            </w:r>
          </w:p>
        </w:tc>
      </w:tr>
      <w:tr>
        <w:trPr>
          <w:cantSplit/>
        </w:trPr>
        <w:tc>
          <w:tcPr>
            <w:tcW w:type="dxa" w:w="2296"/>
            <w:vAlign w:val="center"/>
          </w:tcPr>
          <w:p>
            <w:pPr>
              <w:keepNext/>
              <w:spacing w:line="264" w:lineRule="auto" w:before="60" w:after="60"/>
              <w:ind w:firstLine="0"/>
              <w:jc w:val="center"/>
            </w:pPr>
            <w:r>
              <w:rPr>
                <w:b w:val="0"/>
                <w:sz w:val="20"/>
              </w:rPr>
              <w:t>2</w:t>
            </w:r>
          </w:p>
        </w:tc>
        <w:tc>
          <w:tcPr>
            <w:tcW w:type="dxa" w:w="2296"/>
            <w:vAlign w:val="center"/>
          </w:tcPr>
          <w:p>
            <w:pPr>
              <w:keepNext/>
              <w:spacing w:line="264" w:lineRule="auto" w:before="60" w:after="60"/>
              <w:ind w:firstLine="0"/>
              <w:jc w:val="center"/>
            </w:pPr>
            <w:r>
              <w:rPr>
                <w:b w:val="0"/>
                <w:sz w:val="20"/>
              </w:rPr>
              <w:t>(1000,200)</w:t>
            </w:r>
          </w:p>
        </w:tc>
        <w:tc>
          <w:tcPr>
            <w:tcW w:type="dxa" w:w="2296"/>
            <w:vAlign w:val="center"/>
          </w:tcPr>
          <w:p>
            <w:pPr>
              <w:keepNext/>
              <w:spacing w:line="264" w:lineRule="auto" w:before="60" w:after="60"/>
              <w:ind w:firstLine="0"/>
              <w:jc w:val="center"/>
            </w:pPr>
            <w:r>
              <w:rPr>
                <w:b w:val="0"/>
                <w:sz w:val="20"/>
              </w:rPr>
              <w:t>111.285</w:t>
            </w:r>
          </w:p>
        </w:tc>
        <w:tc>
          <w:tcPr>
            <w:tcW w:type="dxa" w:w="2296"/>
            <w:vAlign w:val="center"/>
          </w:tcPr>
          <w:p>
            <w:pPr>
              <w:keepNext/>
              <w:spacing w:line="264" w:lineRule="auto" w:before="60" w:after="60"/>
              <w:ind w:firstLine="0"/>
              <w:jc w:val="center"/>
            </w:pPr>
            <w:r>
              <w:rPr>
                <w:b w:val="0"/>
                <w:sz w:val="20"/>
              </w:rPr>
              <w:t>59.747</w:t>
            </w:r>
          </w:p>
        </w:tc>
      </w:tr>
      <w:tr>
        <w:trPr>
          <w:cantSplit/>
        </w:trPr>
        <w:tc>
          <w:tcPr>
            <w:tcW w:type="dxa" w:w="2296"/>
            <w:vAlign w:val="center"/>
          </w:tcPr>
          <w:p>
            <w:pPr>
              <w:keepNext/>
              <w:spacing w:line="264" w:lineRule="auto" w:before="60" w:after="60"/>
              <w:ind w:firstLine="0"/>
              <w:jc w:val="center"/>
            </w:pPr>
            <w:r>
              <w:rPr>
                <w:b w:val="0"/>
                <w:sz w:val="20"/>
              </w:rPr>
              <w:t>3</w:t>
            </w:r>
          </w:p>
        </w:tc>
        <w:tc>
          <w:tcPr>
            <w:tcW w:type="dxa" w:w="2296"/>
            <w:vAlign w:val="center"/>
          </w:tcPr>
          <w:p>
            <w:pPr>
              <w:keepNext/>
              <w:spacing w:line="264" w:lineRule="auto" w:before="60" w:after="60"/>
              <w:ind w:firstLine="0"/>
              <w:jc w:val="center"/>
            </w:pPr>
            <w:r>
              <w:rPr>
                <w:b w:val="0"/>
                <w:sz w:val="20"/>
              </w:rPr>
              <w:t>(1000,0)</w:t>
            </w:r>
          </w:p>
        </w:tc>
        <w:tc>
          <w:tcPr>
            <w:tcW w:type="dxa" w:w="2296"/>
            <w:vAlign w:val="center"/>
          </w:tcPr>
          <w:p>
            <w:pPr>
              <w:keepNext/>
              <w:spacing w:line="264" w:lineRule="auto" w:before="60" w:after="60"/>
              <w:ind w:firstLine="0"/>
              <w:jc w:val="center"/>
            </w:pPr>
            <w:r>
              <w:rPr>
                <w:b w:val="0"/>
                <w:sz w:val="20"/>
              </w:rPr>
              <w:t>111.567</w:t>
            </w:r>
          </w:p>
        </w:tc>
        <w:tc>
          <w:tcPr>
            <w:tcW w:type="dxa" w:w="2296"/>
            <w:vAlign w:val="center"/>
          </w:tcPr>
          <w:p>
            <w:pPr>
              <w:keepNext/>
              <w:spacing w:line="264" w:lineRule="auto" w:before="60" w:after="60"/>
              <w:ind w:firstLine="0"/>
              <w:jc w:val="center"/>
            </w:pPr>
            <w:r>
              <w:rPr>
                <w:b w:val="0"/>
                <w:sz w:val="20"/>
              </w:rPr>
              <w:t>54.421</w:t>
            </w:r>
          </w:p>
        </w:tc>
      </w:tr>
      <w:tr>
        <w:trPr>
          <w:cantSplit/>
        </w:trPr>
        <w:tc>
          <w:tcPr>
            <w:tcW w:type="dxa" w:w="2296"/>
            <w:vAlign w:val="center"/>
          </w:tcPr>
          <w:p>
            <w:pPr>
              <w:keepNext/>
              <w:spacing w:line="264" w:lineRule="auto" w:before="60" w:after="60"/>
              <w:ind w:firstLine="0"/>
              <w:jc w:val="center"/>
            </w:pPr>
            <w:r>
              <w:rPr>
                <w:b w:val="0"/>
                <w:sz w:val="20"/>
              </w:rPr>
              <w:t>4</w:t>
            </w:r>
          </w:p>
        </w:tc>
        <w:tc>
          <w:tcPr>
            <w:tcW w:type="dxa" w:w="2296"/>
            <w:vAlign w:val="center"/>
          </w:tcPr>
          <w:p>
            <w:pPr>
              <w:keepNext/>
              <w:spacing w:line="264" w:lineRule="auto" w:before="60" w:after="60"/>
              <w:ind w:firstLine="0"/>
              <w:jc w:val="center"/>
            </w:pPr>
            <w:r>
              <w:rPr>
                <w:b w:val="0"/>
                <w:sz w:val="20"/>
              </w:rPr>
              <w:t>(1000,-100)</w:t>
            </w:r>
          </w:p>
        </w:tc>
        <w:tc>
          <w:tcPr>
            <w:tcW w:type="dxa" w:w="2296"/>
            <w:vAlign w:val="center"/>
          </w:tcPr>
          <w:p>
            <w:pPr>
              <w:keepNext/>
              <w:spacing w:line="264" w:lineRule="auto" w:before="60" w:after="60"/>
              <w:ind w:firstLine="0"/>
              <w:jc w:val="center"/>
            </w:pPr>
            <w:r>
              <w:rPr>
                <w:b w:val="0"/>
                <w:sz w:val="20"/>
              </w:rPr>
              <w:t>112.232</w:t>
            </w:r>
          </w:p>
        </w:tc>
        <w:tc>
          <w:tcPr>
            <w:tcW w:type="dxa" w:w="2296"/>
            <w:vAlign w:val="center"/>
          </w:tcPr>
          <w:p>
            <w:pPr>
              <w:keepNext/>
              <w:spacing w:line="264" w:lineRule="auto" w:before="60" w:after="60"/>
              <w:ind w:firstLine="0"/>
              <w:jc w:val="center"/>
            </w:pPr>
            <w:r>
              <w:rPr>
                <w:b w:val="0"/>
                <w:sz w:val="20"/>
              </w:rPr>
              <w:t>54.309</w:t>
            </w:r>
          </w:p>
        </w:tc>
      </w:tr>
      <w:tr>
        <w:trPr>
          <w:cantSplit/>
        </w:trPr>
        <w:tc>
          <w:tcPr>
            <w:tcW w:type="dxa" w:w="2296"/>
            <w:vAlign w:val="center"/>
          </w:tcPr>
          <w:p>
            <w:pPr>
              <w:spacing w:line="264" w:lineRule="auto" w:before="60" w:after="60"/>
              <w:ind w:firstLine="0"/>
              <w:jc w:val="center"/>
            </w:pPr>
            <w:r>
              <w:rPr>
                <w:b w:val="0"/>
                <w:sz w:val="20"/>
              </w:rPr>
              <w:t>5</w:t>
            </w:r>
          </w:p>
        </w:tc>
        <w:tc>
          <w:tcPr>
            <w:tcW w:type="dxa" w:w="2296"/>
            <w:vAlign w:val="center"/>
          </w:tcPr>
          <w:p>
            <w:pPr>
              <w:spacing w:line="264" w:lineRule="auto" w:before="60" w:after="60"/>
              <w:ind w:firstLine="0"/>
              <w:jc w:val="center"/>
            </w:pPr>
            <w:r>
              <w:rPr>
                <w:b w:val="0"/>
                <w:sz w:val="20"/>
              </w:rPr>
              <w:t>(400,900)</w:t>
            </w:r>
          </w:p>
        </w:tc>
        <w:tc>
          <w:tcPr>
            <w:tcW w:type="dxa" w:w="2296"/>
            <w:vAlign w:val="center"/>
          </w:tcPr>
          <w:p>
            <w:pPr>
              <w:spacing w:line="264" w:lineRule="auto" w:before="60" w:after="60"/>
              <w:ind w:firstLine="0"/>
              <w:jc w:val="center"/>
            </w:pPr>
            <w:r>
              <w:rPr>
                <w:b w:val="0"/>
                <w:sz w:val="20"/>
              </w:rPr>
              <w:t>114.454</w:t>
            </w:r>
          </w:p>
        </w:tc>
        <w:tc>
          <w:tcPr>
            <w:tcW w:type="dxa" w:w="2296"/>
            <w:vAlign w:val="center"/>
          </w:tcPr>
          <w:p>
            <w:pPr>
              <w:spacing w:line="264" w:lineRule="auto" w:before="60" w:after="60"/>
              <w:ind w:firstLine="0"/>
              <w:jc w:val="center"/>
            </w:pPr>
            <w:r>
              <w:rPr>
                <w:b w:val="0"/>
                <w:sz w:val="20"/>
              </w:rPr>
              <w:t>55.419</w:t>
            </w:r>
          </w:p>
        </w:tc>
      </w:tr>
    </w:tbl>
    <w:p>
      <w:pPr>
        <w:spacing w:after="40" w:before="0" w:line="72" w:lineRule="auto"/>
      </w:pPr>
    </w:p>
    <w:p>
      <w:pPr>
        <w:jc w:val="both"/>
      </w:pPr>
      <w:r>
        <w:t>最优点为(1000,100) m，移动距离1004.988 m，枚举平均直径为55.976 m。相邻的(1000,200)与(1000,0) m结果接近，说明可提供多个替换位置。另设固定测距的交会角算例，10°、30°、60°、80°、90°对应的直径分别为354.620、115.266、59.709、46.687、42.626 m，符合近乎平行时误差放大的几何分析。</w:t>
      </w:r>
    </w:p>
    <w:p>
      <w:pPr>
        <w:ind w:firstLine="0"/>
        <w:jc w:val="both"/>
      </w:pPr>
      <w:r>
        <w:rPr>
          <w:color w:val="555555"/>
          <w:sz w:val="20"/>
        </w:rPr>
        <w:t>【图3待绘：第二点候选区域。显示首次扇形、51个离散零漏测点、11个推荐点及最优点，明确100 m网格。图4待绘：交会角与后验直径曲线，数据来自固定测距敏感性算例。】</w:t>
      </w:r>
    </w:p>
    <w:p>
      <w:pPr>
        <w:pStyle w:val="Heading1"/>
      </w:pPr>
      <w:r>
        <w:t>7 问题三的全向源联合搜索与清除</w:t>
      </w:r>
    </w:p>
    <w:p>
      <w:pPr>
        <w:pStyle w:val="Heading2"/>
      </w:pPr>
      <w:r>
        <w:t>7.1 多源调度中的时间耦合</w:t>
      </w:r>
    </w:p>
    <w:p>
      <w:pPr>
        <w:jc w:val="both"/>
      </w:pPr>
      <w:r>
        <w:t>全向源没有方向盲区，但其数量与频道未知。搜索代价不仅来自走到目标附近，还来自在尚未发现的频道上不断检测。若在同一检测点测得一个频道后立即长距离追踪，再回到该点测下一频道，移动次数会随发现源数增长。本文先完成同点需要的频道检测，再对所有已发现源统一安排追踪顺序，减少这种往返。</w:t>
      </w:r>
    </w:p>
    <w:p>
      <w:pPr>
        <w:jc w:val="both"/>
      </w:pPr>
      <w:r>
        <w:t>在原点从频道1连续扫描20个频道，检测和换频就需100+19=119 s，尚未计入移动与清除。由此可见，算法不能只优化欧氏路线长度，必须把扫描、追踪和清除的完整动作成本一并纳入。</w:t>
      </w:r>
    </w:p>
    <w:p>
      <w:pPr>
        <w:pStyle w:val="Heading2"/>
      </w:pPr>
      <w:r>
        <w:t>7.2 搜索候选与未发现源信念</w:t>
      </w:r>
    </w:p>
    <w:p>
      <w:pPr>
        <w:keepNext/>
        <w:jc w:val="both"/>
      </w:pPr>
      <w:r>
        <w:t>在目标周围建立基础覆盖格点，并加入较密的候选点。对每个候选检测位置，计算它能够覆盖的潜在源状态，用新覆盖状态数除以移动和剩余频道检测的估计时间，得到搜索价值：</w:t>
      </w:r>
    </w:p>
    <w:p>
      <w:pPr>
        <w:keepLines/>
        <w:ind w:firstLine="0"/>
        <w:jc w:val="center"/>
      </w:pPr>
      <m:oMath>
        <m:r>
          <m:t>U(s)=</m:t>
          <w:rPr>
            <w:rFonts w:ascii="Cambria Math" w:hAnsi="Cambria Math" w:eastAsia="Cambria Math"/>
          </w:rPr>
        </m:r>
        <m:f>
          <m:fPr>
            <m:type m:val="bar"/>
          </m:fPr>
          <m:num>
            <m:r>
              <m:t>Δ</m:t>
              <w:rPr>
                <w:rFonts w:ascii="Cambria Math" w:hAnsi="Cambria Math" w:eastAsia="Cambria Math"/>
              </w:rPr>
            </m:r>
            <m:sSub>
              <m:e>
                <m:r>
                  <m:t>n</m:t>
                  <w:rPr>
                    <w:rFonts w:ascii="Cambria Math" w:hAnsi="Cambria Math" w:eastAsia="Cambria Math"/>
                  </w:rPr>
                </m:r>
              </m:e>
              <m:sub>
                <m:r>
                  <m:rPr>
                    <m:sty m:val="p"/>
                  </m:rPr>
                  <m:t>vis</m:t>
                  <w:rPr>
                    <w:rFonts w:ascii="Cambria Math" w:hAnsi="Cambria Math" w:eastAsia="Cambria Math"/>
                  </w:rPr>
                </m:r>
              </m:sub>
            </m:sSub>
            <m:r>
              <m:t>(s)</m:t>
              <w:rPr>
                <w:rFonts w:ascii="Cambria Math" w:hAnsi="Cambria Math" w:eastAsia="Cambria Math"/>
              </w:rPr>
            </m:r>
          </m:num>
          <m:den>
            <m:r>
              <m:t>‖s−p‖/5+6max(1,</m:t>
              <w:rPr>
                <w:rFonts w:ascii="Cambria Math" w:hAnsi="Cambria Math" w:eastAsia="Cambria Math"/>
              </w:rPr>
            </m:r>
            <m:sSub>
              <m:e>
                <m:r>
                  <m:t>n</m:t>
                  <w:rPr>
                    <w:rFonts w:ascii="Cambria Math" w:hAnsi="Cambria Math" w:eastAsia="Cambria Math"/>
                  </w:rPr>
                </m:r>
              </m:e>
              <m:sub>
                <m:r>
                  <m:rPr>
                    <m:sty m:val="p"/>
                  </m:rPr>
                  <m:t>unknown</m:t>
                  <w:rPr>
                    <w:rFonts w:ascii="Cambria Math" w:hAnsi="Cambria Math" w:eastAsia="Cambria Math"/>
                  </w:rPr>
                </m:r>
              </m:sub>
            </m:sSub>
            <m:r>
              <m:t>)</m:t>
              <w:rPr>
                <w:rFonts w:ascii="Cambria Math" w:hAnsi="Cambria Math" w:eastAsia="Cambria Math"/>
              </w:rPr>
            </m:r>
          </m:den>
        </m:f>
        <m:r>
          <m:t>.</m:t>
          <w:rPr>
            <w:rFonts w:ascii="Cambria Math" w:hAnsi="Cambria Math" w:eastAsia="Cambria Math"/>
          </w:rPr>
        </m:r>
      </m:oMath>
      <w:r>
        <w:t xml:space="preserve">  (13)</w:t>
      </w:r>
    </w:p>
    <w:p>
      <w:pPr>
        <w:jc w:val="both"/>
      </w:pPr>
      <w:r>
        <w:t>其中分母的每频道6 s是候选排序用的近似代价；实际计时仍严格按式(4)。第三问把隐状态中的定向概率设为0，其他搜索模块与第四问共用。可见状态以位集编码，候选覆盖与当前未覆盖状态做位运算，减少重复距离计算。</w:t>
      </w:r>
    </w:p>
    <w:p>
      <w:pPr>
        <w:jc w:val="both"/>
      </w:pPr>
      <w:r>
        <w:t>在发现不足10个源时，题面最小源数已说明任务尚未完成，优先选择式(13)较大的点。发现达到10个后，算法模拟补充扫描直到达到停止后验，先选一组覆盖点，再计算从当前位置出发、不返回起点的短路线。选点数不超过10时使用精确开放路径，更多时使用最近邻加2-opt改善。每次默认只执行计划的第一步，再结合新观测更新计划。</w:t>
      </w:r>
    </w:p>
    <w:p>
      <w:pPr>
        <w:pStyle w:val="Heading2"/>
      </w:pPr>
      <w:r>
        <w:t>7.3 跨源联合路线和单源追踪</w:t>
      </w:r>
    </w:p>
    <w:p>
      <w:pPr>
        <w:jc w:val="both"/>
      </w:pPr>
      <w:r>
        <w:t>每个已发现频道的代表点由当前观测决定。只有一次示向时，沿示向射线做48段数值积分，以径向面积因子和可接收概率形成距离估计；多次示向时，可由区域质心估计目标位置。在joint配置中，满足条件时使用最小包围圆中心作为跨源路线代表点，它仅用于估计路程，不是隐藏坐标。</w:t>
      </w:r>
    </w:p>
    <w:p>
      <w:pPr>
        <w:keepNext/>
        <w:jc w:val="both"/>
      </w:pPr>
      <w:r>
        <w:t>设待服务频道有m个，从当前点到各代表点的成本为</w:t>
      </w:r>
      <m:oMath>
        <m:sSub>
          <m:e>
            <m:r>
              <m:t>d</m:t>
              <w:rPr>
                <w:rFonts w:ascii="Cambria Math" w:hAnsi="Cambria Math" w:eastAsia="Cambria Math"/>
              </w:rPr>
            </m:r>
          </m:e>
          <m:sub>
            <m:r>
              <m:t>0j</m:t>
              <w:rPr>
                <w:rFonts w:ascii="Cambria Math" w:hAnsi="Cambria Math" w:eastAsia="Cambria Math"/>
              </w:rPr>
            </m:r>
          </m:sub>
        </m:sSub>
      </m:oMath>
      <w:r>
        <w:t>，频道i到j的服务成本为</w:t>
      </w:r>
      <m:oMath>
        <m:sSub>
          <m:e>
            <m:r>
              <m:t>d</m:t>
              <w:rPr>
                <w:rFonts w:ascii="Cambria Math" w:hAnsi="Cambria Math" w:eastAsia="Cambria Math"/>
              </w:rPr>
            </m:r>
          </m:e>
          <m:sub>
            <m:r>
              <m:t>ij</m:t>
              <w:rPr>
                <w:rFonts w:ascii="Cambria Math" w:hAnsi="Cambria Math" w:eastAsia="Cambria Math"/>
              </w:rPr>
            </m:r>
          </m:sub>
        </m:sSub>
      </m:oMath>
      <w:r>
        <w:t>。固定当前位置、自由终点的路径采用子集动态规划：</w:t>
      </w:r>
    </w:p>
    <w:p>
      <w:pPr>
        <w:keepLines/>
        <w:ind w:firstLine="0"/>
        <w:jc w:val="center"/>
      </w:pPr>
      <m:oMath>
        <m:r>
          <m:t>F(A,j)=</m:t>
          <w:rPr>
            <w:rFonts w:ascii="Cambria Math" w:hAnsi="Cambria Math" w:eastAsia="Cambria Math"/>
          </w:rPr>
        </m:r>
        <m:sSub>
          <m:e>
            <m:r>
              <m:t>min</m:t>
              <w:rPr>
                <w:rFonts w:ascii="Cambria Math" w:hAnsi="Cambria Math" w:eastAsia="Cambria Math"/>
              </w:rPr>
            </m:r>
          </m:e>
          <m:sub>
            <m:r>
              <m:t>i∈A⧵{j}</m:t>
              <w:rPr>
                <w:rFonts w:ascii="Cambria Math" w:hAnsi="Cambria Math" w:eastAsia="Cambria Math"/>
              </w:rPr>
            </m:r>
          </m:sub>
        </m:sSub>
        <m:r>
          <m:t>{F(A⧵{j},i)+</m:t>
          <w:rPr>
            <w:rFonts w:ascii="Cambria Math" w:hAnsi="Cambria Math" w:eastAsia="Cambria Math"/>
          </w:rPr>
        </m:r>
        <m:sSub>
          <m:e>
            <m:r>
              <m:t>d</m:t>
              <w:rPr>
                <w:rFonts w:ascii="Cambria Math" w:hAnsi="Cambria Math" w:eastAsia="Cambria Math"/>
              </w:rPr>
            </m:r>
          </m:e>
          <m:sub>
            <m:r>
              <m:t>ij</m:t>
              <w:rPr>
                <w:rFonts w:ascii="Cambria Math" w:hAnsi="Cambria Math" w:eastAsia="Cambria Math"/>
              </w:rPr>
            </m:r>
          </m:sub>
        </m:sSub>
        <m:r>
          <m:t>},</m:t>
          <w:rPr>
            <w:rFonts w:ascii="Cambria Math" w:hAnsi="Cambria Math" w:eastAsia="Cambria Math"/>
          </w:rPr>
        </m:r>
        <m:r>
          <m:t>F({j},j)=</m:t>
          <w:rPr>
            <w:rFonts w:ascii="Cambria Math" w:hAnsi="Cambria Math" w:eastAsia="Cambria Math"/>
          </w:rPr>
        </m:r>
        <m:sSub>
          <m:e>
            <m:r>
              <m:t>d</m:t>
              <w:rPr>
                <w:rFonts w:ascii="Cambria Math" w:hAnsi="Cambria Math" w:eastAsia="Cambria Math"/>
              </w:rPr>
            </m:r>
          </m:e>
          <m:sub>
            <m:r>
              <m:t>0j</m:t>
              <w:rPr>
                <w:rFonts w:ascii="Cambria Math" w:hAnsi="Cambria Math" w:eastAsia="Cambria Math"/>
              </w:rPr>
            </m:r>
          </m:sub>
        </m:sSub>
        <m:r>
          <m:t>.</m:t>
          <w:rPr>
            <w:rFonts w:ascii="Cambria Math" w:hAnsi="Cambria Math" w:eastAsia="Cambria Math"/>
          </w:rPr>
        </m:r>
      </m:oMath>
      <w:r>
        <w:t xml:space="preserve">  (14)</w:t>
      </w:r>
    </w:p>
    <w:p>
      <w:pPr>
        <w:jc w:val="both"/>
      </w:pPr>
      <w:r>
        <w:t>从所有最终终点中取最小值即可得到该代价矩阵下的开放路径。动态规划时间复杂度为</w:t>
      </w:r>
      <m:oMath>
        <m:r>
          <m:t>O(</m:t>
          <w:rPr>
            <w:rFonts w:ascii="Cambria Math" w:hAnsi="Cambria Math" w:eastAsia="Cambria Math"/>
          </w:rPr>
        </m:r>
        <m:sSup>
          <m:e>
            <m:r>
              <m:t>m</m:t>
              <w:rPr>
                <w:rFonts w:ascii="Cambria Math" w:hAnsi="Cambria Math" w:eastAsia="Cambria Math"/>
              </w:rPr>
            </m:r>
          </m:e>
          <m:sup>
            <m:r>
              <m:t>2</m:t>
              <w:rPr>
                <w:rFonts w:ascii="Cambria Math" w:hAnsi="Cambria Math" w:eastAsia="Cambria Math"/>
              </w:rPr>
            </m:r>
          </m:sup>
        </m:sSup>
        <m:sSup>
          <m:e>
            <m:r>
              <m:t>2</m:t>
              <w:rPr>
                <w:rFonts w:ascii="Cambria Math" w:hAnsi="Cambria Math" w:eastAsia="Cambria Math"/>
              </w:rPr>
            </m:r>
          </m:e>
          <m:sup>
            <m:r>
              <m:t>m</m:t>
              <w:rPr>
                <w:rFonts w:ascii="Cambria Math" w:hAnsi="Cambria Math" w:eastAsia="Cambria Math"/>
              </w:rPr>
            </m:r>
          </m:sup>
        </m:sSup>
        <m:r>
          <m:t>)</m:t>
          <w:rPr>
            <w:rFonts w:ascii="Cambria Math" w:hAnsi="Cambria Math" w:eastAsia="Cambria Math"/>
          </w:rPr>
        </m:r>
      </m:oMath>
      <w:r>
        <w:t>、存储复杂度为</w:t>
      </w:r>
      <m:oMath>
        <m:r>
          <m:t>O(m</m:t>
          <w:rPr>
            <w:rFonts w:ascii="Cambria Math" w:hAnsi="Cambria Math" w:eastAsia="Cambria Math"/>
          </w:rPr>
        </m:r>
        <m:sSup>
          <m:e>
            <m:r>
              <m:t>2</m:t>
              <w:rPr>
                <w:rFonts w:ascii="Cambria Math" w:hAnsi="Cambria Math" w:eastAsia="Cambria Math"/>
              </w:rPr>
            </m:r>
          </m:e>
          <m:sup>
            <m:r>
              <m:t>m</m:t>
              <w:rPr>
                <w:rFonts w:ascii="Cambria Math" w:hAnsi="Cambria Math" w:eastAsia="Cambria Math"/>
              </w:rPr>
            </m:r>
          </m:sup>
        </m:sSup>
        <m:r>
          <m:t>)</m:t>
          <w:rPr>
            <w:rFonts w:ascii="Cambria Math" w:hAnsi="Cambria Math" w:eastAsia="Cambria Math"/>
          </w:rPr>
        </m:r>
      </m:oMath>
      <w:r>
        <w:t>；待服务源最多16个，适合此类小规模精确排序。该精确性仅针对当前代表点成本，不意味着整个部分可观测任务的全局最优。</w:t>
      </w:r>
    </w:p>
    <w:p>
      <w:pPr>
        <w:jc w:val="both"/>
      </w:pPr>
      <w:r>
        <w:t>接近一个源时，控制器持续测向并更新区域。默认单次示向前进尺度为350 m，多次示向后的追踪尺度为125 m。最小包围圆半径不超过19 m时，可在其圆心尝试清除；至少两次示向且半径不超过75 m时，允许到面积质心尝试提前清除，但75 m不是清除保证范围，失败后继续获得新观测。near反馈则触发当前位置清除。每次成功清除后，若当前位置扫描未发现频道的收益足够高，就复用该位置获得新信息。</w:t>
      </w:r>
    </w:p>
    <w:p>
      <w:pPr>
        <w:jc w:val="both"/>
      </w:pPr>
      <w:r>
        <w:t>joint的停止阈值为模型全发现后验0.998。程序还要求没有已发现而未处理完的源；发现达到16个时，利用题面源数上限结束额外发现扫描。0.998属于有限信念近似下的经验提前停止阈值，因此下文报告测试全清，不将其表述为任意输入的确定性保证。</w:t>
      </w:r>
    </w:p>
    <w:p>
      <w:pPr>
        <w:pStyle w:val="Heading2"/>
      </w:pPr>
      <w:r>
        <w:t>7.4 独立仿真与最优候选效果</w:t>
      </w:r>
    </w:p>
    <w:p>
      <w:pPr>
        <w:jc w:val="both"/>
      </w:pPr>
      <w:r>
        <w:t>先在相同100个随机场景上比较原分阶段策略与joint。两者均清除全部源，joint在96%的场景中更快。平均定位清除时间、路程与检测数如下。</w:t>
      </w:r>
    </w:p>
    <w:p>
      <w:pPr>
        <w:keepNext/>
        <w:ind w:firstLine="0"/>
        <w:jc w:val="center"/>
      </w:pPr>
      <w:r>
        <w:t>表4 问题三同种子策略比较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cantSplit/>
          <w:tblHeader/>
        </w:trPr>
        <w:tc>
          <w:tcPr>
            <w:tcW w:type="dxa" w:w="1837"/>
            <w:vAlign w:val="center"/>
            <w:shd w:fill="EFEFEF"/>
          </w:tcPr>
          <w:p>
            <w:pPr>
              <w:keepNext/>
              <w:spacing w:line="264" w:lineRule="auto" w:before="60" w:after="60"/>
              <w:ind w:firstLine="0"/>
              <w:jc w:val="center"/>
            </w:pPr>
            <w:r>
              <w:rPr>
                <w:b/>
                <w:sz w:val="19"/>
              </w:rPr>
              <w:t>策略</w:t>
            </w:r>
          </w:p>
        </w:tc>
        <w:tc>
          <w:tcPr>
            <w:tcW w:type="dxa" w:w="1837"/>
            <w:vAlign w:val="center"/>
            <w:shd w:fill="EFEFEF"/>
          </w:tcPr>
          <w:p>
            <w:pPr>
              <w:keepNext/>
              <w:spacing w:line="264" w:lineRule="auto" w:before="60" w:after="60"/>
              <w:ind w:firstLine="0"/>
              <w:jc w:val="center"/>
            </w:pPr>
            <w:r>
              <w:rPr>
                <w:b/>
                <w:sz w:val="19"/>
              </w:rPr>
              <w:t>全清率</w:t>
            </w:r>
          </w:p>
        </w:tc>
        <w:tc>
          <w:tcPr>
            <w:tcW w:type="dxa" w:w="1837"/>
            <w:vAlign w:val="center"/>
            <w:shd w:fill="EFEFEF"/>
          </w:tcPr>
          <w:p>
            <w:pPr>
              <w:keepNext/>
              <w:spacing w:line="264" w:lineRule="auto" w:before="60" w:after="60"/>
              <w:ind w:firstLine="0"/>
              <w:jc w:val="center"/>
            </w:pPr>
            <w:r>
              <w:rPr>
                <w:b/>
                <w:sz w:val="19"/>
              </w:rPr>
              <w:t>平均T/C</w:t>
              <w:br/>
              <w:t>s/源</w:t>
            </w:r>
          </w:p>
        </w:tc>
        <w:tc>
          <w:tcPr>
            <w:tcW w:type="dxa" w:w="1837"/>
            <w:vAlign w:val="center"/>
            <w:shd w:fill="EFEFEF"/>
          </w:tcPr>
          <w:p>
            <w:pPr>
              <w:keepNext/>
              <w:spacing w:line="264" w:lineRule="auto" w:before="60" w:after="60"/>
              <w:ind w:firstLine="0"/>
              <w:jc w:val="center"/>
            </w:pPr>
            <w:r>
              <w:rPr>
                <w:b/>
                <w:sz w:val="19"/>
              </w:rPr>
              <w:t>平均路程</w:t>
              <w:br/>
              <w:t>km</w:t>
            </w:r>
          </w:p>
        </w:tc>
        <w:tc>
          <w:tcPr>
            <w:tcW w:type="dxa" w:w="1837"/>
            <w:vAlign w:val="center"/>
            <w:shd w:fill="EFEFEF"/>
          </w:tcPr>
          <w:p>
            <w:pPr>
              <w:keepNext/>
              <w:spacing w:line="264" w:lineRule="auto" w:before="60" w:after="60"/>
              <w:ind w:firstLine="0"/>
              <w:jc w:val="center"/>
            </w:pPr>
            <w:r>
              <w:rPr>
                <w:b/>
                <w:sz w:val="19"/>
              </w:rPr>
              <w:t>检测次数</w:t>
            </w:r>
          </w:p>
        </w:tc>
      </w:tr>
      <w:tr>
        <w:trPr>
          <w:cantSplit/>
        </w:trPr>
        <w:tc>
          <w:tcPr>
            <w:tcW w:type="dxa" w:w="1837"/>
            <w:vAlign w:val="center"/>
          </w:tcPr>
          <w:p>
            <w:pPr>
              <w:keepNext/>
              <w:spacing w:line="264" w:lineRule="auto" w:before="60" w:after="60"/>
              <w:ind w:firstLine="0"/>
              <w:jc w:val="center"/>
            </w:pPr>
            <w:r>
              <w:rPr>
                <w:b w:val="0"/>
                <w:sz w:val="19"/>
              </w:rPr>
              <w:t>分阶段基线</w:t>
            </w:r>
          </w:p>
        </w:tc>
        <w:tc>
          <w:tcPr>
            <w:tcW w:type="dxa" w:w="1837"/>
            <w:vAlign w:val="center"/>
          </w:tcPr>
          <w:p>
            <w:pPr>
              <w:keepNext/>
              <w:spacing w:line="264" w:lineRule="auto" w:before="60" w:after="60"/>
              <w:ind w:firstLine="0"/>
              <w:jc w:val="center"/>
            </w:pPr>
            <w:r>
              <w:rPr>
                <w:b w:val="0"/>
                <w:sz w:val="19"/>
              </w:rPr>
              <w:t>100.00%</w:t>
            </w:r>
          </w:p>
        </w:tc>
        <w:tc>
          <w:tcPr>
            <w:tcW w:type="dxa" w:w="1837"/>
            <w:vAlign w:val="center"/>
          </w:tcPr>
          <w:p>
            <w:pPr>
              <w:keepNext/>
              <w:spacing w:line="264" w:lineRule="auto" w:before="60" w:after="60"/>
              <w:ind w:firstLine="0"/>
              <w:jc w:val="center"/>
            </w:pPr>
            <w:r>
              <w:rPr>
                <w:b w:val="0"/>
                <w:sz w:val="19"/>
              </w:rPr>
              <w:t>382.85</w:t>
            </w:r>
          </w:p>
        </w:tc>
        <w:tc>
          <w:tcPr>
            <w:tcW w:type="dxa" w:w="1837"/>
            <w:vAlign w:val="center"/>
          </w:tcPr>
          <w:p>
            <w:pPr>
              <w:keepNext/>
              <w:spacing w:line="264" w:lineRule="auto" w:before="60" w:after="60"/>
              <w:ind w:firstLine="0"/>
              <w:jc w:val="center"/>
            </w:pPr>
            <w:r>
              <w:rPr>
                <w:b w:val="0"/>
                <w:sz w:val="19"/>
              </w:rPr>
              <w:t>19.72</w:t>
            </w:r>
          </w:p>
        </w:tc>
        <w:tc>
          <w:tcPr>
            <w:tcW w:type="dxa" w:w="1837"/>
            <w:vAlign w:val="center"/>
          </w:tcPr>
          <w:p>
            <w:pPr>
              <w:keepNext/>
              <w:spacing w:line="264" w:lineRule="auto" w:before="60" w:after="60"/>
              <w:ind w:firstLine="0"/>
              <w:jc w:val="center"/>
            </w:pPr>
            <w:r>
              <w:rPr>
                <w:b w:val="0"/>
                <w:sz w:val="19"/>
              </w:rPr>
              <w:t>143.43</w:t>
            </w:r>
          </w:p>
        </w:tc>
      </w:tr>
      <w:tr>
        <w:trPr>
          <w:cantSplit/>
        </w:trPr>
        <w:tc>
          <w:tcPr>
            <w:tcW w:type="dxa" w:w="1837"/>
            <w:vAlign w:val="center"/>
          </w:tcPr>
          <w:p>
            <w:pPr>
              <w:spacing w:line="264" w:lineRule="auto" w:before="60" w:after="60"/>
              <w:ind w:firstLine="0"/>
              <w:jc w:val="center"/>
            </w:pPr>
            <w:r>
              <w:rPr>
                <w:b w:val="0"/>
                <w:sz w:val="19"/>
              </w:rPr>
              <w:t>联合策略joint</w:t>
            </w:r>
          </w:p>
        </w:tc>
        <w:tc>
          <w:tcPr>
            <w:tcW w:type="dxa" w:w="1837"/>
            <w:vAlign w:val="center"/>
          </w:tcPr>
          <w:p>
            <w:pPr>
              <w:spacing w:line="264" w:lineRule="auto" w:before="60" w:after="60"/>
              <w:ind w:firstLine="0"/>
              <w:jc w:val="center"/>
            </w:pPr>
            <w:r>
              <w:rPr>
                <w:b w:val="0"/>
                <w:sz w:val="19"/>
              </w:rPr>
              <w:t>100.00%</w:t>
            </w:r>
          </w:p>
        </w:tc>
        <w:tc>
          <w:tcPr>
            <w:tcW w:type="dxa" w:w="1837"/>
            <w:vAlign w:val="center"/>
          </w:tcPr>
          <w:p>
            <w:pPr>
              <w:spacing w:line="264" w:lineRule="auto" w:before="60" w:after="60"/>
              <w:ind w:firstLine="0"/>
              <w:jc w:val="center"/>
            </w:pPr>
            <w:r>
              <w:rPr>
                <w:b w:val="0"/>
                <w:sz w:val="19"/>
              </w:rPr>
              <w:t>315.84</w:t>
            </w:r>
          </w:p>
        </w:tc>
        <w:tc>
          <w:tcPr>
            <w:tcW w:type="dxa" w:w="1837"/>
            <w:vAlign w:val="center"/>
          </w:tcPr>
          <w:p>
            <w:pPr>
              <w:spacing w:line="264" w:lineRule="auto" w:before="60" w:after="60"/>
              <w:ind w:firstLine="0"/>
              <w:jc w:val="center"/>
            </w:pPr>
            <w:r>
              <w:rPr>
                <w:b w:val="0"/>
                <w:sz w:val="19"/>
              </w:rPr>
              <w:t>13.62</w:t>
            </w:r>
          </w:p>
        </w:tc>
        <w:tc>
          <w:tcPr>
            <w:tcW w:type="dxa" w:w="1837"/>
            <w:vAlign w:val="center"/>
          </w:tcPr>
          <w:p>
            <w:pPr>
              <w:spacing w:line="264" w:lineRule="auto" w:before="60" w:after="60"/>
              <w:ind w:firstLine="0"/>
              <w:jc w:val="center"/>
            </w:pPr>
            <w:r>
              <w:rPr>
                <w:b w:val="0"/>
                <w:sz w:val="19"/>
              </w:rPr>
              <w:t>204.13</w:t>
            </w:r>
          </w:p>
        </w:tc>
      </w:tr>
    </w:tbl>
    <w:p>
      <w:pPr>
        <w:spacing w:after="40" w:before="0" w:line="72" w:lineRule="auto"/>
      </w:pPr>
    </w:p>
    <w:p>
      <w:pPr>
        <w:jc w:val="both"/>
      </w:pPr>
      <w:r>
        <w:t>逐局相对节时的平均值为17.94%，与“两个总均值直接相除”的统计含义不同。联合策略的检测数增加，但平均路程明显下降，说明额外同点观测换来了更少的往返移动；最终总虚拟时间仍降低。</w:t>
      </w:r>
    </w:p>
    <w:p>
      <w:pPr>
        <w:jc w:val="both"/>
      </w:pPr>
      <w:r>
        <w:t>进一步按真实源数10至16各生成100个场景检验joint，结果见表。每组固定同一个策略配置，既不混合不同模型，也不按测试结果为每个场景临时选择最快模型。</w:t>
      </w:r>
    </w:p>
    <w:p>
      <w:pPr>
        <w:keepNext/>
        <w:ind w:firstLine="0"/>
        <w:jc w:val="center"/>
      </w:pPr>
      <w:r>
        <w:t>表5 问题三joint源数分层结果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587"/>
        <w:gridCol w:w="1531"/>
        <w:gridCol w:w="1417"/>
        <w:gridCol w:w="1757"/>
        <w:gridCol w:w="1644"/>
      </w:tblGrid>
      <w:tr>
        <w:trPr>
          <w:cantSplit/>
          <w:tblHeader/>
        </w:trPr>
        <w:tc>
          <w:tcPr>
            <w:tcW w:type="dxa" w:w="1247"/>
            <w:vAlign w:val="center"/>
            <w:shd w:fill="EFEFEF"/>
          </w:tcPr>
          <w:p>
            <w:pPr>
              <w:keepNext/>
              <w:spacing w:line="264" w:lineRule="auto" w:before="60" w:after="60"/>
              <w:ind w:firstLine="0"/>
              <w:jc w:val="center"/>
            </w:pPr>
            <w:r>
              <w:rPr>
                <w:b/>
                <w:sz w:val="19"/>
              </w:rPr>
              <w:t>真实源数</w:t>
            </w:r>
          </w:p>
        </w:tc>
        <w:tc>
          <w:tcPr>
            <w:tcW w:type="dxa" w:w="1587"/>
            <w:vAlign w:val="center"/>
            <w:shd w:fill="EFEFEF"/>
          </w:tcPr>
          <w:p>
            <w:pPr>
              <w:keepNext/>
              <w:spacing w:line="264" w:lineRule="auto" w:before="60" w:after="60"/>
              <w:ind w:firstLine="0"/>
              <w:jc w:val="center"/>
            </w:pPr>
            <w:r>
              <w:rPr>
                <w:b/>
                <w:sz w:val="19"/>
              </w:rPr>
              <w:t>源级清除率</w:t>
            </w:r>
          </w:p>
        </w:tc>
        <w:tc>
          <w:tcPr>
            <w:tcW w:type="dxa" w:w="1531"/>
            <w:vAlign w:val="center"/>
            <w:shd w:fill="EFEFEF"/>
          </w:tcPr>
          <w:p>
            <w:pPr>
              <w:keepNext/>
              <w:spacing w:line="264" w:lineRule="auto" w:before="60" w:after="60"/>
              <w:ind w:firstLine="0"/>
              <w:jc w:val="center"/>
            </w:pPr>
            <w:r>
              <w:rPr>
                <w:b/>
                <w:sz w:val="19"/>
              </w:rPr>
              <w:t>全清率</w:t>
            </w:r>
          </w:p>
        </w:tc>
        <w:tc>
          <w:tcPr>
            <w:tcW w:type="dxa" w:w="1417"/>
            <w:vAlign w:val="center"/>
            <w:shd w:fill="EFEFEF"/>
          </w:tcPr>
          <w:p>
            <w:pPr>
              <w:keepNext/>
              <w:spacing w:line="264" w:lineRule="auto" w:before="60" w:after="60"/>
              <w:ind w:firstLine="0"/>
              <w:jc w:val="center"/>
            </w:pPr>
            <w:r>
              <w:rPr>
                <w:b/>
                <w:sz w:val="19"/>
              </w:rPr>
              <w:t>平均T/C</w:t>
              <w:br/>
              <w:t>s/源</w:t>
            </w:r>
          </w:p>
        </w:tc>
        <w:tc>
          <w:tcPr>
            <w:tcW w:type="dxa" w:w="1757"/>
            <w:vAlign w:val="center"/>
            <w:shd w:fill="EFEFEF"/>
          </w:tcPr>
          <w:p>
            <w:pPr>
              <w:keepNext/>
              <w:spacing w:line="264" w:lineRule="auto" w:before="60" w:after="60"/>
              <w:ind w:firstLine="0"/>
              <w:jc w:val="center"/>
            </w:pPr>
            <w:r>
              <w:rPr>
                <w:b/>
                <w:sz w:val="19"/>
              </w:rPr>
              <w:t>整局时间</w:t>
              <w:br/>
              <w:t>s</w:t>
            </w:r>
          </w:p>
        </w:tc>
        <w:tc>
          <w:tcPr>
            <w:tcW w:type="dxa" w:w="1644"/>
            <w:vAlign w:val="center"/>
            <w:shd w:fill="EFEFEF"/>
          </w:tcPr>
          <w:p>
            <w:pPr>
              <w:keepNext/>
              <w:spacing w:line="264" w:lineRule="auto" w:before="60" w:after="60"/>
              <w:ind w:firstLine="0"/>
              <w:jc w:val="center"/>
            </w:pPr>
            <w:r>
              <w:rPr>
                <w:b/>
                <w:sz w:val="19"/>
              </w:rPr>
              <w:t>路程</w:t>
              <w:br/>
              <w:t>km</w:t>
            </w:r>
          </w:p>
        </w:tc>
      </w:tr>
      <w:tr>
        <w:trPr>
          <w:cantSplit/>
        </w:trPr>
        <w:tc>
          <w:tcPr>
            <w:tcW w:type="dxa" w:w="1247"/>
            <w:vAlign w:val="center"/>
          </w:tcPr>
          <w:p>
            <w:pPr>
              <w:keepNext/>
              <w:spacing w:line="264" w:lineRule="auto" w:before="60" w:after="60"/>
              <w:ind w:firstLine="0"/>
              <w:jc w:val="center"/>
            </w:pPr>
            <w:r>
              <w:rPr>
                <w:b w:val="0"/>
                <w:sz w:val="19"/>
              </w:rPr>
              <w:t>10</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403.12</w:t>
            </w:r>
          </w:p>
        </w:tc>
        <w:tc>
          <w:tcPr>
            <w:tcW w:type="dxa" w:w="1757"/>
            <w:vAlign w:val="center"/>
          </w:tcPr>
          <w:p>
            <w:pPr>
              <w:keepNext/>
              <w:spacing w:line="264" w:lineRule="auto" w:before="60" w:after="60"/>
              <w:ind w:firstLine="0"/>
              <w:jc w:val="center"/>
            </w:pPr>
            <w:r>
              <w:rPr>
                <w:b w:val="0"/>
                <w:sz w:val="19"/>
              </w:rPr>
              <w:t>4031.22</w:t>
            </w:r>
          </w:p>
        </w:tc>
        <w:tc>
          <w:tcPr>
            <w:tcW w:type="dxa" w:w="1644"/>
            <w:vAlign w:val="center"/>
          </w:tcPr>
          <w:p>
            <w:pPr>
              <w:keepNext/>
              <w:spacing w:line="264" w:lineRule="auto" w:before="60" w:after="60"/>
              <w:ind w:firstLine="0"/>
              <w:jc w:val="center"/>
            </w:pPr>
            <w:r>
              <w:rPr>
                <w:b w:val="0"/>
                <w:sz w:val="19"/>
              </w:rPr>
              <w:t>13.71</w:t>
            </w:r>
          </w:p>
        </w:tc>
      </w:tr>
      <w:tr>
        <w:trPr>
          <w:cantSplit/>
        </w:trPr>
        <w:tc>
          <w:tcPr>
            <w:tcW w:type="dxa" w:w="1247"/>
            <w:vAlign w:val="center"/>
          </w:tcPr>
          <w:p>
            <w:pPr>
              <w:keepNext/>
              <w:spacing w:line="264" w:lineRule="auto" w:before="60" w:after="60"/>
              <w:ind w:firstLine="0"/>
              <w:jc w:val="center"/>
            </w:pPr>
            <w:r>
              <w:rPr>
                <w:b w:val="0"/>
                <w:sz w:val="19"/>
              </w:rPr>
              <w:t>11</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365.85</w:t>
            </w:r>
          </w:p>
        </w:tc>
        <w:tc>
          <w:tcPr>
            <w:tcW w:type="dxa" w:w="1757"/>
            <w:vAlign w:val="center"/>
          </w:tcPr>
          <w:p>
            <w:pPr>
              <w:keepNext/>
              <w:spacing w:line="264" w:lineRule="auto" w:before="60" w:after="60"/>
              <w:ind w:firstLine="0"/>
              <w:jc w:val="center"/>
            </w:pPr>
            <w:r>
              <w:rPr>
                <w:b w:val="0"/>
                <w:sz w:val="19"/>
              </w:rPr>
              <w:t>4024.38</w:t>
            </w:r>
          </w:p>
        </w:tc>
        <w:tc>
          <w:tcPr>
            <w:tcW w:type="dxa" w:w="1644"/>
            <w:vAlign w:val="center"/>
          </w:tcPr>
          <w:p>
            <w:pPr>
              <w:keepNext/>
              <w:spacing w:line="264" w:lineRule="auto" w:before="60" w:after="60"/>
              <w:ind w:firstLine="0"/>
              <w:jc w:val="center"/>
            </w:pPr>
            <w:r>
              <w:rPr>
                <w:b w:val="0"/>
                <w:sz w:val="19"/>
              </w:rPr>
              <w:t>13.79</w:t>
            </w:r>
          </w:p>
        </w:tc>
      </w:tr>
      <w:tr>
        <w:trPr>
          <w:cantSplit/>
        </w:trPr>
        <w:tc>
          <w:tcPr>
            <w:tcW w:type="dxa" w:w="1247"/>
            <w:vAlign w:val="center"/>
          </w:tcPr>
          <w:p>
            <w:pPr>
              <w:keepNext/>
              <w:spacing w:line="264" w:lineRule="auto" w:before="60" w:after="60"/>
              <w:ind w:firstLine="0"/>
              <w:jc w:val="center"/>
            </w:pPr>
            <w:r>
              <w:rPr>
                <w:b w:val="0"/>
                <w:sz w:val="19"/>
              </w:rPr>
              <w:t>12</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336.18</w:t>
            </w:r>
          </w:p>
        </w:tc>
        <w:tc>
          <w:tcPr>
            <w:tcW w:type="dxa" w:w="1757"/>
            <w:vAlign w:val="center"/>
          </w:tcPr>
          <w:p>
            <w:pPr>
              <w:keepNext/>
              <w:spacing w:line="264" w:lineRule="auto" w:before="60" w:after="60"/>
              <w:ind w:firstLine="0"/>
              <w:jc w:val="center"/>
            </w:pPr>
            <w:r>
              <w:rPr>
                <w:b w:val="0"/>
                <w:sz w:val="19"/>
              </w:rPr>
              <w:t>4034.14</w:t>
            </w:r>
          </w:p>
        </w:tc>
        <w:tc>
          <w:tcPr>
            <w:tcW w:type="dxa" w:w="1644"/>
            <w:vAlign w:val="center"/>
          </w:tcPr>
          <w:p>
            <w:pPr>
              <w:keepNext/>
              <w:spacing w:line="264" w:lineRule="auto" w:before="60" w:after="60"/>
              <w:ind w:firstLine="0"/>
              <w:jc w:val="center"/>
            </w:pPr>
            <w:r>
              <w:rPr>
                <w:b w:val="0"/>
                <w:sz w:val="19"/>
              </w:rPr>
              <w:t>13.76</w:t>
            </w:r>
          </w:p>
        </w:tc>
      </w:tr>
      <w:tr>
        <w:trPr>
          <w:cantSplit/>
        </w:trPr>
        <w:tc>
          <w:tcPr>
            <w:tcW w:type="dxa" w:w="1247"/>
            <w:vAlign w:val="center"/>
          </w:tcPr>
          <w:p>
            <w:pPr>
              <w:keepNext/>
              <w:spacing w:line="264" w:lineRule="auto" w:before="60" w:after="60"/>
              <w:ind w:firstLine="0"/>
              <w:jc w:val="center"/>
            </w:pPr>
            <w:r>
              <w:rPr>
                <w:b w:val="0"/>
                <w:sz w:val="19"/>
              </w:rPr>
              <w:t>13</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305.40</w:t>
            </w:r>
          </w:p>
        </w:tc>
        <w:tc>
          <w:tcPr>
            <w:tcW w:type="dxa" w:w="1757"/>
            <w:vAlign w:val="center"/>
          </w:tcPr>
          <w:p>
            <w:pPr>
              <w:keepNext/>
              <w:spacing w:line="264" w:lineRule="auto" w:before="60" w:after="60"/>
              <w:ind w:firstLine="0"/>
              <w:jc w:val="center"/>
            </w:pPr>
            <w:r>
              <w:rPr>
                <w:b w:val="0"/>
                <w:sz w:val="19"/>
              </w:rPr>
              <w:t>3970.17</w:t>
            </w:r>
          </w:p>
        </w:tc>
        <w:tc>
          <w:tcPr>
            <w:tcW w:type="dxa" w:w="1644"/>
            <w:vAlign w:val="center"/>
          </w:tcPr>
          <w:p>
            <w:pPr>
              <w:keepNext/>
              <w:spacing w:line="264" w:lineRule="auto" w:before="60" w:after="60"/>
              <w:ind w:firstLine="0"/>
              <w:jc w:val="center"/>
            </w:pPr>
            <w:r>
              <w:rPr>
                <w:b w:val="0"/>
                <w:sz w:val="19"/>
              </w:rPr>
              <w:t>13.58</w:t>
            </w:r>
          </w:p>
        </w:tc>
      </w:tr>
      <w:tr>
        <w:trPr>
          <w:cantSplit/>
        </w:trPr>
        <w:tc>
          <w:tcPr>
            <w:tcW w:type="dxa" w:w="1247"/>
            <w:vAlign w:val="center"/>
          </w:tcPr>
          <w:p>
            <w:pPr>
              <w:keepNext/>
              <w:spacing w:line="264" w:lineRule="auto" w:before="60" w:after="60"/>
              <w:ind w:firstLine="0"/>
              <w:jc w:val="center"/>
            </w:pPr>
            <w:r>
              <w:rPr>
                <w:b w:val="0"/>
                <w:sz w:val="19"/>
              </w:rPr>
              <w:t>14</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285.76</w:t>
            </w:r>
          </w:p>
        </w:tc>
        <w:tc>
          <w:tcPr>
            <w:tcW w:type="dxa" w:w="1757"/>
            <w:vAlign w:val="center"/>
          </w:tcPr>
          <w:p>
            <w:pPr>
              <w:keepNext/>
              <w:spacing w:line="264" w:lineRule="auto" w:before="60" w:after="60"/>
              <w:ind w:firstLine="0"/>
              <w:jc w:val="center"/>
            </w:pPr>
            <w:r>
              <w:rPr>
                <w:b w:val="0"/>
                <w:sz w:val="19"/>
              </w:rPr>
              <w:t>4000.61</w:t>
            </w:r>
          </w:p>
        </w:tc>
        <w:tc>
          <w:tcPr>
            <w:tcW w:type="dxa" w:w="1644"/>
            <w:vAlign w:val="center"/>
          </w:tcPr>
          <w:p>
            <w:pPr>
              <w:keepNext/>
              <w:spacing w:line="264" w:lineRule="auto" w:before="60" w:after="60"/>
              <w:ind w:firstLine="0"/>
              <w:jc w:val="center"/>
            </w:pPr>
            <w:r>
              <w:rPr>
                <w:b w:val="0"/>
                <w:sz w:val="19"/>
              </w:rPr>
              <w:t>13.73</w:t>
            </w:r>
          </w:p>
        </w:tc>
      </w:tr>
      <w:tr>
        <w:trPr>
          <w:cantSplit/>
        </w:trPr>
        <w:tc>
          <w:tcPr>
            <w:tcW w:type="dxa" w:w="1247"/>
            <w:vAlign w:val="center"/>
          </w:tcPr>
          <w:p>
            <w:pPr>
              <w:keepNext/>
              <w:spacing w:line="264" w:lineRule="auto" w:before="60" w:after="60"/>
              <w:ind w:firstLine="0"/>
              <w:jc w:val="center"/>
            </w:pPr>
            <w:r>
              <w:rPr>
                <w:b w:val="0"/>
                <w:sz w:val="19"/>
              </w:rPr>
              <w:t>15</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271.94</w:t>
            </w:r>
          </w:p>
        </w:tc>
        <w:tc>
          <w:tcPr>
            <w:tcW w:type="dxa" w:w="1757"/>
            <w:vAlign w:val="center"/>
          </w:tcPr>
          <w:p>
            <w:pPr>
              <w:keepNext/>
              <w:spacing w:line="264" w:lineRule="auto" w:before="60" w:after="60"/>
              <w:ind w:firstLine="0"/>
              <w:jc w:val="center"/>
            </w:pPr>
            <w:r>
              <w:rPr>
                <w:b w:val="0"/>
                <w:sz w:val="19"/>
              </w:rPr>
              <w:t>4079.08</w:t>
            </w:r>
          </w:p>
        </w:tc>
        <w:tc>
          <w:tcPr>
            <w:tcW w:type="dxa" w:w="1644"/>
            <w:vAlign w:val="center"/>
          </w:tcPr>
          <w:p>
            <w:pPr>
              <w:keepNext/>
              <w:spacing w:line="264" w:lineRule="auto" w:before="60" w:after="60"/>
              <w:ind w:firstLine="0"/>
              <w:jc w:val="center"/>
            </w:pPr>
            <w:r>
              <w:rPr>
                <w:b w:val="0"/>
                <w:sz w:val="19"/>
              </w:rPr>
              <w:t>14.10</w:t>
            </w:r>
          </w:p>
        </w:tc>
      </w:tr>
      <w:tr>
        <w:trPr>
          <w:cantSplit/>
        </w:trPr>
        <w:tc>
          <w:tcPr>
            <w:tcW w:type="dxa" w:w="1247"/>
            <w:vAlign w:val="center"/>
          </w:tcPr>
          <w:p>
            <w:pPr>
              <w:spacing w:line="264" w:lineRule="auto" w:before="60" w:after="60"/>
              <w:ind w:firstLine="0"/>
              <w:jc w:val="center"/>
            </w:pPr>
            <w:r>
              <w:rPr>
                <w:b w:val="0"/>
                <w:sz w:val="19"/>
              </w:rPr>
              <w:t>16</w:t>
            </w:r>
          </w:p>
        </w:tc>
        <w:tc>
          <w:tcPr>
            <w:tcW w:type="dxa" w:w="1587"/>
            <w:vAlign w:val="center"/>
          </w:tcPr>
          <w:p>
            <w:pPr>
              <w:spacing w:line="264" w:lineRule="auto" w:before="60" w:after="60"/>
              <w:ind w:firstLine="0"/>
              <w:jc w:val="center"/>
            </w:pPr>
            <w:r>
              <w:rPr>
                <w:b w:val="0"/>
                <w:sz w:val="19"/>
              </w:rPr>
              <w:t>100.0000%</w:t>
            </w:r>
          </w:p>
        </w:tc>
        <w:tc>
          <w:tcPr>
            <w:tcW w:type="dxa" w:w="1531"/>
            <w:vAlign w:val="center"/>
          </w:tcPr>
          <w:p>
            <w:pPr>
              <w:spacing w:line="264" w:lineRule="auto" w:before="60" w:after="60"/>
              <w:ind w:firstLine="0"/>
              <w:jc w:val="center"/>
            </w:pPr>
            <w:r>
              <w:rPr>
                <w:b w:val="0"/>
                <w:sz w:val="19"/>
              </w:rPr>
              <w:t>100.00%</w:t>
            </w:r>
          </w:p>
        </w:tc>
        <w:tc>
          <w:tcPr>
            <w:tcW w:type="dxa" w:w="1417"/>
            <w:vAlign w:val="center"/>
          </w:tcPr>
          <w:p>
            <w:pPr>
              <w:spacing w:line="264" w:lineRule="auto" w:before="60" w:after="60"/>
              <w:ind w:firstLine="0"/>
              <w:jc w:val="center"/>
            </w:pPr>
            <w:r>
              <w:rPr>
                <w:b w:val="0"/>
                <w:sz w:val="19"/>
              </w:rPr>
              <w:t>225.99</w:t>
            </w:r>
          </w:p>
        </w:tc>
        <w:tc>
          <w:tcPr>
            <w:tcW w:type="dxa" w:w="1757"/>
            <w:vAlign w:val="center"/>
          </w:tcPr>
          <w:p>
            <w:pPr>
              <w:spacing w:line="264" w:lineRule="auto" w:before="60" w:after="60"/>
              <w:ind w:firstLine="0"/>
              <w:jc w:val="center"/>
            </w:pPr>
            <w:r>
              <w:rPr>
                <w:b w:val="0"/>
                <w:sz w:val="19"/>
              </w:rPr>
              <w:t>3615.87</w:t>
            </w:r>
          </w:p>
        </w:tc>
        <w:tc>
          <w:tcPr>
            <w:tcW w:type="dxa" w:w="1644"/>
            <w:vAlign w:val="center"/>
          </w:tcPr>
          <w:p>
            <w:pPr>
              <w:spacing w:line="264" w:lineRule="auto" w:before="60" w:after="60"/>
              <w:ind w:firstLine="0"/>
              <w:jc w:val="center"/>
            </w:pPr>
            <w:r>
              <w:rPr>
                <w:b w:val="0"/>
                <w:sz w:val="19"/>
              </w:rPr>
              <w:t>12.33</w:t>
            </w:r>
          </w:p>
        </w:tc>
      </w:tr>
    </w:tbl>
    <w:p>
      <w:pPr>
        <w:spacing w:after="40" w:before="0" w:line="72" w:lineRule="auto"/>
      </w:pPr>
    </w:p>
    <w:p>
      <w:pPr>
        <w:jc w:val="both"/>
      </w:pPr>
      <w:r>
        <w:t>700局共包含9100个源，清除9100个；源级清除率为100.0000%，整局全清率为100.00%。逐局平均定位清除时间为313.46 s/已清源，按真实源加权的时间为305.01 s/真实源。</w:t>
      </w:r>
    </w:p>
    <w:p>
      <w:pPr>
        <w:jc w:val="both"/>
      </w:pPr>
      <w:r>
        <w:t>10至15源场景的整局总时间相近，增加源数会摊薄为确认剩余频道所付出的搜索时间；16源达到上限后无需继续证明“是否还有一个源”，因此每源耗时更低。不能仅挑16源档的225.99 s/源替代所有未知源数的平均表现。</w:t>
      </w:r>
    </w:p>
    <w:p>
      <w:pPr>
        <w:ind w:firstLine="0"/>
        <w:jc w:val="both"/>
      </w:pPr>
      <w:r>
        <w:rPr>
          <w:color w:val="555555"/>
          <w:sz w:val="20"/>
        </w:rPr>
        <w:t>【图5待绘：100局同种子基线与joint的时间散点及代表性同场景路径。图6待绘：七局官方joint演练的累计成功清除曲线，完整保留不同源数的信息。】</w:t>
      </w:r>
    </w:p>
    <w:p>
      <w:pPr>
        <w:pStyle w:val="Heading2"/>
      </w:pPr>
      <w:r>
        <w:t>7.5 官方演练与正式测试记录</w:t>
      </w:r>
    </w:p>
    <w:p>
      <w:pPr>
        <w:jc w:val="both"/>
      </w:pPr>
      <w:r>
        <w:t>七局joint官方演练结果如下。程序运行时间取模拟器最终统计的毫秒字段，平均定位清除时间由官方虚拟时间除以已清除数计算。</w:t>
      </w:r>
    </w:p>
    <w:p>
      <w:pPr>
        <w:keepNext/>
        <w:ind w:firstLine="0"/>
        <w:jc w:val="center"/>
      </w:pPr>
      <w:r>
        <w:t>表6 问题三官方演练结果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814"/>
        <w:gridCol w:w="2041"/>
        <w:gridCol w:w="2381"/>
      </w:tblGrid>
      <w:tr>
        <w:trPr>
          <w:cantSplit/>
          <w:tblHeader/>
        </w:trPr>
        <w:tc>
          <w:tcPr>
            <w:tcW w:type="dxa" w:w="2948"/>
            <w:vAlign w:val="center"/>
            <w:shd w:fill="EFEFEF"/>
          </w:tcPr>
          <w:p>
            <w:pPr>
              <w:keepNext/>
              <w:spacing w:line="264" w:lineRule="auto" w:before="60" w:after="60"/>
              <w:ind w:firstLine="0"/>
              <w:jc w:val="center"/>
            </w:pPr>
            <w:r>
              <w:rPr>
                <w:b/>
                <w:sz w:val="20"/>
              </w:rPr>
              <w:t>演练案例编码</w:t>
            </w:r>
          </w:p>
        </w:tc>
        <w:tc>
          <w:tcPr>
            <w:tcW w:type="dxa" w:w="1814"/>
            <w:vAlign w:val="center"/>
            <w:shd w:fill="EFEFEF"/>
          </w:tcPr>
          <w:p>
            <w:pPr>
              <w:keepNext/>
              <w:spacing w:line="264" w:lineRule="auto" w:before="60" w:after="60"/>
              <w:ind w:firstLine="0"/>
              <w:jc w:val="center"/>
            </w:pPr>
            <w:r>
              <w:rPr>
                <w:b/>
                <w:sz w:val="20"/>
              </w:rPr>
              <w:t>清除数/真实数</w:t>
            </w:r>
          </w:p>
        </w:tc>
        <w:tc>
          <w:tcPr>
            <w:tcW w:type="dxa" w:w="2041"/>
            <w:vAlign w:val="center"/>
            <w:shd w:fill="EFEFEF"/>
          </w:tcPr>
          <w:p>
            <w:pPr>
              <w:keepNext/>
              <w:spacing w:line="264" w:lineRule="auto" w:before="60" w:after="60"/>
              <w:ind w:firstLine="0"/>
              <w:jc w:val="center"/>
            </w:pPr>
            <w:r>
              <w:rPr>
                <w:b/>
                <w:sz w:val="20"/>
              </w:rPr>
              <w:t>平均T/C</w:t>
              <w:br/>
              <w:t>s/源</w:t>
            </w:r>
          </w:p>
        </w:tc>
        <w:tc>
          <w:tcPr>
            <w:tcW w:type="dxa" w:w="2381"/>
            <w:vAlign w:val="center"/>
            <w:shd w:fill="EFEFEF"/>
          </w:tcPr>
          <w:p>
            <w:pPr>
              <w:keepNext/>
              <w:spacing w:line="264" w:lineRule="auto" w:before="60" w:after="60"/>
              <w:ind w:firstLine="0"/>
              <w:jc w:val="center"/>
            </w:pPr>
            <w:r>
              <w:rPr>
                <w:b/>
                <w:sz w:val="20"/>
              </w:rPr>
              <w:t>官方运行时间</w:t>
              <w:br/>
              <w:t>s</w:t>
            </w:r>
          </w:p>
        </w:tc>
      </w:tr>
      <w:tr>
        <w:trPr>
          <w:cantSplit/>
        </w:trPr>
        <w:tc>
          <w:tcPr>
            <w:tcW w:type="dxa" w:w="2948"/>
            <w:vAlign w:val="center"/>
          </w:tcPr>
          <w:p>
            <w:pPr>
              <w:keepNext/>
              <w:spacing w:line="264" w:lineRule="auto" w:before="60" w:after="60"/>
              <w:ind w:firstLine="0"/>
              <w:jc w:val="center"/>
            </w:pPr>
            <w:r>
              <w:rPr>
                <w:b w:val="0"/>
                <w:sz w:val="20"/>
              </w:rPr>
              <w:t>DCW9-EGMB-UNUX-6RA6</w:t>
            </w:r>
          </w:p>
        </w:tc>
        <w:tc>
          <w:tcPr>
            <w:tcW w:type="dxa" w:w="1814"/>
            <w:vAlign w:val="center"/>
          </w:tcPr>
          <w:p>
            <w:pPr>
              <w:keepNext/>
              <w:spacing w:line="264" w:lineRule="auto" w:before="60" w:after="60"/>
              <w:ind w:firstLine="0"/>
              <w:jc w:val="center"/>
            </w:pPr>
            <w:r>
              <w:rPr>
                <w:b w:val="0"/>
                <w:sz w:val="20"/>
              </w:rPr>
              <w:t>15/15</w:t>
            </w:r>
          </w:p>
        </w:tc>
        <w:tc>
          <w:tcPr>
            <w:tcW w:type="dxa" w:w="2041"/>
            <w:vAlign w:val="center"/>
          </w:tcPr>
          <w:p>
            <w:pPr>
              <w:keepNext/>
              <w:spacing w:line="264" w:lineRule="auto" w:before="60" w:after="60"/>
              <w:ind w:firstLine="0"/>
              <w:jc w:val="center"/>
            </w:pPr>
            <w:r>
              <w:rPr>
                <w:b w:val="0"/>
                <w:sz w:val="20"/>
              </w:rPr>
              <w:t>248.24</w:t>
            </w:r>
          </w:p>
        </w:tc>
        <w:tc>
          <w:tcPr>
            <w:tcW w:type="dxa" w:w="2381"/>
            <w:vAlign w:val="center"/>
          </w:tcPr>
          <w:p>
            <w:pPr>
              <w:keepNext/>
              <w:spacing w:line="264" w:lineRule="auto" w:before="60" w:after="60"/>
              <w:ind w:firstLine="0"/>
              <w:jc w:val="center"/>
            </w:pPr>
            <w:r>
              <w:rPr>
                <w:b w:val="0"/>
                <w:sz w:val="20"/>
              </w:rPr>
              <w:t>2.868</w:t>
            </w:r>
          </w:p>
        </w:tc>
      </w:tr>
      <w:tr>
        <w:trPr>
          <w:cantSplit/>
        </w:trPr>
        <w:tc>
          <w:tcPr>
            <w:tcW w:type="dxa" w:w="2948"/>
            <w:vAlign w:val="center"/>
          </w:tcPr>
          <w:p>
            <w:pPr>
              <w:keepNext/>
              <w:spacing w:line="264" w:lineRule="auto" w:before="60" w:after="60"/>
              <w:ind w:firstLine="0"/>
              <w:jc w:val="center"/>
            </w:pPr>
            <w:r>
              <w:rPr>
                <w:b w:val="0"/>
                <w:sz w:val="20"/>
              </w:rPr>
              <w:t>NVMY-U5QC-T3DK-FF3B</w:t>
            </w:r>
          </w:p>
        </w:tc>
        <w:tc>
          <w:tcPr>
            <w:tcW w:type="dxa" w:w="1814"/>
            <w:vAlign w:val="center"/>
          </w:tcPr>
          <w:p>
            <w:pPr>
              <w:keepNext/>
              <w:spacing w:line="264" w:lineRule="auto" w:before="60" w:after="60"/>
              <w:ind w:firstLine="0"/>
              <w:jc w:val="center"/>
            </w:pPr>
            <w:r>
              <w:rPr>
                <w:b w:val="0"/>
                <w:sz w:val="20"/>
              </w:rPr>
              <w:t>15/15</w:t>
            </w:r>
          </w:p>
        </w:tc>
        <w:tc>
          <w:tcPr>
            <w:tcW w:type="dxa" w:w="2041"/>
            <w:vAlign w:val="center"/>
          </w:tcPr>
          <w:p>
            <w:pPr>
              <w:keepNext/>
              <w:spacing w:line="264" w:lineRule="auto" w:before="60" w:after="60"/>
              <w:ind w:firstLine="0"/>
              <w:jc w:val="center"/>
            </w:pPr>
            <w:r>
              <w:rPr>
                <w:b w:val="0"/>
                <w:sz w:val="20"/>
              </w:rPr>
              <w:t>263.44</w:t>
            </w:r>
          </w:p>
        </w:tc>
        <w:tc>
          <w:tcPr>
            <w:tcW w:type="dxa" w:w="2381"/>
            <w:vAlign w:val="center"/>
          </w:tcPr>
          <w:p>
            <w:pPr>
              <w:keepNext/>
              <w:spacing w:line="264" w:lineRule="auto" w:before="60" w:after="60"/>
              <w:ind w:firstLine="0"/>
              <w:jc w:val="center"/>
            </w:pPr>
            <w:r>
              <w:rPr>
                <w:b w:val="0"/>
                <w:sz w:val="20"/>
              </w:rPr>
              <w:t>3.628</w:t>
            </w:r>
          </w:p>
        </w:tc>
      </w:tr>
      <w:tr>
        <w:trPr>
          <w:cantSplit/>
        </w:trPr>
        <w:tc>
          <w:tcPr>
            <w:tcW w:type="dxa" w:w="2948"/>
            <w:vAlign w:val="center"/>
          </w:tcPr>
          <w:p>
            <w:pPr>
              <w:keepNext/>
              <w:spacing w:line="264" w:lineRule="auto" w:before="60" w:after="60"/>
              <w:ind w:firstLine="0"/>
              <w:jc w:val="center"/>
            </w:pPr>
            <w:r>
              <w:rPr>
                <w:b w:val="0"/>
                <w:sz w:val="20"/>
              </w:rPr>
              <w:t>JN32-MS93-XF4S-HV4Z</w:t>
            </w:r>
          </w:p>
        </w:tc>
        <w:tc>
          <w:tcPr>
            <w:tcW w:type="dxa" w:w="1814"/>
            <w:vAlign w:val="center"/>
          </w:tcPr>
          <w:p>
            <w:pPr>
              <w:keepNext/>
              <w:spacing w:line="264" w:lineRule="auto" w:before="60" w:after="60"/>
              <w:ind w:firstLine="0"/>
              <w:jc w:val="center"/>
            </w:pPr>
            <w:r>
              <w:rPr>
                <w:b w:val="0"/>
                <w:sz w:val="20"/>
              </w:rPr>
              <w:t>13/13</w:t>
            </w:r>
          </w:p>
        </w:tc>
        <w:tc>
          <w:tcPr>
            <w:tcW w:type="dxa" w:w="2041"/>
            <w:vAlign w:val="center"/>
          </w:tcPr>
          <w:p>
            <w:pPr>
              <w:keepNext/>
              <w:spacing w:line="264" w:lineRule="auto" w:before="60" w:after="60"/>
              <w:ind w:firstLine="0"/>
              <w:jc w:val="center"/>
            </w:pPr>
            <w:r>
              <w:rPr>
                <w:b w:val="0"/>
                <w:sz w:val="20"/>
              </w:rPr>
              <w:t>294.32</w:t>
            </w:r>
          </w:p>
        </w:tc>
        <w:tc>
          <w:tcPr>
            <w:tcW w:type="dxa" w:w="2381"/>
            <w:vAlign w:val="center"/>
          </w:tcPr>
          <w:p>
            <w:pPr>
              <w:keepNext/>
              <w:spacing w:line="264" w:lineRule="auto" w:before="60" w:after="60"/>
              <w:ind w:firstLine="0"/>
              <w:jc w:val="center"/>
            </w:pPr>
            <w:r>
              <w:rPr>
                <w:b w:val="0"/>
                <w:sz w:val="20"/>
              </w:rPr>
              <w:t>2.822</w:t>
            </w:r>
          </w:p>
        </w:tc>
      </w:tr>
      <w:tr>
        <w:trPr>
          <w:cantSplit/>
        </w:trPr>
        <w:tc>
          <w:tcPr>
            <w:tcW w:type="dxa" w:w="2948"/>
            <w:vAlign w:val="center"/>
          </w:tcPr>
          <w:p>
            <w:pPr>
              <w:keepNext/>
              <w:spacing w:line="264" w:lineRule="auto" w:before="60" w:after="60"/>
              <w:ind w:firstLine="0"/>
              <w:jc w:val="center"/>
            </w:pPr>
            <w:r>
              <w:rPr>
                <w:b w:val="0"/>
                <w:sz w:val="20"/>
              </w:rPr>
              <w:t>JT9H-KEYJ-D9A3-HYM8</w:t>
            </w:r>
          </w:p>
        </w:tc>
        <w:tc>
          <w:tcPr>
            <w:tcW w:type="dxa" w:w="1814"/>
            <w:vAlign w:val="center"/>
          </w:tcPr>
          <w:p>
            <w:pPr>
              <w:keepNext/>
              <w:spacing w:line="264" w:lineRule="auto" w:before="60" w:after="60"/>
              <w:ind w:firstLine="0"/>
              <w:jc w:val="center"/>
            </w:pPr>
            <w:r>
              <w:rPr>
                <w:b w:val="0"/>
                <w:sz w:val="20"/>
              </w:rPr>
              <w:t>15/15</w:t>
            </w:r>
          </w:p>
        </w:tc>
        <w:tc>
          <w:tcPr>
            <w:tcW w:type="dxa" w:w="2041"/>
            <w:vAlign w:val="center"/>
          </w:tcPr>
          <w:p>
            <w:pPr>
              <w:keepNext/>
              <w:spacing w:line="264" w:lineRule="auto" w:before="60" w:after="60"/>
              <w:ind w:firstLine="0"/>
              <w:jc w:val="center"/>
            </w:pPr>
            <w:r>
              <w:rPr>
                <w:b w:val="0"/>
                <w:sz w:val="20"/>
              </w:rPr>
              <w:t>266.68</w:t>
            </w:r>
          </w:p>
        </w:tc>
        <w:tc>
          <w:tcPr>
            <w:tcW w:type="dxa" w:w="2381"/>
            <w:vAlign w:val="center"/>
          </w:tcPr>
          <w:p>
            <w:pPr>
              <w:keepNext/>
              <w:spacing w:line="264" w:lineRule="auto" w:before="60" w:after="60"/>
              <w:ind w:firstLine="0"/>
              <w:jc w:val="center"/>
            </w:pPr>
            <w:r>
              <w:rPr>
                <w:b w:val="0"/>
                <w:sz w:val="20"/>
              </w:rPr>
              <w:t>2.814</w:t>
            </w:r>
          </w:p>
        </w:tc>
      </w:tr>
      <w:tr>
        <w:trPr>
          <w:cantSplit/>
        </w:trPr>
        <w:tc>
          <w:tcPr>
            <w:tcW w:type="dxa" w:w="2948"/>
            <w:vAlign w:val="center"/>
          </w:tcPr>
          <w:p>
            <w:pPr>
              <w:keepNext/>
              <w:spacing w:line="264" w:lineRule="auto" w:before="60" w:after="60"/>
              <w:ind w:firstLine="0"/>
              <w:jc w:val="center"/>
            </w:pPr>
            <w:r>
              <w:rPr>
                <w:b w:val="0"/>
                <w:sz w:val="20"/>
              </w:rPr>
              <w:t>GF3A-DJMD-FMAE-XC5Z</w:t>
            </w:r>
          </w:p>
        </w:tc>
        <w:tc>
          <w:tcPr>
            <w:tcW w:type="dxa" w:w="1814"/>
            <w:vAlign w:val="center"/>
          </w:tcPr>
          <w:p>
            <w:pPr>
              <w:keepNext/>
              <w:spacing w:line="264" w:lineRule="auto" w:before="60" w:after="60"/>
              <w:ind w:firstLine="0"/>
              <w:jc w:val="center"/>
            </w:pPr>
            <w:r>
              <w:rPr>
                <w:b w:val="0"/>
                <w:sz w:val="20"/>
              </w:rPr>
              <w:t>12/12</w:t>
            </w:r>
          </w:p>
        </w:tc>
        <w:tc>
          <w:tcPr>
            <w:tcW w:type="dxa" w:w="2041"/>
            <w:vAlign w:val="center"/>
          </w:tcPr>
          <w:p>
            <w:pPr>
              <w:keepNext/>
              <w:spacing w:line="264" w:lineRule="auto" w:before="60" w:after="60"/>
              <w:ind w:firstLine="0"/>
              <w:jc w:val="center"/>
            </w:pPr>
            <w:r>
              <w:rPr>
                <w:b w:val="0"/>
                <w:sz w:val="20"/>
              </w:rPr>
              <w:t>336.48</w:t>
            </w:r>
          </w:p>
        </w:tc>
        <w:tc>
          <w:tcPr>
            <w:tcW w:type="dxa" w:w="2381"/>
            <w:vAlign w:val="center"/>
          </w:tcPr>
          <w:p>
            <w:pPr>
              <w:keepNext/>
              <w:spacing w:line="264" w:lineRule="auto" w:before="60" w:after="60"/>
              <w:ind w:firstLine="0"/>
              <w:jc w:val="center"/>
            </w:pPr>
            <w:r>
              <w:rPr>
                <w:b w:val="0"/>
                <w:sz w:val="20"/>
              </w:rPr>
              <w:t>2.632</w:t>
            </w:r>
          </w:p>
        </w:tc>
      </w:tr>
      <w:tr>
        <w:trPr>
          <w:cantSplit/>
        </w:trPr>
        <w:tc>
          <w:tcPr>
            <w:tcW w:type="dxa" w:w="2948"/>
            <w:vAlign w:val="center"/>
          </w:tcPr>
          <w:p>
            <w:pPr>
              <w:keepNext/>
              <w:spacing w:line="264" w:lineRule="auto" w:before="60" w:after="60"/>
              <w:ind w:firstLine="0"/>
              <w:jc w:val="center"/>
            </w:pPr>
            <w:r>
              <w:rPr>
                <w:b w:val="0"/>
                <w:sz w:val="20"/>
              </w:rPr>
              <w:t>FWQZ-JJ8R-FERY-Q4PV</w:t>
            </w:r>
          </w:p>
        </w:tc>
        <w:tc>
          <w:tcPr>
            <w:tcW w:type="dxa" w:w="1814"/>
            <w:vAlign w:val="center"/>
          </w:tcPr>
          <w:p>
            <w:pPr>
              <w:keepNext/>
              <w:spacing w:line="264" w:lineRule="auto" w:before="60" w:after="60"/>
              <w:ind w:firstLine="0"/>
              <w:jc w:val="center"/>
            </w:pPr>
            <w:r>
              <w:rPr>
                <w:b w:val="0"/>
                <w:sz w:val="20"/>
              </w:rPr>
              <w:t>10/10</w:t>
            </w:r>
          </w:p>
        </w:tc>
        <w:tc>
          <w:tcPr>
            <w:tcW w:type="dxa" w:w="2041"/>
            <w:vAlign w:val="center"/>
          </w:tcPr>
          <w:p>
            <w:pPr>
              <w:keepNext/>
              <w:spacing w:line="264" w:lineRule="auto" w:before="60" w:after="60"/>
              <w:ind w:firstLine="0"/>
              <w:jc w:val="center"/>
            </w:pPr>
            <w:r>
              <w:rPr>
                <w:b w:val="0"/>
                <w:sz w:val="20"/>
              </w:rPr>
              <w:t>408.25</w:t>
            </w:r>
          </w:p>
        </w:tc>
        <w:tc>
          <w:tcPr>
            <w:tcW w:type="dxa" w:w="2381"/>
            <w:vAlign w:val="center"/>
          </w:tcPr>
          <w:p>
            <w:pPr>
              <w:keepNext/>
              <w:spacing w:line="264" w:lineRule="auto" w:before="60" w:after="60"/>
              <w:ind w:firstLine="0"/>
              <w:jc w:val="center"/>
            </w:pPr>
            <w:r>
              <w:rPr>
                <w:b w:val="0"/>
                <w:sz w:val="20"/>
              </w:rPr>
              <w:t>2.508</w:t>
            </w:r>
          </w:p>
        </w:tc>
      </w:tr>
      <w:tr>
        <w:trPr>
          <w:cantSplit/>
        </w:trPr>
        <w:tc>
          <w:tcPr>
            <w:tcW w:type="dxa" w:w="2948"/>
            <w:vAlign w:val="center"/>
          </w:tcPr>
          <w:p>
            <w:pPr>
              <w:spacing w:line="264" w:lineRule="auto" w:before="60" w:after="60"/>
              <w:ind w:firstLine="0"/>
              <w:jc w:val="center"/>
            </w:pPr>
            <w:r>
              <w:rPr>
                <w:b w:val="0"/>
                <w:sz w:val="20"/>
              </w:rPr>
              <w:t>UCGP-KDRV-MB47-V49X</w:t>
            </w:r>
          </w:p>
        </w:tc>
        <w:tc>
          <w:tcPr>
            <w:tcW w:type="dxa" w:w="1814"/>
            <w:vAlign w:val="center"/>
          </w:tcPr>
          <w:p>
            <w:pPr>
              <w:spacing w:line="264" w:lineRule="auto" w:before="60" w:after="60"/>
              <w:ind w:firstLine="0"/>
              <w:jc w:val="center"/>
            </w:pPr>
            <w:r>
              <w:rPr>
                <w:b w:val="0"/>
                <w:sz w:val="20"/>
              </w:rPr>
              <w:t>15/15</w:t>
            </w:r>
          </w:p>
        </w:tc>
        <w:tc>
          <w:tcPr>
            <w:tcW w:type="dxa" w:w="2041"/>
            <w:vAlign w:val="center"/>
          </w:tcPr>
          <w:p>
            <w:pPr>
              <w:spacing w:line="264" w:lineRule="auto" w:before="60" w:after="60"/>
              <w:ind w:firstLine="0"/>
              <w:jc w:val="center"/>
            </w:pPr>
            <w:r>
              <w:rPr>
                <w:b w:val="0"/>
                <w:sz w:val="20"/>
              </w:rPr>
              <w:t>229.06</w:t>
            </w:r>
          </w:p>
        </w:tc>
        <w:tc>
          <w:tcPr>
            <w:tcW w:type="dxa" w:w="2381"/>
            <w:vAlign w:val="center"/>
          </w:tcPr>
          <w:p>
            <w:pPr>
              <w:spacing w:line="264" w:lineRule="auto" w:before="60" w:after="60"/>
              <w:ind w:firstLine="0"/>
              <w:jc w:val="center"/>
            </w:pPr>
            <w:r>
              <w:rPr>
                <w:b w:val="0"/>
                <w:sz w:val="20"/>
              </w:rPr>
              <w:t>2.418</w:t>
            </w:r>
          </w:p>
        </w:tc>
      </w:tr>
    </w:tbl>
    <w:p>
      <w:pPr>
        <w:spacing w:after="40" w:before="0" w:line="72" w:lineRule="auto"/>
      </w:pPr>
    </w:p>
    <w:p>
      <w:pPr>
        <w:jc w:val="both"/>
      </w:pPr>
      <w:r>
        <w:t>七局均全清，累计清除95/95个源。逐局T/C均值为292.35 s/源，累计总时间除以累计源数为284.82 s/源。最快样本run010为15/15全清，虚拟总时间3435.957 s、平均229.06 s/源，官方程序运行时间2.418 s。这一局是最佳演练案例展示，七局整体结果用于说明重复运行表现。</w:t>
      </w:r>
    </w:p>
    <w:p>
      <w:pPr>
        <w:jc w:val="both"/>
      </w:pPr>
      <w:r>
        <w:t>三次正式测试按题面原表格式另列。演练可以反复进行，而正式测试每题仅三次，二者案例不能混用。</w:t>
      </w:r>
    </w:p>
    <w:p>
      <w:pPr>
        <w:keepNext/>
        <w:ind w:firstLine="0"/>
        <w:jc w:val="center"/>
      </w:pPr>
      <w:r>
        <w:t>表7 问题3正式测试结果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814"/>
        <w:gridCol w:w="2041"/>
        <w:gridCol w:w="2381"/>
      </w:tblGrid>
      <w:tr>
        <w:trPr>
          <w:cantSplit/>
          <w:tblHeader/>
        </w:trPr>
        <w:tc>
          <w:tcPr>
            <w:tcW w:type="dxa" w:w="2948"/>
            <w:vAlign w:val="center"/>
            <w:shd w:fill="EFEFEF"/>
          </w:tcPr>
          <w:p>
            <w:pPr>
              <w:keepNext/>
              <w:spacing w:line="264" w:lineRule="auto" w:before="60" w:after="60"/>
              <w:ind w:firstLine="0"/>
              <w:jc w:val="center"/>
            </w:pPr>
            <w:r>
              <w:rPr>
                <w:b/>
                <w:sz w:val="20"/>
              </w:rPr>
              <w:t>测试案例编码</w:t>
            </w:r>
          </w:p>
        </w:tc>
        <w:tc>
          <w:tcPr>
            <w:tcW w:type="dxa" w:w="1814"/>
            <w:vAlign w:val="center"/>
            <w:shd w:fill="EFEFEF"/>
          </w:tcPr>
          <w:p>
            <w:pPr>
              <w:keepNext/>
              <w:spacing w:line="264" w:lineRule="auto" w:before="60" w:after="60"/>
              <w:ind w:firstLine="0"/>
              <w:jc w:val="center"/>
            </w:pPr>
            <w:r>
              <w:rPr>
                <w:b/>
                <w:sz w:val="20"/>
              </w:rPr>
              <w:t>清除干扰源个数</w:t>
            </w:r>
          </w:p>
        </w:tc>
        <w:tc>
          <w:tcPr>
            <w:tcW w:type="dxa" w:w="2041"/>
            <w:vAlign w:val="center"/>
            <w:shd w:fill="EFEFEF"/>
          </w:tcPr>
          <w:p>
            <w:pPr>
              <w:keepNext/>
              <w:spacing w:line="264" w:lineRule="auto" w:before="60" w:after="60"/>
              <w:ind w:firstLine="0"/>
              <w:jc w:val="center"/>
            </w:pPr>
            <w:r>
              <w:rPr>
                <w:b/>
                <w:sz w:val="20"/>
              </w:rPr>
              <w:t>平均定位清除时间/s</w:t>
            </w:r>
          </w:p>
        </w:tc>
        <w:tc>
          <w:tcPr>
            <w:tcW w:type="dxa" w:w="2381"/>
            <w:vAlign w:val="center"/>
            <w:shd w:fill="EFEFEF"/>
          </w:tcPr>
          <w:p>
            <w:pPr>
              <w:keepNext/>
              <w:spacing w:line="264" w:lineRule="auto" w:before="60" w:after="60"/>
              <w:ind w:firstLine="0"/>
              <w:jc w:val="center"/>
            </w:pPr>
            <w:r>
              <w:rPr>
                <w:b/>
                <w:sz w:val="20"/>
              </w:rPr>
              <w:t>程序运行时间/s</w:t>
            </w:r>
          </w:p>
        </w:tc>
      </w:tr>
      <w:tr>
        <w:trPr>
          <w:cantSplit/>
        </w:trPr>
        <w:tc>
          <w:tcPr>
            <w:tcW w:type="dxa" w:w="2948"/>
            <w:vAlign w:val="center"/>
          </w:tcPr>
          <w:p>
            <w:pPr>
              <w:keepNext/>
              <w:spacing w:line="264" w:lineRule="auto" w:before="60" w:after="60"/>
              <w:ind w:firstLine="0"/>
              <w:jc w:val="center"/>
            </w:pPr>
            <w:r>
              <w:rPr>
                <w:b w:val="0"/>
                <w:sz w:val="20"/>
              </w:rPr>
              <w:t>正式测试1 待填</w:t>
            </w:r>
          </w:p>
        </w:tc>
        <w:tc>
          <w:tcPr>
            <w:tcW w:type="dxa" w:w="1814"/>
            <w:vAlign w:val="center"/>
          </w:tcPr>
          <w:p>
            <w:pPr>
              <w:keepNext/>
              <w:spacing w:line="264" w:lineRule="auto" w:before="60" w:after="60"/>
              <w:ind w:firstLine="0"/>
              <w:jc w:val="center"/>
            </w:pPr>
            <w:r>
              <w:rPr>
                <w:b w:val="0"/>
                <w:sz w:val="20"/>
              </w:rPr>
              <w:t>待填</w:t>
            </w:r>
          </w:p>
        </w:tc>
        <w:tc>
          <w:tcPr>
            <w:tcW w:type="dxa" w:w="2041"/>
            <w:vAlign w:val="center"/>
          </w:tcPr>
          <w:p>
            <w:pPr>
              <w:keepNext/>
              <w:spacing w:line="264" w:lineRule="auto" w:before="60" w:after="60"/>
              <w:ind w:firstLine="0"/>
              <w:jc w:val="center"/>
            </w:pPr>
            <w:r>
              <w:rPr>
                <w:b w:val="0"/>
                <w:sz w:val="20"/>
              </w:rPr>
              <w:t>待填</w:t>
            </w:r>
          </w:p>
        </w:tc>
        <w:tc>
          <w:tcPr>
            <w:tcW w:type="dxa" w:w="2381"/>
            <w:vAlign w:val="center"/>
          </w:tcPr>
          <w:p>
            <w:pPr>
              <w:keepNext/>
              <w:spacing w:line="264" w:lineRule="auto" w:before="60" w:after="60"/>
              <w:ind w:firstLine="0"/>
              <w:jc w:val="center"/>
            </w:pPr>
            <w:r>
              <w:rPr>
                <w:b w:val="0"/>
                <w:sz w:val="20"/>
              </w:rPr>
              <w:t>待填</w:t>
            </w:r>
          </w:p>
        </w:tc>
      </w:tr>
      <w:tr>
        <w:trPr>
          <w:cantSplit/>
        </w:trPr>
        <w:tc>
          <w:tcPr>
            <w:tcW w:type="dxa" w:w="2948"/>
            <w:vAlign w:val="center"/>
          </w:tcPr>
          <w:p>
            <w:pPr>
              <w:keepNext/>
              <w:spacing w:line="264" w:lineRule="auto" w:before="60" w:after="60"/>
              <w:ind w:firstLine="0"/>
              <w:jc w:val="center"/>
            </w:pPr>
            <w:r>
              <w:rPr>
                <w:b w:val="0"/>
                <w:sz w:val="20"/>
              </w:rPr>
              <w:t>正式测试2 待填</w:t>
            </w:r>
          </w:p>
        </w:tc>
        <w:tc>
          <w:tcPr>
            <w:tcW w:type="dxa" w:w="1814"/>
            <w:vAlign w:val="center"/>
          </w:tcPr>
          <w:p>
            <w:pPr>
              <w:keepNext/>
              <w:spacing w:line="264" w:lineRule="auto" w:before="60" w:after="60"/>
              <w:ind w:firstLine="0"/>
              <w:jc w:val="center"/>
            </w:pPr>
            <w:r>
              <w:rPr>
                <w:b w:val="0"/>
                <w:sz w:val="20"/>
              </w:rPr>
              <w:t>待填</w:t>
            </w:r>
          </w:p>
        </w:tc>
        <w:tc>
          <w:tcPr>
            <w:tcW w:type="dxa" w:w="2041"/>
            <w:vAlign w:val="center"/>
          </w:tcPr>
          <w:p>
            <w:pPr>
              <w:keepNext/>
              <w:spacing w:line="264" w:lineRule="auto" w:before="60" w:after="60"/>
              <w:ind w:firstLine="0"/>
              <w:jc w:val="center"/>
            </w:pPr>
            <w:r>
              <w:rPr>
                <w:b w:val="0"/>
                <w:sz w:val="20"/>
              </w:rPr>
              <w:t>待填</w:t>
            </w:r>
          </w:p>
        </w:tc>
        <w:tc>
          <w:tcPr>
            <w:tcW w:type="dxa" w:w="2381"/>
            <w:vAlign w:val="center"/>
          </w:tcPr>
          <w:p>
            <w:pPr>
              <w:keepNext/>
              <w:spacing w:line="264" w:lineRule="auto" w:before="60" w:after="60"/>
              <w:ind w:firstLine="0"/>
              <w:jc w:val="center"/>
            </w:pPr>
            <w:r>
              <w:rPr>
                <w:b w:val="0"/>
                <w:sz w:val="20"/>
              </w:rPr>
              <w:t>待填</w:t>
            </w:r>
          </w:p>
        </w:tc>
      </w:tr>
      <w:tr>
        <w:trPr>
          <w:cantSplit/>
        </w:trPr>
        <w:tc>
          <w:tcPr>
            <w:tcW w:type="dxa" w:w="2948"/>
            <w:vAlign w:val="center"/>
          </w:tcPr>
          <w:p>
            <w:pPr>
              <w:spacing w:line="264" w:lineRule="auto" w:before="60" w:after="60"/>
              <w:ind w:firstLine="0"/>
              <w:jc w:val="center"/>
            </w:pPr>
            <w:r>
              <w:rPr>
                <w:b w:val="0"/>
                <w:sz w:val="20"/>
              </w:rPr>
              <w:t>正式测试3 待填</w:t>
            </w:r>
          </w:p>
        </w:tc>
        <w:tc>
          <w:tcPr>
            <w:tcW w:type="dxa" w:w="1814"/>
            <w:vAlign w:val="center"/>
          </w:tcPr>
          <w:p>
            <w:pPr>
              <w:spacing w:line="264" w:lineRule="auto" w:before="60" w:after="60"/>
              <w:ind w:firstLine="0"/>
              <w:jc w:val="center"/>
            </w:pPr>
            <w:r>
              <w:rPr>
                <w:b w:val="0"/>
                <w:sz w:val="20"/>
              </w:rPr>
              <w:t>待填</w:t>
            </w:r>
          </w:p>
        </w:tc>
        <w:tc>
          <w:tcPr>
            <w:tcW w:type="dxa" w:w="2041"/>
            <w:vAlign w:val="center"/>
          </w:tcPr>
          <w:p>
            <w:pPr>
              <w:spacing w:line="264" w:lineRule="auto" w:before="60" w:after="60"/>
              <w:ind w:firstLine="0"/>
              <w:jc w:val="center"/>
            </w:pPr>
            <w:r>
              <w:rPr>
                <w:b w:val="0"/>
                <w:sz w:val="20"/>
              </w:rPr>
              <w:t>待填</w:t>
            </w:r>
          </w:p>
        </w:tc>
        <w:tc>
          <w:tcPr>
            <w:tcW w:type="dxa" w:w="2381"/>
            <w:vAlign w:val="center"/>
          </w:tcPr>
          <w:p>
            <w:pPr>
              <w:spacing w:line="264" w:lineRule="auto" w:before="60" w:after="60"/>
              <w:ind w:firstLine="0"/>
              <w:jc w:val="center"/>
            </w:pPr>
            <w:r>
              <w:rPr>
                <w:b w:val="0"/>
                <w:sz w:val="20"/>
              </w:rPr>
              <w:t>待填</w:t>
            </w:r>
          </w:p>
        </w:tc>
      </w:tr>
    </w:tbl>
    <w:p>
      <w:pPr>
        <w:spacing w:after="40" w:before="0" w:line="72" w:lineRule="auto"/>
      </w:pPr>
    </w:p>
    <w:p>
      <w:pPr>
        <w:pStyle w:val="Heading1"/>
      </w:pPr>
      <w:r>
        <w:t>8 问题四的定向源搜索与风险控制</w:t>
      </w:r>
    </w:p>
    <w:p>
      <w:pPr>
        <w:pStyle w:val="Heading2"/>
      </w:pPr>
      <w:r>
        <w:t>8.1 定向可见性的隐状态表达</w:t>
      </w:r>
    </w:p>
    <w:p>
      <w:pPr>
        <w:keepNext/>
        <w:jc w:val="both"/>
      </w:pPr>
      <w:r>
        <w:t>第四问每个潜在源的隐状态写为</w:t>
      </w:r>
      <m:oMath>
        <m:r>
          <m:t>z=(x,y,R,d,ϕ)</m:t>
          <w:rPr>
            <w:rFonts w:ascii="Cambria Math" w:hAnsi="Cambria Math" w:eastAsia="Cambria Math"/>
          </w:rPr>
        </m:r>
      </m:oMath>
      <w:r>
        <w:t>，分别代表位置、有效半径、是否定向和朝向。位置s能够收到该状态信号的条件为</w:t>
      </w:r>
    </w:p>
    <w:p>
      <w:pPr>
        <w:keepLines/>
        <w:ind w:firstLine="0"/>
        <w:jc w:val="center"/>
      </w:pPr>
      <m:oMath>
        <m:r>
          <m:t>V(s,z)=</m:t>
          <w:rPr>
            <w:rFonts w:ascii="Cambria Math" w:hAnsi="Cambria Math" w:eastAsia="Cambria Math"/>
          </w:rPr>
        </m:r>
        <m:r>
          <m:rPr>
            <m:sty m:val="b"/>
          </m:rPr>
          <m:t>1</m:t>
          <w:rPr>
            <w:rFonts w:ascii="Cambria Math" w:hAnsi="Cambria Math" w:eastAsia="Cambria Math"/>
          </w:rPr>
        </m:r>
        <m:r>
          <m:t>(‖s−G‖≤R)</m:t>
          <w:rPr>
            <w:rFonts w:ascii="Cambria Math" w:hAnsi="Cambria Math" w:eastAsia="Cambria Math"/>
          </w:rPr>
        </m:r>
        <m:r>
          <m:rPr>
            <m:sty m:val="b"/>
          </m:rPr>
          <m:t>1</m:t>
          <w:rPr>
            <w:rFonts w:ascii="Cambria Math" w:hAnsi="Cambria Math" w:eastAsia="Cambria Math"/>
          </w:rPr>
        </m:r>
        <m:d>
          <m:dPr>
            <m:sepChr m:val=""/>
          </m:dPr>
          <m:e>
            <m:r>
              <m:t>d</m:t>
              <w:rPr>
                <w:rFonts w:ascii="Cambria Math" w:hAnsi="Cambria Math" w:eastAsia="Cambria Math"/>
              </w:rPr>
            </m:r>
            <m:r>
              <m:t>=</m:t>
              <w:rPr>
                <w:rFonts w:ascii="Cambria Math" w:hAnsi="Cambria Math" w:eastAsia="Cambria Math"/>
              </w:rPr>
            </m:r>
            <m:r>
              <m:t>0</m:t>
              <w:rPr>
                <w:rFonts w:ascii="Cambria Math" w:hAnsi="Cambria Math" w:eastAsia="Cambria Math"/>
              </w:rPr>
            </m:r>
            <m:r>
              <m:rPr>
                <m:sty m:val="p"/>
              </m:rPr>
              <m:t> </m:t>
              <w:rPr>
                <w:rFonts w:ascii="Cambria Math" w:hAnsi="Cambria Math" w:eastAsia="Cambria Math"/>
              </w:rPr>
            </m:r>
            <m:r>
              <m:rPr>
                <m:nor/>
              </m:rPr>
              <m:t>或</m:t>
              <w:rPr>
                <w:rFonts w:ascii="Cambria Math" w:hAnsi="Cambria Math" w:eastAsia="Cambria Math"/>
              </w:rPr>
            </m:r>
            <m:r>
              <m:rPr>
                <m:sty m:val="p"/>
              </m:rPr>
              <m:t> </m:t>
              <w:rPr>
                <w:rFonts w:ascii="Cambria Math" w:hAnsi="Cambria Math" w:eastAsia="Cambria Math"/>
              </w:rPr>
            </m:r>
            <m:r>
              <m:t>|</m:t>
              <w:rPr>
                <w:rFonts w:ascii="Cambria Math" w:hAnsi="Cambria Math" w:eastAsia="Cambria Math"/>
              </w:rPr>
            </m:r>
            <m:r>
              <m:t>wrap</m:t>
              <w:rPr>
                <w:rFonts w:ascii="Cambria Math" w:hAnsi="Cambria Math" w:eastAsia="Cambria Math"/>
              </w:rPr>
            </m:r>
            <m:r>
              <m:t>(</m:t>
              <w:rPr>
                <w:rFonts w:ascii="Cambria Math" w:hAnsi="Cambria Math" w:eastAsia="Cambria Math"/>
              </w:rPr>
            </m:r>
            <m:r>
              <m:t>arg</m:t>
              <w:rPr>
                <w:rFonts w:ascii="Cambria Math" w:hAnsi="Cambria Math" w:eastAsia="Cambria Math"/>
              </w:rPr>
            </m:r>
            <m:r>
              <m:t>(</m:t>
              <w:rPr>
                <w:rFonts w:ascii="Cambria Math" w:hAnsi="Cambria Math" w:eastAsia="Cambria Math"/>
              </w:rPr>
            </m:r>
            <m:r>
              <m:t>s</m:t>
              <w:rPr>
                <w:rFonts w:ascii="Cambria Math" w:hAnsi="Cambria Math" w:eastAsia="Cambria Math"/>
              </w:rPr>
            </m:r>
            <m:r>
              <m:t>−</m:t>
              <w:rPr>
                <w:rFonts w:ascii="Cambria Math" w:hAnsi="Cambria Math" w:eastAsia="Cambria Math"/>
              </w:rPr>
            </m:r>
            <m:r>
              <m:t>G</m:t>
              <w:rPr>
                <w:rFonts w:ascii="Cambria Math" w:hAnsi="Cambria Math" w:eastAsia="Cambria Math"/>
              </w:rPr>
            </m:r>
            <m:r>
              <m:t>)</m:t>
              <w:rPr>
                <w:rFonts w:ascii="Cambria Math" w:hAnsi="Cambria Math" w:eastAsia="Cambria Math"/>
              </w:rPr>
            </m:r>
            <m:r>
              <m:t>−</m:t>
              <w:rPr>
                <w:rFonts w:ascii="Cambria Math" w:hAnsi="Cambria Math" w:eastAsia="Cambria Math"/>
              </w:rPr>
            </m:r>
            <m:r>
              <m:t>ϕ</m:t>
              <w:rPr>
                <w:rFonts w:ascii="Cambria Math" w:hAnsi="Cambria Math" w:eastAsia="Cambria Math"/>
              </w:rPr>
            </m:r>
            <m:r>
              <m:t>)</m:t>
              <w:rPr>
                <w:rFonts w:ascii="Cambria Math" w:hAnsi="Cambria Math" w:eastAsia="Cambria Math"/>
              </w:rPr>
            </m:r>
            <m:r>
              <m:t>|</m:t>
              <w:rPr>
                <w:rFonts w:ascii="Cambria Math" w:hAnsi="Cambria Math" w:eastAsia="Cambria Math"/>
              </w:rPr>
            </m:r>
            <m:r>
              <m:t>≤</m:t>
              <w:rPr>
                <w:rFonts w:ascii="Cambria Math" w:hAnsi="Cambria Math" w:eastAsia="Cambria Math"/>
              </w:rPr>
            </m:r>
            <m:sSup>
              <m:e>
                <m:r>
                  <m:t>90</m:t>
                  <w:rPr>
                    <w:rFonts w:ascii="Cambria Math" w:hAnsi="Cambria Math" w:eastAsia="Cambria Math"/>
                  </w:rPr>
                </m:r>
              </m:e>
              <m:sup>
                <m:r>
                  <m:t>∘</m:t>
                  <w:rPr>
                    <w:rFonts w:ascii="Cambria Math" w:hAnsi="Cambria Math" w:eastAsia="Cambria Math"/>
                  </w:rPr>
                </m:r>
              </m:sup>
            </m:sSup>
          </m:e>
        </m:d>
        <m:r>
          <m:t>.</m:t>
          <w:rPr>
            <w:rFonts w:ascii="Cambria Math" w:hAnsi="Cambria Math" w:eastAsia="Cambria Math"/>
          </w:rPr>
        </m:r>
      </m:oMath>
      <w:r>
        <w:t xml:space="preserve">  (15)</w:t>
      </w:r>
    </w:p>
    <w:p>
      <w:pPr>
        <w:jc w:val="both"/>
      </w:pPr>
      <w:r>
        <w:t>这里使用从源指向检测点的向量</w:t>
      </w:r>
      <m:oMath>
        <m:r>
          <m:t>s−G</m:t>
          <w:rPr>
            <w:rFonts w:ascii="Cambria Math" w:hAnsi="Cambria Math" w:eastAsia="Cambria Math"/>
          </w:rPr>
        </m:r>
      </m:oMath>
      <w:r>
        <w:t>，不能误用相反方向。定向源的总覆盖角为180°。运行模型通常使用8192个低差异隐状态样本，另设一组验证样本估计停止风险；规划可见性中将半径缩小10 m、半角缩小12°以保留余量。这些余量是模型参数，不是仪器误差的新规定。</w:t>
      </w:r>
    </w:p>
    <w:p>
      <w:pPr>
        <w:keepNext/>
        <w:jc w:val="both"/>
      </w:pPr>
      <w:r>
        <w:t>若扫描集合为</w:t>
      </w:r>
      <m:oMath>
        <m:r>
          <m:rPr>
            <m:scr m:val="script"/>
          </m:rPr>
          <m:t>S</m:t>
          <w:rPr>
            <w:rFonts w:ascii="Cambria Math" w:hAnsi="Cambria Math" w:eastAsia="Cambria Math"/>
          </w:rPr>
        </m:r>
      </m:oMath>
      <w:r>
        <w:t>，则潜在源始终没有被扫描看到的比例估计为</w:t>
      </w:r>
    </w:p>
    <w:p>
      <w:pPr>
        <w:keepLines/>
        <w:ind w:firstLine="0"/>
        <w:jc w:val="center"/>
      </w:pPr>
      <m:oMath>
        <m:r>
          <m:t>q(</m:t>
          <w:rPr>
            <w:rFonts w:ascii="Cambria Math" w:hAnsi="Cambria Math" w:eastAsia="Cambria Math"/>
          </w:rPr>
        </m:r>
        <m:r>
          <m:rPr>
            <m:scr m:val="script"/>
          </m:rPr>
          <m:t>S</m:t>
          <w:rPr>
            <w:rFonts w:ascii="Cambria Math" w:hAnsi="Cambria Math" w:eastAsia="Cambria Math"/>
          </w:rPr>
        </m:r>
        <m:r>
          <m:t>)=1−</m:t>
          <w:rPr>
            <w:rFonts w:ascii="Cambria Math" w:hAnsi="Cambria Math" w:eastAsia="Cambria Math"/>
          </w:rPr>
        </m:r>
        <m:f>
          <m:fPr>
            <m:type m:val="bar"/>
          </m:fPr>
          <m:num>
            <m:d>
              <m:dPr>
                <m:begChr m:val="|"/>
                <m:sepChr m:val=""/>
                <m:endChr m:val="|"/>
              </m:dPr>
              <m:e>
                <m:nary>
                  <m:naryPr>
                    <m:chr m:val="⋃"/>
                    <m:limLoc m:val="subSup"/>
                    <m:grow m:val="1"/>
                    <m:subHide m:val="off"/>
                    <m:supHide m:val="on"/>
                  </m:naryPr>
                  <m:sub>
                    <m:r>
                      <m:t>s∈</m:t>
                      <w:rPr>
                        <w:rFonts w:ascii="Cambria Math" w:hAnsi="Cambria Math" w:eastAsia="Cambria Math"/>
                      </w:rPr>
                    </m:r>
                    <m:r>
                      <m:rPr>
                        <m:scr m:val="script"/>
                      </m:rPr>
                      <m:t>S</m:t>
                      <w:rPr>
                        <w:rFonts w:ascii="Cambria Math" w:hAnsi="Cambria Math" w:eastAsia="Cambria Math"/>
                      </w:rPr>
                    </m:r>
                  </m:sub>
                  <m:sup/>
                  <m:e>
                    <m:r>
                      <m:rPr>
                        <m:scr m:val="script"/>
                      </m:rPr>
                      <m:t>V</m:t>
                      <w:rPr>
                        <w:rFonts w:ascii="Cambria Math" w:hAnsi="Cambria Math" w:eastAsia="Cambria Math"/>
                      </w:rPr>
                    </m:r>
                  </m:e>
                </m:nary>
                <m:r>
                  <m:t>(</m:t>
                  <w:rPr>
                    <w:rFonts w:ascii="Cambria Math" w:hAnsi="Cambria Math" w:eastAsia="Cambria Math"/>
                  </w:rPr>
                </m:r>
                <m:r>
                  <m:t>s</m:t>
                  <w:rPr>
                    <w:rFonts w:ascii="Cambria Math" w:hAnsi="Cambria Math" w:eastAsia="Cambria Math"/>
                  </w:rPr>
                </m:r>
                <m:r>
                  <m:t>)</m:t>
                  <w:rPr>
                    <w:rFonts w:ascii="Cambria Math" w:hAnsi="Cambria Math" w:eastAsia="Cambria Math"/>
                  </w:rPr>
                </m:r>
              </m:e>
            </m:d>
          </m:num>
          <m:den>
            <m:r>
              <m:t>K</m:t>
              <w:rPr>
                <w:rFonts w:ascii="Cambria Math" w:hAnsi="Cambria Math" w:eastAsia="Cambria Math"/>
              </w:rPr>
            </m:r>
          </m:den>
        </m:f>
        <m:r>
          <m:t>,</m:t>
          <w:rPr>
            <w:rFonts w:ascii="Cambria Math" w:hAnsi="Cambria Math" w:eastAsia="Cambria Math"/>
          </w:rPr>
        </m:r>
      </m:oMath>
      <w:r>
        <w:t xml:space="preserve">  (16)</w:t>
      </w:r>
    </w:p>
    <w:p>
      <w:pPr>
        <w:jc w:val="both"/>
      </w:pPr>
      <w:r>
        <w:t>其中</w:t>
      </w:r>
      <m:oMath>
        <m:r>
          <m:rPr>
            <m:scr m:val="script"/>
          </m:rPr>
          <m:t>V</m:t>
          <w:rPr>
            <w:rFonts w:ascii="Cambria Math" w:hAnsi="Cambria Math" w:eastAsia="Cambria Math"/>
          </w:rPr>
        </m:r>
        <m:r>
          <m:t>(s)</m:t>
          <w:rPr>
            <w:rFonts w:ascii="Cambria Math" w:hAnsi="Cambria Math" w:eastAsia="Cambria Math"/>
          </w:rPr>
        </m:r>
      </m:oMath>
      <w:r>
        <w:t>为可见样本的索引集合，K为样本数。搜索用这一全局覆盖信念评价未发现频道，已发现频道仍保留独立的示向与无信号记录。独立验证样本有助于降低对规划样本的过度适配，但不能消除有限样本和先验不匹配的误差。</w:t>
      </w:r>
    </w:p>
    <w:p>
      <w:pPr>
        <w:pStyle w:val="Heading2"/>
      </w:pPr>
      <w:r>
        <w:t>8.2 基础格点覆盖与全清边界</w:t>
      </w:r>
    </w:p>
    <w:p>
      <w:pPr>
        <w:jc w:val="both"/>
      </w:pPr>
      <w:r>
        <w:t>基础搜索格点间距取700 m。源位于某个方格内时，到该格四个顶点的距离均不超过</w:t>
      </w:r>
      <m:oMath>
        <m:r>
          <m:t>700</m:t>
          <w:rPr>
            <w:rFonts w:ascii="Cambria Math" w:hAnsi="Cambria Math" w:eastAsia="Cambria Math"/>
          </w:rPr>
        </m:r>
        <m:rad>
          <m:radPr>
            <m:degHide m:val="on"/>
          </m:radPr>
          <m:deg/>
          <m:e>
            <m:r>
              <m:t>2</m:t>
              <w:rPr>
                <w:rFonts w:ascii="Cambria Math" w:hAnsi="Cambria Math" w:eastAsia="Cambria Math"/>
              </w:rPr>
            </m:r>
          </m:e>
        </m:rad>
        <m:r>
          <m:t>&lt;1000</m:t>
          <w:rPr>
            <w:rFonts w:ascii="Cambria Math" w:hAnsi="Cambria Math" w:eastAsia="Cambria Math"/>
          </w:rPr>
        </m:r>
      </m:oMath>
      <w:r>
        <w:t xml:space="preserve"> m。若四个顶点都落在源的定向覆盖半平面之外，则它们的凸包也在该半平面之外，与源位于方格内矛盾。因此至少一个格点既满足最小接收半径，又位于闭覆盖半平面内。格点扩展至源分布圆域外，可以覆盖边缘源。</w:t>
      </w:r>
    </w:p>
    <w:p>
      <w:pPr>
        <w:jc w:val="both"/>
      </w:pPr>
      <w:r>
        <w:t>这一论证说明完整执行基础格点扫描具备几何发现能力。当前快速策略会在覆盖完成前按后验停止，所以不能把“基础格点可覆盖”直接写成“提前停止策略也保证全清”。完整发现后还需保证各个已发现源得到成功清除反馈。本文据此将覆盖依据、快速策略和实测可靠性分别论述。</w:t>
      </w:r>
    </w:p>
    <w:p>
      <w:pPr>
        <w:pStyle w:val="Heading2"/>
      </w:pPr>
      <w:r>
        <w:t>8.3 定向失信号恢复与路线成本</w:t>
      </w:r>
    </w:p>
    <w:p>
      <w:pPr>
        <w:jc w:val="both"/>
      </w:pPr>
      <w:r>
        <w:t>在全向场景中，接近源通常改善可接收性；定向场景却可能在越过覆盖边界后失去信号。程序保存最后有效示向位置及射线，在后续no_signal时，沿保留射线定位可能越过的区间，执行回溯、局部探测或光学清除尝试。清除不依赖发射方向，因此在靠近源而方向测量失效时，适当的局部清除可解除追踪僵局。</w:t>
      </w:r>
    </w:p>
    <w:p>
      <w:pPr>
        <w:jc w:val="both"/>
      </w:pPr>
      <w:r>
        <w:t>具体恢复过程先在上一个有效点至失败前进点之间尝试射线区间清除；未成功时，从上一个有效点沿原方位偏转±25°、±55°作对称探测，探测距离限制在50至200 m。若恢复方向观测，前进步长缩至原来的75%；若仍无方向，则逐步减半，最低到12.5 m。若新旧方向单位向量内积小于−0.25，说明有越过目标的迹象，后续步长也减半，最低到8 m。单次追踪过程最多进行64轮，以便失败后把控制权交回全局搜索，而不是在同一目标附近无限循环。</w:t>
      </w:r>
    </w:p>
    <w:p>
      <w:pPr>
        <w:keepNext/>
        <w:jc w:val="both"/>
      </w:pPr>
      <w:r>
        <w:t>跨源路线也考虑这种恢复代价。设从当前位置p服务源j的代表点为</w:t>
      </w:r>
      <m:oMath>
        <m:sSub>
          <m:e>
            <m:r>
              <m:t>g</m:t>
              <w:rPr>
                <w:rFonts w:ascii="Cambria Math" w:hAnsi="Cambria Math" w:eastAsia="Cambria Math"/>
              </w:rPr>
            </m:r>
          </m:e>
          <m:sub>
            <m:r>
              <m:t>j</m:t>
              <w:rPr>
                <w:rFonts w:ascii="Cambria Math" w:hAnsi="Cambria Math" w:eastAsia="Cambria Math"/>
              </w:rPr>
            </m:r>
          </m:sub>
        </m:sSub>
      </m:oMath>
      <w:r>
        <w:t>，回到有效示向附近的恢复点为</w:t>
      </w:r>
      <m:oMath>
        <m:sSub>
          <m:e>
            <m:r>
              <m:t>b</m:t>
              <w:rPr>
                <w:rFonts w:ascii="Cambria Math" w:hAnsi="Cambria Math" w:eastAsia="Cambria Math"/>
              </w:rPr>
            </m:r>
          </m:e>
          <m:sub>
            <m:r>
              <m:t>j</m:t>
              <w:rPr>
                <w:rFonts w:ascii="Cambria Math" w:hAnsi="Cambria Math" w:eastAsia="Cambria Math"/>
              </w:rPr>
            </m:r>
          </m:sub>
        </m:sSub>
      </m:oMath>
      <w:r>
        <w:t>，模型估计直接交接可见概率为</w:t>
      </w:r>
      <m:oMath>
        <m:sSub>
          <m:e>
            <m:r>
              <m:t>v</m:t>
              <w:rPr>
                <w:rFonts w:ascii="Cambria Math" w:hAnsi="Cambria Math" w:eastAsia="Cambria Math"/>
              </w:rPr>
            </m:r>
          </m:e>
          <m:sub>
            <m:r>
              <m:t>j</m:t>
              <w:rPr>
                <w:rFonts w:ascii="Cambria Math" w:hAnsi="Cambria Math" w:eastAsia="Cambria Math"/>
              </w:rPr>
            </m:r>
          </m:sub>
        </m:sSub>
      </m:oMath>
      <w:r>
        <w:t>，则服务距离近似为</w:t>
      </w:r>
    </w:p>
    <w:p>
      <w:pPr>
        <w:keepLines/>
        <w:ind w:firstLine="0"/>
        <w:jc w:val="center"/>
      </w:pPr>
      <m:oMath>
        <m:r>
          <m:t>d(p,j)=</m:t>
          <w:rPr>
            <w:rFonts w:ascii="Cambria Math" w:hAnsi="Cambria Math" w:eastAsia="Cambria Math"/>
          </w:rPr>
        </m:r>
        <m:sSub>
          <m:e>
            <m:r>
              <m:t>v</m:t>
              <w:rPr>
                <w:rFonts w:ascii="Cambria Math" w:hAnsi="Cambria Math" w:eastAsia="Cambria Math"/>
              </w:rPr>
            </m:r>
          </m:e>
          <m:sub>
            <m:r>
              <m:t>j</m:t>
              <w:rPr>
                <w:rFonts w:ascii="Cambria Math" w:hAnsi="Cambria Math" w:eastAsia="Cambria Math"/>
              </w:rPr>
            </m:r>
          </m:sub>
        </m:sSub>
        <m:r>
          <m:t>‖p−</m:t>
          <w:rPr>
            <w:rFonts w:ascii="Cambria Math" w:hAnsi="Cambria Math" w:eastAsia="Cambria Math"/>
          </w:rPr>
        </m:r>
        <m:sSub>
          <m:e>
            <m:r>
              <m:t>g</m:t>
              <w:rPr>
                <w:rFonts w:ascii="Cambria Math" w:hAnsi="Cambria Math" w:eastAsia="Cambria Math"/>
              </w:rPr>
            </m:r>
          </m:e>
          <m:sub>
            <m:r>
              <m:t>j</m:t>
              <w:rPr>
                <w:rFonts w:ascii="Cambria Math" w:hAnsi="Cambria Math" w:eastAsia="Cambria Math"/>
              </w:rPr>
            </m:r>
          </m:sub>
        </m:sSub>
        <m:r>
          <m:t>‖+(1−</m:t>
          <w:rPr>
            <w:rFonts w:ascii="Cambria Math" w:hAnsi="Cambria Math" w:eastAsia="Cambria Math"/>
          </w:rPr>
        </m:r>
        <m:sSub>
          <m:e>
            <m:r>
              <m:t>v</m:t>
              <w:rPr>
                <w:rFonts w:ascii="Cambria Math" w:hAnsi="Cambria Math" w:eastAsia="Cambria Math"/>
              </w:rPr>
            </m:r>
          </m:e>
          <m:sub>
            <m:r>
              <m:t>j</m:t>
              <w:rPr>
                <w:rFonts w:ascii="Cambria Math" w:hAnsi="Cambria Math" w:eastAsia="Cambria Math"/>
              </w:rPr>
            </m:r>
          </m:sub>
        </m:sSub>
        <m:r>
          <m:t>)(‖p−</m:t>
          <w:rPr>
            <w:rFonts w:ascii="Cambria Math" w:hAnsi="Cambria Math" w:eastAsia="Cambria Math"/>
          </w:rPr>
        </m:r>
        <m:sSub>
          <m:e>
            <m:r>
              <m:t>b</m:t>
              <w:rPr>
                <w:rFonts w:ascii="Cambria Math" w:hAnsi="Cambria Math" w:eastAsia="Cambria Math"/>
              </w:rPr>
            </m:r>
          </m:e>
          <m:sub>
            <m:r>
              <m:t>j</m:t>
              <w:rPr>
                <w:rFonts w:ascii="Cambria Math" w:hAnsi="Cambria Math" w:eastAsia="Cambria Math"/>
              </w:rPr>
            </m:r>
          </m:sub>
        </m:sSub>
        <m:r>
          <m:t>‖+‖</m:t>
          <w:rPr>
            <w:rFonts w:ascii="Cambria Math" w:hAnsi="Cambria Math" w:eastAsia="Cambria Math"/>
          </w:rPr>
        </m:r>
        <m:sSub>
          <m:e>
            <m:r>
              <m:t>b</m:t>
              <w:rPr>
                <w:rFonts w:ascii="Cambria Math" w:hAnsi="Cambria Math" w:eastAsia="Cambria Math"/>
              </w:rPr>
            </m:r>
          </m:e>
          <m:sub>
            <m:r>
              <m:t>j</m:t>
              <w:rPr>
                <w:rFonts w:ascii="Cambria Math" w:hAnsi="Cambria Math" w:eastAsia="Cambria Math"/>
              </w:rPr>
            </m:r>
          </m:sub>
        </m:sSub>
        <m:r>
          <m:t>−</m:t>
          <w:rPr>
            <w:rFonts w:ascii="Cambria Math" w:hAnsi="Cambria Math" w:eastAsia="Cambria Math"/>
          </w:rPr>
        </m:r>
        <m:sSub>
          <m:e>
            <m:r>
              <m:t>g</m:t>
              <w:rPr>
                <w:rFonts w:ascii="Cambria Math" w:hAnsi="Cambria Math" w:eastAsia="Cambria Math"/>
              </w:rPr>
            </m:r>
          </m:e>
          <m:sub>
            <m:r>
              <m:t>j</m:t>
              <w:rPr>
                <w:rFonts w:ascii="Cambria Math" w:hAnsi="Cambria Math" w:eastAsia="Cambria Math"/>
              </w:rPr>
            </m:r>
          </m:sub>
        </m:sSub>
        <m:r>
          <m:t>‖).</m:t>
          <w:rPr>
            <w:rFonts w:ascii="Cambria Math" w:hAnsi="Cambria Math" w:eastAsia="Cambria Math"/>
          </w:rPr>
        </m:r>
      </m:oMath>
      <w:r>
        <w:t xml:space="preserve">  (17)</w:t>
      </w:r>
    </w:p>
    <w:p>
      <w:pPr>
        <w:jc w:val="both"/>
      </w:pPr>
      <w:r>
        <w:t>式(17)用于构建式(14)的有向代价矩阵。其意义是对容易失信号的交接增加预期恢复成本，避免只按代表点欧氏距离选择表面上最近的源。程序仍以实际观测和清除结果执行状态转换，模型概率本身不代表清除成功。</w:t>
      </w:r>
    </w:p>
    <w:p>
      <w:pPr>
        <w:ind w:firstLine="0"/>
        <w:jc w:val="both"/>
      </w:pPr>
      <w:r>
        <w:rPr>
          <w:color w:val="555555"/>
          <w:sz w:val="20"/>
        </w:rPr>
        <w:t>【图7待绘：定向覆盖半平面、两类no_signal原因及最后有效射线上的恢复过程。特别标出光学清除可在信号盲区内成功。】</w:t>
      </w:r>
    </w:p>
    <w:p>
      <w:pPr>
        <w:pStyle w:val="Heading2"/>
      </w:pPr>
      <w:r>
        <w:t>8.4 未知源数后验与双风险停止</w:t>
      </w:r>
    </w:p>
    <w:p>
      <w:pPr>
        <w:keepNext/>
        <w:jc w:val="both"/>
      </w:pPr>
      <w:r>
        <w:t>令已发现频道数为k。假设源数先验在10至16均匀分布、源频道从20个中无放回均匀选择，各潜在未发现源的漏检事件用同一概率q近似。给定候选总源数n，其未归一化后验权重为</w:t>
      </w:r>
    </w:p>
    <w:p>
      <w:pPr>
        <w:keepLines/>
        <w:ind w:firstLine="0"/>
        <w:jc w:val="center"/>
      </w:pPr>
      <m:oMath>
        <m:sSub>
          <m:e>
            <m:r>
              <m:t>w</m:t>
              <w:rPr>
                <w:rFonts w:ascii="Cambria Math" w:hAnsi="Cambria Math" w:eastAsia="Cambria Math"/>
              </w:rPr>
            </m:r>
          </m:e>
          <m:sub>
            <m:r>
              <m:t>n</m:t>
              <w:rPr>
                <w:rFonts w:ascii="Cambria Math" w:hAnsi="Cambria Math" w:eastAsia="Cambria Math"/>
              </w:rPr>
            </m:r>
          </m:sub>
        </m:sSub>
        <m:r>
          <m:t>=</m:t>
          <w:rPr>
            <w:rFonts w:ascii="Cambria Math" w:hAnsi="Cambria Math" w:eastAsia="Cambria Math"/>
          </w:rPr>
        </m:r>
        <m:f>
          <m:fPr>
            <m:type m:val="bar"/>
          </m:fPr>
          <m:num>
            <m:d>
              <m:dPr>
                <m:sepChr m:val=""/>
              </m:dPr>
              <m:e>
                <m:f>
                  <m:fPr>
                    <m:type m:val="noBar"/>
                  </m:fPr>
                  <m:num>
                    <m:r>
                      <m:t>20−k</m:t>
                      <w:rPr>
                        <w:rFonts w:ascii="Cambria Math" w:hAnsi="Cambria Math" w:eastAsia="Cambria Math"/>
                      </w:rPr>
                    </m:r>
                  </m:num>
                  <m:den>
                    <m:r>
                      <m:t>n−k</m:t>
                      <w:rPr>
                        <w:rFonts w:ascii="Cambria Math" w:hAnsi="Cambria Math" w:eastAsia="Cambria Math"/>
                      </w:rPr>
                    </m:r>
                  </m:den>
                </m:f>
              </m:e>
            </m:d>
          </m:num>
          <m:den>
            <m:d>
              <m:dPr>
                <m:sepChr m:val=""/>
              </m:dPr>
              <m:e>
                <m:f>
                  <m:fPr>
                    <m:type m:val="noBar"/>
                  </m:fPr>
                  <m:num>
                    <m:r>
                      <m:t>20</m:t>
                      <w:rPr>
                        <w:rFonts w:ascii="Cambria Math" w:hAnsi="Cambria Math" w:eastAsia="Cambria Math"/>
                      </w:rPr>
                    </m:r>
                  </m:num>
                  <m:den>
                    <m:r>
                      <m:t>n</m:t>
                      <w:rPr>
                        <w:rFonts w:ascii="Cambria Math" w:hAnsi="Cambria Math" w:eastAsia="Cambria Math"/>
                      </w:rPr>
                    </m:r>
                  </m:den>
                </m:f>
              </m:e>
            </m:d>
          </m:den>
        </m:f>
        <m:sSup>
          <m:e>
            <m:r>
              <m:t>q</m:t>
              <w:rPr>
                <w:rFonts w:ascii="Cambria Math" w:hAnsi="Cambria Math" w:eastAsia="Cambria Math"/>
              </w:rPr>
            </m:r>
          </m:e>
          <m:sup>
            <m:r>
              <m:t>n−k</m:t>
              <w:rPr>
                <w:rFonts w:ascii="Cambria Math" w:hAnsi="Cambria Math" w:eastAsia="Cambria Math"/>
              </w:rPr>
            </m:r>
          </m:sup>
        </m:sSup>
        <m:r>
          <m:t>,</m:t>
          <w:rPr>
            <w:rFonts w:ascii="Cambria Math" w:hAnsi="Cambria Math" w:eastAsia="Cambria Math"/>
          </w:rPr>
        </m:r>
        <m:r>
          <m:t>n=max(10,k),…,16.</m:t>
          <w:rPr>
            <w:rFonts w:ascii="Cambria Math" w:hAnsi="Cambria Math" w:eastAsia="Cambria Math"/>
          </w:rPr>
        </m:r>
      </m:oMath>
      <w:r>
        <w:t xml:space="preserve">  (18)</w:t>
      </w:r>
    </w:p>
    <w:p>
      <w:pPr>
        <w:keepNext/>
        <w:jc w:val="both"/>
      </w:pPr>
      <w:r>
        <w:t>式(18)利用了未发现频道的空观测信息，但没有建模官方未知生成分布的全部细节，是控制器使用的近似后验。归一化后可得无剩余源概率与剩余源期望：</w:t>
      </w:r>
    </w:p>
    <w:p>
      <w:pPr>
        <w:keepLines/>
        <w:ind w:firstLine="0"/>
        <w:jc w:val="center"/>
      </w:pPr>
      <m:oMath>
        <m:sSub>
          <m:e>
            <m:r>
              <m:t>P</m:t>
              <w:rPr>
                <w:rFonts w:ascii="Cambria Math" w:hAnsi="Cambria Math" w:eastAsia="Cambria Math"/>
              </w:rPr>
            </m:r>
          </m:e>
          <m:sub>
            <m:r>
              <m:t>0</m:t>
              <w:rPr>
                <w:rFonts w:ascii="Cambria Math" w:hAnsi="Cambria Math" w:eastAsia="Cambria Math"/>
              </w:rPr>
            </m:r>
          </m:sub>
        </m:sSub>
        <m:r>
          <m:t>=</m:t>
          <w:rPr>
            <w:rFonts w:ascii="Cambria Math" w:hAnsi="Cambria Math" w:eastAsia="Cambria Math"/>
          </w:rPr>
        </m:r>
        <m:f>
          <m:fPr>
            <m:type m:val="bar"/>
          </m:fPr>
          <m:num>
            <m:sSub>
              <m:e>
                <m:r>
                  <m:t>w</m:t>
                  <w:rPr>
                    <w:rFonts w:ascii="Cambria Math" w:hAnsi="Cambria Math" w:eastAsia="Cambria Math"/>
                  </w:rPr>
                </m:r>
              </m:e>
              <m:sub>
                <m:r>
                  <m:t>k</m:t>
                  <w:rPr>
                    <w:rFonts w:ascii="Cambria Math" w:hAnsi="Cambria Math" w:eastAsia="Cambria Math"/>
                  </w:rPr>
                </m:r>
              </m:sub>
            </m:sSub>
          </m:num>
          <m:den>
            <m:nary>
              <m:naryPr>
                <m:chr m:val="∑"/>
                <m:limLoc m:val="subSup"/>
                <m:grow m:val="1"/>
                <m:subHide m:val="off"/>
                <m:supHide m:val="on"/>
              </m:naryPr>
              <m:sub>
                <m:r>
                  <m:t>n</m:t>
                  <w:rPr>
                    <w:rFonts w:ascii="Cambria Math" w:hAnsi="Cambria Math" w:eastAsia="Cambria Math"/>
                  </w:rPr>
                </m:r>
              </m:sub>
              <m:sup/>
              <m:e>
                <m:sSub>
                  <m:e>
                    <m:r>
                      <m:t>w</m:t>
                      <w:rPr>
                        <w:rFonts w:ascii="Cambria Math" w:hAnsi="Cambria Math" w:eastAsia="Cambria Math"/>
                      </w:rPr>
                    </m:r>
                  </m:e>
                  <m:sub>
                    <m:r>
                      <m:t>n</m:t>
                      <w:rPr>
                        <w:rFonts w:ascii="Cambria Math" w:hAnsi="Cambria Math" w:eastAsia="Cambria Math"/>
                      </w:rPr>
                    </m:r>
                  </m:sub>
                </m:sSub>
              </m:e>
            </m:nary>
          </m:den>
        </m:f>
        <m:r>
          <m:t>,</m:t>
          <w:rPr>
            <w:rFonts w:ascii="Cambria Math" w:hAnsi="Cambria Math" w:eastAsia="Cambria Math"/>
          </w:rPr>
        </m:r>
        <m:bar>
          <m:barPr>
            <m:pos m:val="top"/>
          </m:barPr>
          <m:e>
            <m:r>
              <m:t>R</m:t>
              <w:rPr>
                <w:rFonts w:ascii="Cambria Math" w:hAnsi="Cambria Math" w:eastAsia="Cambria Math"/>
              </w:rPr>
            </m:r>
          </m:e>
        </m:bar>
        <m:r>
          <m:t>=</m:t>
          <w:rPr>
            <w:rFonts w:ascii="Cambria Math" w:hAnsi="Cambria Math" w:eastAsia="Cambria Math"/>
          </w:rPr>
        </m:r>
        <m:f>
          <m:fPr>
            <m:type m:val="bar"/>
          </m:fPr>
          <m:num>
            <m:nary>
              <m:naryPr>
                <m:chr m:val="∑"/>
                <m:limLoc m:val="subSup"/>
                <m:grow m:val="1"/>
                <m:subHide m:val="off"/>
                <m:supHide m:val="on"/>
              </m:naryPr>
              <m:sub>
                <m:r>
                  <m:t>n</m:t>
                  <w:rPr>
                    <w:rFonts w:ascii="Cambria Math" w:hAnsi="Cambria Math" w:eastAsia="Cambria Math"/>
                  </w:rPr>
                </m:r>
              </m:sub>
              <m:sup/>
              <m:e>
                <m:r>
                  <m:t>(n−k)</m:t>
                  <w:rPr>
                    <w:rFonts w:ascii="Cambria Math" w:hAnsi="Cambria Math" w:eastAsia="Cambria Math"/>
                  </w:rPr>
                </m:r>
              </m:e>
            </m:nary>
            <m:sSub>
              <m:e>
                <m:r>
                  <m:t>w</m:t>
                  <w:rPr>
                    <w:rFonts w:ascii="Cambria Math" w:hAnsi="Cambria Math" w:eastAsia="Cambria Math"/>
                  </w:rPr>
                </m:r>
              </m:e>
              <m:sub>
                <m:r>
                  <m:t>n</m:t>
                  <w:rPr>
                    <w:rFonts w:ascii="Cambria Math" w:hAnsi="Cambria Math" w:eastAsia="Cambria Math"/>
                  </w:rPr>
                </m:r>
              </m:sub>
            </m:sSub>
          </m:num>
          <m:den>
            <m:nary>
              <m:naryPr>
                <m:chr m:val="∑"/>
                <m:limLoc m:val="subSup"/>
                <m:grow m:val="1"/>
                <m:subHide m:val="off"/>
                <m:supHide m:val="on"/>
              </m:naryPr>
              <m:sub>
                <m:r>
                  <m:t>n</m:t>
                  <w:rPr>
                    <w:rFonts w:ascii="Cambria Math" w:hAnsi="Cambria Math" w:eastAsia="Cambria Math"/>
                  </w:rPr>
                </m:r>
              </m:sub>
              <m:sup/>
              <m:e>
                <m:sSub>
                  <m:e>
                    <m:r>
                      <m:t>w</m:t>
                      <w:rPr>
                        <w:rFonts w:ascii="Cambria Math" w:hAnsi="Cambria Math" w:eastAsia="Cambria Math"/>
                      </w:rPr>
                    </m:r>
                  </m:e>
                  <m:sub>
                    <m:r>
                      <m:t>n</m:t>
                      <w:rPr>
                        <w:rFonts w:ascii="Cambria Math" w:hAnsi="Cambria Math" w:eastAsia="Cambria Math"/>
                      </w:rPr>
                    </m:r>
                  </m:sub>
                </m:sSub>
              </m:e>
            </m:nary>
          </m:den>
        </m:f>
        <m:r>
          <m:t>.</m:t>
          <w:rPr>
            <w:rFonts w:ascii="Cambria Math" w:hAnsi="Cambria Math" w:eastAsia="Cambria Math"/>
          </w:rPr>
        </m:r>
      </m:oMath>
      <w:r>
        <w:t xml:space="preserve">  (19)</w:t>
      </w:r>
    </w:p>
    <w:p>
      <w:pPr>
        <w:keepNext/>
        <w:jc w:val="both"/>
      </w:pPr>
      <w:r>
        <w:t>当k小于10时</w:t>
      </w:r>
      <m:oMath>
        <m:sSub>
          <m:e>
            <m:r>
              <m:t>P</m:t>
              <w:rPr>
                <w:rFonts w:ascii="Cambria Math" w:hAnsi="Cambria Math" w:eastAsia="Cambria Math"/>
              </w:rPr>
            </m:r>
          </m:e>
          <m:sub>
            <m:r>
              <m:t>0</m:t>
              <w:rPr>
                <w:rFonts w:ascii="Cambria Math" w:hAnsi="Cambria Math" w:eastAsia="Cambria Math"/>
              </w:rPr>
            </m:r>
          </m:sub>
        </m:sSub>
        <m:r>
          <m:t>=0</m:t>
          <w:rPr>
            <w:rFonts w:ascii="Cambria Math" w:hAnsi="Cambria Math" w:eastAsia="Cambria Math"/>
          </w:rPr>
        </m:r>
      </m:oMath>
      <w:r>
        <w:t>；当k达到16时</w:t>
      </w:r>
      <m:oMath>
        <m:sSub>
          <m:e>
            <m:r>
              <m:t>P</m:t>
              <w:rPr>
                <w:rFonts w:ascii="Cambria Math" w:hAnsi="Cambria Math" w:eastAsia="Cambria Math"/>
              </w:rPr>
            </m:r>
          </m:e>
          <m:sub>
            <m:r>
              <m:t>0</m:t>
              <w:rPr>
                <w:rFonts w:ascii="Cambria Math" w:hAnsi="Cambria Math" w:eastAsia="Cambria Math"/>
              </w:rPr>
            </m:r>
          </m:sub>
        </m:sSub>
        <m:r>
          <m:t>=1</m:t>
          <w:rPr>
            <w:rFonts w:ascii="Cambria Math" w:hAnsi="Cambria Math" w:eastAsia="Cambria Math"/>
          </w:rPr>
        </m:r>
      </m:oMath>
      <w:r>
        <w:t>。比例风险指标定义为</w:t>
      </w:r>
    </w:p>
    <w:p>
      <w:pPr>
        <w:keepLines/>
        <w:ind w:firstLine="0"/>
        <w:jc w:val="center"/>
      </w:pPr>
      <m:oMath>
        <m:r>
          <m:t>ρ=</m:t>
          <w:rPr>
            <w:rFonts w:ascii="Cambria Math" w:hAnsi="Cambria Math" w:eastAsia="Cambria Math"/>
          </w:rPr>
        </m:r>
        <m:f>
          <m:fPr>
            <m:type m:val="bar"/>
          </m:fPr>
          <m:num>
            <m:bar>
              <m:barPr>
                <m:pos m:val="top"/>
              </m:barPr>
              <m:e>
                <m:r>
                  <m:t>R</m:t>
                  <w:rPr>
                    <w:rFonts w:ascii="Cambria Math" w:hAnsi="Cambria Math" w:eastAsia="Cambria Math"/>
                  </w:rPr>
                </m:r>
              </m:e>
            </m:bar>
          </m:num>
          <m:den>
            <m:r>
              <m:t>k+</m:t>
              <w:rPr>
                <w:rFonts w:ascii="Cambria Math" w:hAnsi="Cambria Math" w:eastAsia="Cambria Math"/>
              </w:rPr>
            </m:r>
            <m:bar>
              <m:barPr>
                <m:pos m:val="top"/>
              </m:barPr>
              <m:e>
                <m:r>
                  <m:t>R</m:t>
                  <w:rPr>
                    <w:rFonts w:ascii="Cambria Math" w:hAnsi="Cambria Math" w:eastAsia="Cambria Math"/>
                  </w:rPr>
                </m:r>
              </m:e>
            </m:bar>
          </m:den>
        </m:f>
        <m:r>
          <m:t>.</m:t>
          <w:rPr>
            <w:rFonts w:ascii="Cambria Math" w:hAnsi="Cambria Math" w:eastAsia="Cambria Math"/>
          </w:rPr>
        </m:r>
      </m:oMath>
      <w:r>
        <w:t xml:space="preserve">  (20)</w:t>
      </w:r>
    </w:p>
    <w:p>
      <w:pPr>
        <w:jc w:val="both"/>
      </w:pPr>
      <w:r>
        <w:t>该指标是期望剩余数与期望总数之比，一般不等于期望漏源比例</w:t>
      </w:r>
      <m:oMath>
        <m:r>
          <m:rPr>
            <m:scr m:val="double-struck"/>
            <m:sty m:val="p"/>
          </m:rPr>
          <m:t>E</m:t>
          <w:rPr>
            <w:rFonts w:ascii="Cambria Math" w:hAnsi="Cambria Math" w:eastAsia="Cambria Math"/>
          </w:rPr>
        </m:r>
        <m:r>
          <m:t>[R/N]</m:t>
          <w:rPr>
            <w:rFonts w:ascii="Cambria Math" w:hAnsi="Cambria Math" w:eastAsia="Cambria Math"/>
          </w:rPr>
        </m:r>
      </m:oMath>
      <w:r>
        <w:t>。旧配置只要求</w:t>
      </w:r>
      <m:oMath>
        <m:r>
          <m:t>ρ≤0.04</m:t>
          <w:rPr>
            <w:rFonts w:ascii="Cambria Math" w:hAnsi="Cambria Math" w:eastAsia="Cambria Math"/>
          </w:rPr>
        </m:r>
      </m:oMath>
      <w:r>
        <w:t>，容易在k=15时认为“还可能有最后一个源”的占比很小而停止。例如剩余源存在概率约0.6时，该比例只有约3.85%，仍可能通过4%阈值。</w:t>
      </w:r>
    </w:p>
    <w:p>
      <w:pPr>
        <w:keepNext/>
        <w:jc w:val="both"/>
      </w:pPr>
      <w:r>
        <w:t>为抑制这一现象，新配置同时限制任一剩余源概率，并要求没有已发现未清除频道：</w:t>
      </w:r>
    </w:p>
    <w:p>
      <w:pPr>
        <w:keepLines/>
        <w:ind w:firstLine="0"/>
        <w:jc w:val="center"/>
      </w:pPr>
      <m:oMath>
        <m:r>
          <m:t>ρ≤η,</m:t>
          <w:rPr>
            <w:rFonts w:ascii="Cambria Math" w:hAnsi="Cambria Math" w:eastAsia="Cambria Math"/>
          </w:rPr>
        </m:r>
        <m:r>
          <m:t>1−</m:t>
          <w:rPr>
            <w:rFonts w:ascii="Cambria Math" w:hAnsi="Cambria Math" w:eastAsia="Cambria Math"/>
          </w:rPr>
        </m:r>
        <m:sSub>
          <m:e>
            <m:r>
              <m:t>P</m:t>
              <w:rPr>
                <w:rFonts w:ascii="Cambria Math" w:hAnsi="Cambria Math" w:eastAsia="Cambria Math"/>
              </w:rPr>
            </m:r>
          </m:e>
          <m:sub>
            <m:r>
              <m:t>0</m:t>
              <w:rPr>
                <w:rFonts w:ascii="Cambria Math" w:hAnsi="Cambria Math" w:eastAsia="Cambria Math"/>
              </w:rPr>
            </m:r>
          </m:sub>
        </m:sSub>
        <m:r>
          <m:t>≤α,</m:t>
          <w:rPr>
            <w:rFonts w:ascii="Cambria Math" w:hAnsi="Cambria Math" w:eastAsia="Cambria Math"/>
          </w:rPr>
        </m:r>
        <m:r>
          <m:t>C=k≥10.</m:t>
          <w:rPr>
            <w:rFonts w:ascii="Cambria Math" w:hAnsi="Cambria Math" w:eastAsia="Cambria Math"/>
          </w:rPr>
        </m:r>
      </m:oMath>
      <w:r>
        <w:t xml:space="preserve">  (21)</w:t>
      </w:r>
    </w:p>
    <w:p>
      <w:pPr>
        <w:jc w:val="both"/>
      </w:pPr>
      <w:r>
        <w:t>source-efficient v2取</w:t>
      </w:r>
      <m:oMath>
        <m:d>
          <m:dPr>
            <m:sepChr m:val=""/>
          </m:dPr>
          <m:e>
            <m:r>
              <m:t>η</m:t>
              <w:rPr>
                <w:rFonts w:ascii="Cambria Math" w:hAnsi="Cambria Math" w:eastAsia="Cambria Math"/>
              </w:rPr>
            </m:r>
            <m:r>
              <m:t>,</m:t>
              <w:rPr>
                <w:rFonts w:ascii="Cambria Math" w:hAnsi="Cambria Math" w:eastAsia="Cambria Math"/>
              </w:rPr>
            </m:r>
            <m:r>
              <m:t>α</m:t>
              <w:rPr>
                <w:rFonts w:ascii="Cambria Math" w:hAnsi="Cambria Math" w:eastAsia="Cambria Math"/>
              </w:rPr>
            </m:r>
            <m:r>
              <m:t>)</m:t>
              <w:rPr>
                <w:rFonts w:ascii="Cambria Math" w:hAnsi="Cambria Math" w:eastAsia="Cambria Math"/>
              </w:rPr>
            </m:r>
            <m:r>
              <m:t>=</m:t>
              <w:rPr>
                <w:rFonts w:ascii="Cambria Math" w:hAnsi="Cambria Math" w:eastAsia="Cambria Math"/>
              </w:rPr>
            </m:r>
            <m:r>
              <m:t>(</m:t>
              <w:rPr>
                <w:rFonts w:ascii="Cambria Math" w:hAnsi="Cambria Math" w:eastAsia="Cambria Math"/>
              </w:rPr>
            </m:r>
            <m:r>
              <m:t>0.04</m:t>
              <w:rPr>
                <w:rFonts w:ascii="Cambria Math" w:hAnsi="Cambria Math" w:eastAsia="Cambria Math"/>
              </w:rPr>
            </m:r>
            <m:r>
              <m:t>,</m:t>
              <w:rPr>
                <w:rFonts w:ascii="Cambria Math" w:hAnsi="Cambria Math" w:eastAsia="Cambria Math"/>
              </w:rPr>
            </m:r>
            <m:r>
              <m:t>0.10</m:t>
              <w:rPr>
                <w:rFonts w:ascii="Cambria Math" w:hAnsi="Cambria Math" w:eastAsia="Cambria Math"/>
              </w:rPr>
            </m:r>
          </m:e>
        </m:d>
      </m:oMath>
      <w:r>
        <w:t>；source-98取</w:t>
      </w:r>
      <m:oMath>
        <m:d>
          <m:dPr>
            <m:sepChr m:val=","/>
          </m:dPr>
          <m:e>
            <m:r>
              <m:t>0.04</m:t>
              <w:rPr>
                <w:rFonts w:ascii="Cambria Math" w:hAnsi="Cambria Math" w:eastAsia="Cambria Math"/>
              </w:rPr>
            </m:r>
          </m:e>
          <m:e>
            <m:r>
              <m:t>0.25</m:t>
              <w:rPr>
                <w:rFonts w:ascii="Cambria Math" w:hAnsi="Cambria Math" w:eastAsia="Cambria Math"/>
              </w:rPr>
            </m:r>
          </m:e>
        </m:d>
      </m:oMath>
      <w:r>
        <w:t>。搜索前瞻和最终停止检查使用同样的条件，避免规划目标与退出条件不一致。全清优先conservative直接要求</w:t>
      </w:r>
      <m:oMath>
        <m:sSub>
          <m:e>
            <m:r>
              <m:t>P</m:t>
              <w:rPr>
                <w:rFonts w:ascii="Cambria Math" w:hAnsi="Cambria Math" w:eastAsia="Cambria Math"/>
              </w:rPr>
            </m:r>
          </m:e>
          <m:sub>
            <m:r>
              <m:t>0</m:t>
              <w:rPr>
                <w:rFonts w:ascii="Cambria Math" w:hAnsi="Cambria Math" w:eastAsia="Cambria Math"/>
              </w:rPr>
            </m:r>
          </m:sub>
        </m:sSub>
        <m:r>
          <m:t>≥0.998</m:t>
          <w:rPr>
            <w:rFonts w:ascii="Cambria Math" w:hAnsi="Cambria Math" w:eastAsia="Cambria Math"/>
          </w:rPr>
        </m:r>
      </m:oMath>
      <w:r>
        <w:t>。上述阈值控制模型风险；所有有限风险提前停止配置都可能漏源。</w:t>
      </w:r>
    </w:p>
    <w:p>
      <w:pPr>
        <w:pStyle w:val="Heading2"/>
      </w:pPr>
      <w:r>
        <w:t>8.5 候选配置的实测比较</w:t>
      </w:r>
    </w:p>
    <w:p>
      <w:pPr>
        <w:jc w:val="both"/>
      </w:pPr>
      <w:r>
        <w:t>先在相同500个固定16源场景和500个混合源场景上比较基线、conservative和balanced。表中时间全部为逐局题面</w:t>
      </w:r>
      <m:oMath>
        <m:f>
          <m:fPr>
            <m:type m:val="lin"/>
          </m:fPr>
          <m:num>
            <m:r>
              <m:t>T</m:t>
              <w:rPr>
                <w:rFonts w:ascii="Cambria Math" w:hAnsi="Cambria Math" w:eastAsia="Cambria Math"/>
              </w:rPr>
            </m:r>
          </m:num>
          <m:den>
            <m:r>
              <m:t>C</m:t>
              <w:rPr>
                <w:rFonts w:ascii="Cambria Math" w:hAnsi="Cambria Math" w:eastAsia="Cambria Math"/>
              </w:rPr>
            </m:r>
          </m:den>
        </m:f>
      </m:oMath>
      <w:r>
        <w:t>的均值。</w:t>
      </w:r>
    </w:p>
    <w:p>
      <w:pPr>
        <w:keepNext/>
        <w:ind w:firstLine="0"/>
        <w:jc w:val="center"/>
      </w:pPr>
      <w:r>
        <w:t>表8 问题四同批候选配置比较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cantSplit/>
          <w:tblHeader/>
        </w:trPr>
        <w:tc>
          <w:tcPr>
            <w:tcW w:type="dxa" w:w="1837"/>
            <w:vAlign w:val="center"/>
            <w:shd w:fill="EFEFEF"/>
          </w:tcPr>
          <w:p>
            <w:pPr>
              <w:keepNext/>
              <w:spacing w:line="264" w:lineRule="auto" w:before="60" w:after="60"/>
              <w:ind w:firstLine="0"/>
              <w:jc w:val="center"/>
            </w:pPr>
            <w:r>
              <w:rPr>
                <w:b/>
                <w:sz w:val="19"/>
              </w:rPr>
              <w:t>场景</w:t>
            </w:r>
          </w:p>
        </w:tc>
        <w:tc>
          <w:tcPr>
            <w:tcW w:type="dxa" w:w="1837"/>
            <w:vAlign w:val="center"/>
            <w:shd w:fill="EFEFEF"/>
          </w:tcPr>
          <w:p>
            <w:pPr>
              <w:keepNext/>
              <w:spacing w:line="264" w:lineRule="auto" w:before="60" w:after="60"/>
              <w:ind w:firstLine="0"/>
              <w:jc w:val="center"/>
            </w:pPr>
            <w:r>
              <w:rPr>
                <w:b/>
                <w:sz w:val="19"/>
              </w:rPr>
              <w:t>配置</w:t>
            </w:r>
          </w:p>
        </w:tc>
        <w:tc>
          <w:tcPr>
            <w:tcW w:type="dxa" w:w="1837"/>
            <w:vAlign w:val="center"/>
            <w:shd w:fill="EFEFEF"/>
          </w:tcPr>
          <w:p>
            <w:pPr>
              <w:keepNext/>
              <w:spacing w:line="264" w:lineRule="auto" w:before="60" w:after="60"/>
              <w:ind w:firstLine="0"/>
              <w:jc w:val="center"/>
            </w:pPr>
            <w:r>
              <w:rPr>
                <w:b/>
                <w:sz w:val="19"/>
              </w:rPr>
              <w:t>源级清除率</w:t>
            </w:r>
          </w:p>
        </w:tc>
        <w:tc>
          <w:tcPr>
            <w:tcW w:type="dxa" w:w="1837"/>
            <w:vAlign w:val="center"/>
            <w:shd w:fill="EFEFEF"/>
          </w:tcPr>
          <w:p>
            <w:pPr>
              <w:keepNext/>
              <w:spacing w:line="264" w:lineRule="auto" w:before="60" w:after="60"/>
              <w:ind w:firstLine="0"/>
              <w:jc w:val="center"/>
            </w:pPr>
            <w:r>
              <w:rPr>
                <w:b/>
                <w:sz w:val="19"/>
              </w:rPr>
              <w:t>全清率</w:t>
            </w:r>
          </w:p>
        </w:tc>
        <w:tc>
          <w:tcPr>
            <w:tcW w:type="dxa" w:w="1837"/>
            <w:vAlign w:val="center"/>
            <w:shd w:fill="EFEFEF"/>
          </w:tcPr>
          <w:p>
            <w:pPr>
              <w:keepNext/>
              <w:spacing w:line="264" w:lineRule="auto" w:before="60" w:after="60"/>
              <w:ind w:firstLine="0"/>
              <w:jc w:val="center"/>
            </w:pPr>
            <w:r>
              <w:rPr>
                <w:b/>
                <w:sz w:val="19"/>
              </w:rPr>
              <w:t>平均T/C</w:t>
              <w:br/>
              <w:t>s/源</w:t>
            </w:r>
          </w:p>
        </w:tc>
      </w:tr>
      <w:tr>
        <w:trPr>
          <w:cantSplit/>
        </w:trPr>
        <w:tc>
          <w:tcPr>
            <w:tcW w:type="dxa" w:w="1837"/>
            <w:vAlign w:val="center"/>
          </w:tcPr>
          <w:p>
            <w:pPr>
              <w:keepNext/>
              <w:spacing w:line="264" w:lineRule="auto" w:before="60" w:after="60"/>
              <w:ind w:firstLine="0"/>
              <w:jc w:val="center"/>
            </w:pPr>
            <w:r>
              <w:rPr>
                <w:b w:val="0"/>
                <w:sz w:val="19"/>
              </w:rPr>
              <w:t>固定16源</w:t>
            </w:r>
          </w:p>
        </w:tc>
        <w:tc>
          <w:tcPr>
            <w:tcW w:type="dxa" w:w="1837"/>
            <w:vAlign w:val="center"/>
          </w:tcPr>
          <w:p>
            <w:pPr>
              <w:keepNext/>
              <w:spacing w:line="264" w:lineRule="auto" w:before="60" w:after="60"/>
              <w:ind w:firstLine="0"/>
              <w:jc w:val="center"/>
            </w:pPr>
            <w:r>
              <w:rPr>
                <w:b w:val="0"/>
                <w:sz w:val="19"/>
              </w:rPr>
              <w:t>原基线</w:t>
            </w:r>
          </w:p>
        </w:tc>
        <w:tc>
          <w:tcPr>
            <w:tcW w:type="dxa" w:w="1837"/>
            <w:vAlign w:val="center"/>
          </w:tcPr>
          <w:p>
            <w:pPr>
              <w:keepNext/>
              <w:spacing w:line="264" w:lineRule="auto" w:before="60" w:after="60"/>
              <w:ind w:firstLine="0"/>
              <w:jc w:val="center"/>
            </w:pPr>
            <w:r>
              <w:rPr>
                <w:b w:val="0"/>
                <w:sz w:val="19"/>
              </w:rPr>
              <w:t>100.0000%</w:t>
            </w:r>
          </w:p>
        </w:tc>
        <w:tc>
          <w:tcPr>
            <w:tcW w:type="dxa" w:w="1837"/>
            <w:vAlign w:val="center"/>
          </w:tcPr>
          <w:p>
            <w:pPr>
              <w:keepNext/>
              <w:spacing w:line="264" w:lineRule="auto" w:before="60" w:after="60"/>
              <w:ind w:firstLine="0"/>
              <w:jc w:val="center"/>
            </w:pPr>
            <w:r>
              <w:rPr>
                <w:b w:val="0"/>
                <w:sz w:val="19"/>
              </w:rPr>
              <w:t>100.00%</w:t>
            </w:r>
          </w:p>
        </w:tc>
        <w:tc>
          <w:tcPr>
            <w:tcW w:type="dxa" w:w="1837"/>
            <w:vAlign w:val="center"/>
          </w:tcPr>
          <w:p>
            <w:pPr>
              <w:keepNext/>
              <w:spacing w:line="264" w:lineRule="auto" w:before="60" w:after="60"/>
              <w:ind w:firstLine="0"/>
              <w:jc w:val="center"/>
            </w:pPr>
            <w:r>
              <w:rPr>
                <w:b w:val="0"/>
                <w:sz w:val="19"/>
              </w:rPr>
              <w:t>361.48</w:t>
            </w:r>
          </w:p>
        </w:tc>
      </w:tr>
      <w:tr>
        <w:trPr>
          <w:cantSplit/>
        </w:trPr>
        <w:tc>
          <w:tcPr>
            <w:tcW w:type="dxa" w:w="1837"/>
            <w:vAlign w:val="center"/>
          </w:tcPr>
          <w:p>
            <w:pPr>
              <w:keepNext/>
              <w:spacing w:line="264" w:lineRule="auto" w:before="60" w:after="60"/>
              <w:ind w:firstLine="0"/>
              <w:jc w:val="center"/>
            </w:pPr>
            <w:r>
              <w:rPr>
                <w:b w:val="0"/>
                <w:sz w:val="19"/>
              </w:rPr>
              <w:t>固定16源</w:t>
            </w:r>
          </w:p>
        </w:tc>
        <w:tc>
          <w:tcPr>
            <w:tcW w:type="dxa" w:w="1837"/>
            <w:vAlign w:val="center"/>
          </w:tcPr>
          <w:p>
            <w:pPr>
              <w:keepNext/>
              <w:spacing w:line="264" w:lineRule="auto" w:before="60" w:after="60"/>
              <w:ind w:firstLine="0"/>
              <w:jc w:val="center"/>
            </w:pPr>
            <w:r>
              <w:rPr>
                <w:b w:val="0"/>
                <w:sz w:val="19"/>
              </w:rPr>
              <w:t>conservative</w:t>
            </w:r>
          </w:p>
        </w:tc>
        <w:tc>
          <w:tcPr>
            <w:tcW w:type="dxa" w:w="1837"/>
            <w:vAlign w:val="center"/>
          </w:tcPr>
          <w:p>
            <w:pPr>
              <w:keepNext/>
              <w:spacing w:line="264" w:lineRule="auto" w:before="60" w:after="60"/>
              <w:ind w:firstLine="0"/>
              <w:jc w:val="center"/>
            </w:pPr>
            <w:r>
              <w:rPr>
                <w:b w:val="0"/>
                <w:sz w:val="19"/>
              </w:rPr>
              <w:t>100.0000%</w:t>
            </w:r>
          </w:p>
        </w:tc>
        <w:tc>
          <w:tcPr>
            <w:tcW w:type="dxa" w:w="1837"/>
            <w:vAlign w:val="center"/>
          </w:tcPr>
          <w:p>
            <w:pPr>
              <w:keepNext/>
              <w:spacing w:line="264" w:lineRule="auto" w:before="60" w:after="60"/>
              <w:ind w:firstLine="0"/>
              <w:jc w:val="center"/>
            </w:pPr>
            <w:r>
              <w:rPr>
                <w:b w:val="0"/>
                <w:sz w:val="19"/>
              </w:rPr>
              <w:t>100.00%</w:t>
            </w:r>
          </w:p>
        </w:tc>
        <w:tc>
          <w:tcPr>
            <w:tcW w:type="dxa" w:w="1837"/>
            <w:vAlign w:val="center"/>
          </w:tcPr>
          <w:p>
            <w:pPr>
              <w:keepNext/>
              <w:spacing w:line="264" w:lineRule="auto" w:before="60" w:after="60"/>
              <w:ind w:firstLine="0"/>
              <w:jc w:val="center"/>
            </w:pPr>
            <w:r>
              <w:rPr>
                <w:b w:val="0"/>
                <w:sz w:val="19"/>
              </w:rPr>
              <w:t>357.58</w:t>
            </w:r>
          </w:p>
        </w:tc>
      </w:tr>
      <w:tr>
        <w:trPr>
          <w:cantSplit/>
        </w:trPr>
        <w:tc>
          <w:tcPr>
            <w:tcW w:type="dxa" w:w="1837"/>
            <w:vAlign w:val="center"/>
          </w:tcPr>
          <w:p>
            <w:pPr>
              <w:keepNext/>
              <w:spacing w:line="264" w:lineRule="auto" w:before="60" w:after="60"/>
              <w:ind w:firstLine="0"/>
              <w:jc w:val="center"/>
            </w:pPr>
            <w:r>
              <w:rPr>
                <w:b w:val="0"/>
                <w:sz w:val="19"/>
              </w:rPr>
              <w:t>固定16源</w:t>
            </w:r>
          </w:p>
        </w:tc>
        <w:tc>
          <w:tcPr>
            <w:tcW w:type="dxa" w:w="1837"/>
            <w:vAlign w:val="center"/>
          </w:tcPr>
          <w:p>
            <w:pPr>
              <w:keepNext/>
              <w:spacing w:line="264" w:lineRule="auto" w:before="60" w:after="60"/>
              <w:ind w:firstLine="0"/>
              <w:jc w:val="center"/>
            </w:pPr>
            <w:r>
              <w:rPr>
                <w:b w:val="0"/>
                <w:sz w:val="19"/>
              </w:rPr>
              <w:t>balanced</w:t>
            </w:r>
          </w:p>
        </w:tc>
        <w:tc>
          <w:tcPr>
            <w:tcW w:type="dxa" w:w="1837"/>
            <w:vAlign w:val="center"/>
          </w:tcPr>
          <w:p>
            <w:pPr>
              <w:keepNext/>
              <w:spacing w:line="264" w:lineRule="auto" w:before="60" w:after="60"/>
              <w:ind w:firstLine="0"/>
              <w:jc w:val="center"/>
            </w:pPr>
            <w:r>
              <w:rPr>
                <w:b w:val="0"/>
                <w:sz w:val="19"/>
              </w:rPr>
              <w:t>99.9625%</w:t>
            </w:r>
          </w:p>
        </w:tc>
        <w:tc>
          <w:tcPr>
            <w:tcW w:type="dxa" w:w="1837"/>
            <w:vAlign w:val="center"/>
          </w:tcPr>
          <w:p>
            <w:pPr>
              <w:keepNext/>
              <w:spacing w:line="264" w:lineRule="auto" w:before="60" w:after="60"/>
              <w:ind w:firstLine="0"/>
              <w:jc w:val="center"/>
            </w:pPr>
            <w:r>
              <w:rPr>
                <w:b w:val="0"/>
                <w:sz w:val="19"/>
              </w:rPr>
              <w:t>99.40%</w:t>
            </w:r>
          </w:p>
        </w:tc>
        <w:tc>
          <w:tcPr>
            <w:tcW w:type="dxa" w:w="1837"/>
            <w:vAlign w:val="center"/>
          </w:tcPr>
          <w:p>
            <w:pPr>
              <w:keepNext/>
              <w:spacing w:line="264" w:lineRule="auto" w:before="60" w:after="60"/>
              <w:ind w:firstLine="0"/>
              <w:jc w:val="center"/>
            </w:pPr>
            <w:r>
              <w:rPr>
                <w:b w:val="0"/>
                <w:sz w:val="19"/>
              </w:rPr>
              <w:t>344.76</w:t>
            </w:r>
          </w:p>
        </w:tc>
      </w:tr>
      <w:tr>
        <w:trPr>
          <w:cantSplit/>
        </w:trPr>
        <w:tc>
          <w:tcPr>
            <w:tcW w:type="dxa" w:w="1837"/>
            <w:vAlign w:val="center"/>
          </w:tcPr>
          <w:p>
            <w:pPr>
              <w:keepNext/>
              <w:spacing w:line="264" w:lineRule="auto" w:before="60" w:after="60"/>
              <w:ind w:firstLine="0"/>
              <w:jc w:val="center"/>
            </w:pPr>
            <w:r>
              <w:rPr>
                <w:b w:val="0"/>
                <w:sz w:val="19"/>
              </w:rPr>
              <w:t>混合源</w:t>
            </w:r>
          </w:p>
        </w:tc>
        <w:tc>
          <w:tcPr>
            <w:tcW w:type="dxa" w:w="1837"/>
            <w:vAlign w:val="center"/>
          </w:tcPr>
          <w:p>
            <w:pPr>
              <w:keepNext/>
              <w:spacing w:line="264" w:lineRule="auto" w:before="60" w:after="60"/>
              <w:ind w:firstLine="0"/>
              <w:jc w:val="center"/>
            </w:pPr>
            <w:r>
              <w:rPr>
                <w:b w:val="0"/>
                <w:sz w:val="19"/>
              </w:rPr>
              <w:t>原基线</w:t>
            </w:r>
          </w:p>
        </w:tc>
        <w:tc>
          <w:tcPr>
            <w:tcW w:type="dxa" w:w="1837"/>
            <w:vAlign w:val="center"/>
          </w:tcPr>
          <w:p>
            <w:pPr>
              <w:keepNext/>
              <w:spacing w:line="264" w:lineRule="auto" w:before="60" w:after="60"/>
              <w:ind w:firstLine="0"/>
              <w:jc w:val="center"/>
            </w:pPr>
            <w:r>
              <w:rPr>
                <w:b w:val="0"/>
                <w:sz w:val="19"/>
              </w:rPr>
              <w:t>99.9846%</w:t>
            </w:r>
          </w:p>
        </w:tc>
        <w:tc>
          <w:tcPr>
            <w:tcW w:type="dxa" w:w="1837"/>
            <w:vAlign w:val="center"/>
          </w:tcPr>
          <w:p>
            <w:pPr>
              <w:keepNext/>
              <w:spacing w:line="264" w:lineRule="auto" w:before="60" w:after="60"/>
              <w:ind w:firstLine="0"/>
              <w:jc w:val="center"/>
            </w:pPr>
            <w:r>
              <w:rPr>
                <w:b w:val="0"/>
                <w:sz w:val="19"/>
              </w:rPr>
              <w:t>99.80%</w:t>
            </w:r>
          </w:p>
        </w:tc>
        <w:tc>
          <w:tcPr>
            <w:tcW w:type="dxa" w:w="1837"/>
            <w:vAlign w:val="center"/>
          </w:tcPr>
          <w:p>
            <w:pPr>
              <w:keepNext/>
              <w:spacing w:line="264" w:lineRule="auto" w:before="60" w:after="60"/>
              <w:ind w:firstLine="0"/>
              <w:jc w:val="center"/>
            </w:pPr>
            <w:r>
              <w:rPr>
                <w:b w:val="0"/>
                <w:sz w:val="19"/>
              </w:rPr>
              <w:t>622.68</w:t>
            </w:r>
          </w:p>
        </w:tc>
      </w:tr>
      <w:tr>
        <w:trPr>
          <w:cantSplit/>
        </w:trPr>
        <w:tc>
          <w:tcPr>
            <w:tcW w:type="dxa" w:w="1837"/>
            <w:vAlign w:val="center"/>
          </w:tcPr>
          <w:p>
            <w:pPr>
              <w:keepNext/>
              <w:spacing w:line="264" w:lineRule="auto" w:before="60" w:after="60"/>
              <w:ind w:firstLine="0"/>
              <w:jc w:val="center"/>
            </w:pPr>
            <w:r>
              <w:rPr>
                <w:b w:val="0"/>
                <w:sz w:val="19"/>
              </w:rPr>
              <w:t>混合源</w:t>
            </w:r>
          </w:p>
        </w:tc>
        <w:tc>
          <w:tcPr>
            <w:tcW w:type="dxa" w:w="1837"/>
            <w:vAlign w:val="center"/>
          </w:tcPr>
          <w:p>
            <w:pPr>
              <w:keepNext/>
              <w:spacing w:line="264" w:lineRule="auto" w:before="60" w:after="60"/>
              <w:ind w:firstLine="0"/>
              <w:jc w:val="center"/>
            </w:pPr>
            <w:r>
              <w:rPr>
                <w:b w:val="0"/>
                <w:sz w:val="19"/>
              </w:rPr>
              <w:t>conservative</w:t>
            </w:r>
          </w:p>
        </w:tc>
        <w:tc>
          <w:tcPr>
            <w:tcW w:type="dxa" w:w="1837"/>
            <w:vAlign w:val="center"/>
          </w:tcPr>
          <w:p>
            <w:pPr>
              <w:keepNext/>
              <w:spacing w:line="264" w:lineRule="auto" w:before="60" w:after="60"/>
              <w:ind w:firstLine="0"/>
              <w:jc w:val="center"/>
            </w:pPr>
            <w:r>
              <w:rPr>
                <w:b w:val="0"/>
                <w:sz w:val="19"/>
              </w:rPr>
              <w:t>99.9846%</w:t>
            </w:r>
          </w:p>
        </w:tc>
        <w:tc>
          <w:tcPr>
            <w:tcW w:type="dxa" w:w="1837"/>
            <w:vAlign w:val="center"/>
          </w:tcPr>
          <w:p>
            <w:pPr>
              <w:keepNext/>
              <w:spacing w:line="264" w:lineRule="auto" w:before="60" w:after="60"/>
              <w:ind w:firstLine="0"/>
              <w:jc w:val="center"/>
            </w:pPr>
            <w:r>
              <w:rPr>
                <w:b w:val="0"/>
                <w:sz w:val="19"/>
              </w:rPr>
              <w:t>99.80%</w:t>
            </w:r>
          </w:p>
        </w:tc>
        <w:tc>
          <w:tcPr>
            <w:tcW w:type="dxa" w:w="1837"/>
            <w:vAlign w:val="center"/>
          </w:tcPr>
          <w:p>
            <w:pPr>
              <w:keepNext/>
              <w:spacing w:line="264" w:lineRule="auto" w:before="60" w:after="60"/>
              <w:ind w:firstLine="0"/>
              <w:jc w:val="center"/>
            </w:pPr>
            <w:r>
              <w:rPr>
                <w:b w:val="0"/>
                <w:sz w:val="19"/>
              </w:rPr>
              <w:t>618.08</w:t>
            </w:r>
          </w:p>
        </w:tc>
      </w:tr>
      <w:tr>
        <w:trPr>
          <w:cantSplit/>
        </w:trPr>
        <w:tc>
          <w:tcPr>
            <w:tcW w:type="dxa" w:w="1837"/>
            <w:vAlign w:val="center"/>
          </w:tcPr>
          <w:p>
            <w:pPr>
              <w:spacing w:line="264" w:lineRule="auto" w:before="60" w:after="60"/>
              <w:ind w:firstLine="0"/>
              <w:jc w:val="center"/>
            </w:pPr>
            <w:r>
              <w:rPr>
                <w:b w:val="0"/>
                <w:sz w:val="19"/>
              </w:rPr>
              <w:t>混合源</w:t>
            </w:r>
          </w:p>
        </w:tc>
        <w:tc>
          <w:tcPr>
            <w:tcW w:type="dxa" w:w="1837"/>
            <w:vAlign w:val="center"/>
          </w:tcPr>
          <w:p>
            <w:pPr>
              <w:spacing w:line="264" w:lineRule="auto" w:before="60" w:after="60"/>
              <w:ind w:firstLine="0"/>
              <w:jc w:val="center"/>
            </w:pPr>
            <w:r>
              <w:rPr>
                <w:b w:val="0"/>
                <w:sz w:val="19"/>
              </w:rPr>
              <w:t>balanced</w:t>
            </w:r>
          </w:p>
        </w:tc>
        <w:tc>
          <w:tcPr>
            <w:tcW w:type="dxa" w:w="1837"/>
            <w:vAlign w:val="center"/>
          </w:tcPr>
          <w:p>
            <w:pPr>
              <w:spacing w:line="264" w:lineRule="auto" w:before="60" w:after="60"/>
              <w:ind w:firstLine="0"/>
              <w:jc w:val="center"/>
            </w:pPr>
            <w:r>
              <w:rPr>
                <w:b w:val="0"/>
                <w:sz w:val="19"/>
              </w:rPr>
              <w:t>99.9537%</w:t>
            </w:r>
          </w:p>
        </w:tc>
        <w:tc>
          <w:tcPr>
            <w:tcW w:type="dxa" w:w="1837"/>
            <w:vAlign w:val="center"/>
          </w:tcPr>
          <w:p>
            <w:pPr>
              <w:spacing w:line="264" w:lineRule="auto" w:before="60" w:after="60"/>
              <w:ind w:firstLine="0"/>
              <w:jc w:val="center"/>
            </w:pPr>
            <w:r>
              <w:rPr>
                <w:b w:val="0"/>
                <w:sz w:val="19"/>
              </w:rPr>
              <w:t>99.40%</w:t>
            </w:r>
          </w:p>
        </w:tc>
        <w:tc>
          <w:tcPr>
            <w:tcW w:type="dxa" w:w="1837"/>
            <w:vAlign w:val="center"/>
          </w:tcPr>
          <w:p>
            <w:pPr>
              <w:spacing w:line="264" w:lineRule="auto" w:before="60" w:after="60"/>
              <w:ind w:firstLine="0"/>
              <w:jc w:val="center"/>
            </w:pPr>
            <w:r>
              <w:rPr>
                <w:b w:val="0"/>
                <w:sz w:val="19"/>
              </w:rPr>
              <w:t>552.96</w:t>
            </w:r>
          </w:p>
        </w:tc>
      </w:tr>
    </w:tbl>
    <w:p>
      <w:pPr>
        <w:spacing w:after="40" w:before="0" w:line="72" w:lineRule="auto"/>
      </w:pPr>
    </w:p>
    <w:p>
      <w:pPr>
        <w:jc w:val="both"/>
      </w:pPr>
      <w:r>
        <w:t>conservative在这两批样本中的清除率与原基线相同，并降低平均耗时；balanced进一步缩短时间，但全清率下降。由于源级清除率接近100%时仍可能有若干局漏掉最后一个源，必须同时考察整局全清率，不能只根据源级清除率选择配置。</w:t>
      </w:r>
    </w:p>
    <w:p>
      <w:pPr>
        <w:jc w:val="both"/>
      </w:pPr>
      <w:r>
        <w:t>双风险配置使用另外的300+300独立场景验证，速度与可靠性结果如下。不同验证批次的绝对均值用于描述候选表现，不当作同种子因果消融。</w:t>
      </w:r>
    </w:p>
    <w:p>
      <w:pPr>
        <w:keepNext/>
        <w:ind w:firstLine="0"/>
        <w:jc w:val="center"/>
      </w:pPr>
      <w:r>
        <w:t>表9 问题四双风险配置独立验证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587"/>
        <w:gridCol w:w="1531"/>
        <w:gridCol w:w="1417"/>
        <w:gridCol w:w="1757"/>
        <w:gridCol w:w="1644"/>
      </w:tblGrid>
      <w:tr>
        <w:trPr>
          <w:cantSplit/>
          <w:tblHeader/>
        </w:trPr>
        <w:tc>
          <w:tcPr>
            <w:tcW w:type="dxa" w:w="1247"/>
            <w:vAlign w:val="center"/>
            <w:shd w:fill="EFEFEF"/>
          </w:tcPr>
          <w:p>
            <w:pPr>
              <w:keepNext/>
              <w:spacing w:line="264" w:lineRule="auto" w:before="60" w:after="60"/>
              <w:ind w:firstLine="0"/>
              <w:jc w:val="center"/>
            </w:pPr>
            <w:r>
              <w:rPr>
                <w:b/>
                <w:sz w:val="19"/>
              </w:rPr>
              <w:t>场景</w:t>
            </w:r>
          </w:p>
        </w:tc>
        <w:tc>
          <w:tcPr>
            <w:tcW w:type="dxa" w:w="1587"/>
            <w:vAlign w:val="center"/>
            <w:shd w:fill="EFEFEF"/>
          </w:tcPr>
          <w:p>
            <w:pPr>
              <w:keepNext/>
              <w:spacing w:line="264" w:lineRule="auto" w:before="60" w:after="60"/>
              <w:ind w:firstLine="0"/>
              <w:jc w:val="center"/>
            </w:pPr>
            <w:r>
              <w:rPr>
                <w:b/>
                <w:sz w:val="19"/>
              </w:rPr>
              <w:t>配置</w:t>
            </w:r>
          </w:p>
        </w:tc>
        <w:tc>
          <w:tcPr>
            <w:tcW w:type="dxa" w:w="1531"/>
            <w:vAlign w:val="center"/>
            <w:shd w:fill="EFEFEF"/>
          </w:tcPr>
          <w:p>
            <w:pPr>
              <w:keepNext/>
              <w:spacing w:line="264" w:lineRule="auto" w:before="60" w:after="60"/>
              <w:ind w:firstLine="0"/>
              <w:jc w:val="center"/>
            </w:pPr>
            <w:r>
              <w:rPr>
                <w:b/>
                <w:sz w:val="19"/>
              </w:rPr>
              <w:t>源级清除率</w:t>
            </w:r>
          </w:p>
        </w:tc>
        <w:tc>
          <w:tcPr>
            <w:tcW w:type="dxa" w:w="1417"/>
            <w:vAlign w:val="center"/>
            <w:shd w:fill="EFEFEF"/>
          </w:tcPr>
          <w:p>
            <w:pPr>
              <w:keepNext/>
              <w:spacing w:line="264" w:lineRule="auto" w:before="60" w:after="60"/>
              <w:ind w:firstLine="0"/>
              <w:jc w:val="center"/>
            </w:pPr>
            <w:r>
              <w:rPr>
                <w:b/>
                <w:sz w:val="19"/>
              </w:rPr>
              <w:t>全清率</w:t>
            </w:r>
          </w:p>
        </w:tc>
        <w:tc>
          <w:tcPr>
            <w:tcW w:type="dxa" w:w="1757"/>
            <w:vAlign w:val="center"/>
            <w:shd w:fill="EFEFEF"/>
          </w:tcPr>
          <w:p>
            <w:pPr>
              <w:keepNext/>
              <w:spacing w:line="264" w:lineRule="auto" w:before="60" w:after="60"/>
              <w:ind w:firstLine="0"/>
              <w:jc w:val="center"/>
            </w:pPr>
            <w:r>
              <w:rPr>
                <w:b/>
                <w:sz w:val="19"/>
              </w:rPr>
              <w:t>平均T/C</w:t>
              <w:br/>
              <w:t>s/已清源</w:t>
            </w:r>
          </w:p>
        </w:tc>
        <w:tc>
          <w:tcPr>
            <w:tcW w:type="dxa" w:w="1644"/>
            <w:vAlign w:val="center"/>
            <w:shd w:fill="EFEFEF"/>
          </w:tcPr>
          <w:p>
            <w:pPr>
              <w:keepNext/>
              <w:spacing w:line="264" w:lineRule="auto" w:before="60" w:after="60"/>
              <w:ind w:firstLine="0"/>
              <w:jc w:val="center"/>
            </w:pPr>
            <w:r>
              <w:rPr>
                <w:b/>
                <w:sz w:val="19"/>
              </w:rPr>
              <w:t>ΣT/ΣN</w:t>
              <w:br/>
              <w:t>s/真实源</w:t>
            </w:r>
          </w:p>
        </w:tc>
      </w:tr>
      <w:tr>
        <w:trPr>
          <w:cantSplit/>
        </w:trPr>
        <w:tc>
          <w:tcPr>
            <w:tcW w:type="dxa" w:w="1247"/>
            <w:vAlign w:val="center"/>
          </w:tcPr>
          <w:p>
            <w:pPr>
              <w:keepNext/>
              <w:spacing w:line="264" w:lineRule="auto" w:before="60" w:after="60"/>
              <w:ind w:firstLine="0"/>
              <w:jc w:val="center"/>
            </w:pPr>
            <w:r>
              <w:rPr>
                <w:b w:val="0"/>
                <w:sz w:val="19"/>
              </w:rPr>
              <w:t>混合源</w:t>
            </w:r>
          </w:p>
        </w:tc>
        <w:tc>
          <w:tcPr>
            <w:tcW w:type="dxa" w:w="1587"/>
            <w:vAlign w:val="center"/>
          </w:tcPr>
          <w:p>
            <w:pPr>
              <w:keepNext/>
              <w:spacing w:line="264" w:lineRule="auto" w:before="60" w:after="60"/>
              <w:ind w:firstLine="0"/>
              <w:jc w:val="center"/>
            </w:pPr>
            <w:r>
              <w:rPr>
                <w:b w:val="0"/>
                <w:sz w:val="19"/>
              </w:rPr>
              <w:t>v2 α=0.10</w:t>
            </w:r>
          </w:p>
        </w:tc>
        <w:tc>
          <w:tcPr>
            <w:tcW w:type="dxa" w:w="1531"/>
            <w:vAlign w:val="center"/>
          </w:tcPr>
          <w:p>
            <w:pPr>
              <w:keepNext/>
              <w:spacing w:line="264" w:lineRule="auto" w:before="60" w:after="60"/>
              <w:ind w:firstLine="0"/>
              <w:jc w:val="center"/>
            </w:pPr>
            <w:r>
              <w:rPr>
                <w:b w:val="0"/>
                <w:sz w:val="19"/>
              </w:rPr>
              <w:t>99.7233%</w:t>
            </w:r>
          </w:p>
        </w:tc>
        <w:tc>
          <w:tcPr>
            <w:tcW w:type="dxa" w:w="1417"/>
            <w:vAlign w:val="center"/>
          </w:tcPr>
          <w:p>
            <w:pPr>
              <w:keepNext/>
              <w:spacing w:line="264" w:lineRule="auto" w:before="60" w:after="60"/>
              <w:ind w:firstLine="0"/>
              <w:jc w:val="center"/>
            </w:pPr>
            <w:r>
              <w:rPr>
                <w:b w:val="0"/>
                <w:sz w:val="19"/>
              </w:rPr>
              <w:t>96.33%</w:t>
            </w:r>
          </w:p>
        </w:tc>
        <w:tc>
          <w:tcPr>
            <w:tcW w:type="dxa" w:w="1757"/>
            <w:vAlign w:val="center"/>
          </w:tcPr>
          <w:p>
            <w:pPr>
              <w:keepNext/>
              <w:spacing w:line="264" w:lineRule="auto" w:before="60" w:after="60"/>
              <w:ind w:firstLine="0"/>
              <w:jc w:val="center"/>
            </w:pPr>
            <w:r>
              <w:rPr>
                <w:b w:val="0"/>
                <w:sz w:val="19"/>
              </w:rPr>
              <w:t>496.50</w:t>
            </w:r>
          </w:p>
        </w:tc>
        <w:tc>
          <w:tcPr>
            <w:tcW w:type="dxa" w:w="1644"/>
            <w:vAlign w:val="center"/>
          </w:tcPr>
          <w:p>
            <w:pPr>
              <w:keepNext/>
              <w:spacing w:line="264" w:lineRule="auto" w:before="60" w:after="60"/>
              <w:ind w:firstLine="0"/>
              <w:jc w:val="center"/>
            </w:pPr>
            <w:r>
              <w:rPr>
                <w:b w:val="0"/>
                <w:sz w:val="19"/>
              </w:rPr>
              <w:t>479.95</w:t>
            </w:r>
          </w:p>
        </w:tc>
      </w:tr>
      <w:tr>
        <w:trPr>
          <w:cantSplit/>
        </w:trPr>
        <w:tc>
          <w:tcPr>
            <w:tcW w:type="dxa" w:w="1247"/>
            <w:vAlign w:val="center"/>
          </w:tcPr>
          <w:p>
            <w:pPr>
              <w:keepNext/>
              <w:spacing w:line="264" w:lineRule="auto" w:before="60" w:after="60"/>
              <w:ind w:firstLine="0"/>
              <w:jc w:val="center"/>
            </w:pPr>
            <w:r>
              <w:rPr>
                <w:b w:val="0"/>
                <w:sz w:val="19"/>
              </w:rPr>
              <w:t>固定16源</w:t>
            </w:r>
          </w:p>
        </w:tc>
        <w:tc>
          <w:tcPr>
            <w:tcW w:type="dxa" w:w="1587"/>
            <w:vAlign w:val="center"/>
          </w:tcPr>
          <w:p>
            <w:pPr>
              <w:keepNext/>
              <w:spacing w:line="264" w:lineRule="auto" w:before="60" w:after="60"/>
              <w:ind w:firstLine="0"/>
              <w:jc w:val="center"/>
            </w:pPr>
            <w:r>
              <w:rPr>
                <w:b w:val="0"/>
                <w:sz w:val="19"/>
              </w:rPr>
              <w:t>v2 α=0.10</w:t>
            </w:r>
          </w:p>
        </w:tc>
        <w:tc>
          <w:tcPr>
            <w:tcW w:type="dxa" w:w="1531"/>
            <w:vAlign w:val="center"/>
          </w:tcPr>
          <w:p>
            <w:pPr>
              <w:keepNext/>
              <w:spacing w:line="264" w:lineRule="auto" w:before="60" w:after="60"/>
              <w:ind w:firstLine="0"/>
              <w:jc w:val="center"/>
            </w:pPr>
            <w:r>
              <w:rPr>
                <w:b w:val="0"/>
                <w:sz w:val="19"/>
              </w:rPr>
              <w:t>99.7917%</w:t>
            </w:r>
          </w:p>
        </w:tc>
        <w:tc>
          <w:tcPr>
            <w:tcW w:type="dxa" w:w="1417"/>
            <w:vAlign w:val="center"/>
          </w:tcPr>
          <w:p>
            <w:pPr>
              <w:keepNext/>
              <w:spacing w:line="264" w:lineRule="auto" w:before="60" w:after="60"/>
              <w:ind w:firstLine="0"/>
              <w:jc w:val="center"/>
            </w:pPr>
            <w:r>
              <w:rPr>
                <w:b w:val="0"/>
                <w:sz w:val="19"/>
              </w:rPr>
              <w:t>96.67%</w:t>
            </w:r>
          </w:p>
        </w:tc>
        <w:tc>
          <w:tcPr>
            <w:tcW w:type="dxa" w:w="1757"/>
            <w:vAlign w:val="center"/>
          </w:tcPr>
          <w:p>
            <w:pPr>
              <w:keepNext/>
              <w:spacing w:line="264" w:lineRule="auto" w:before="60" w:after="60"/>
              <w:ind w:firstLine="0"/>
              <w:jc w:val="center"/>
            </w:pPr>
            <w:r>
              <w:rPr>
                <w:b w:val="0"/>
                <w:sz w:val="19"/>
              </w:rPr>
              <w:t>334.91</w:t>
            </w:r>
          </w:p>
        </w:tc>
        <w:tc>
          <w:tcPr>
            <w:tcW w:type="dxa" w:w="1644"/>
            <w:vAlign w:val="center"/>
          </w:tcPr>
          <w:p>
            <w:pPr>
              <w:keepNext/>
              <w:spacing w:line="264" w:lineRule="auto" w:before="60" w:after="60"/>
              <w:ind w:firstLine="0"/>
              <w:jc w:val="center"/>
            </w:pPr>
            <w:r>
              <w:rPr>
                <w:b w:val="0"/>
                <w:sz w:val="19"/>
              </w:rPr>
              <w:t>333.97</w:t>
            </w:r>
          </w:p>
        </w:tc>
      </w:tr>
      <w:tr>
        <w:trPr>
          <w:cantSplit/>
        </w:trPr>
        <w:tc>
          <w:tcPr>
            <w:tcW w:type="dxa" w:w="1247"/>
            <w:vAlign w:val="center"/>
          </w:tcPr>
          <w:p>
            <w:pPr>
              <w:keepNext/>
              <w:spacing w:line="264" w:lineRule="auto" w:before="60" w:after="60"/>
              <w:ind w:firstLine="0"/>
              <w:jc w:val="center"/>
            </w:pPr>
            <w:r>
              <w:rPr>
                <w:b w:val="0"/>
                <w:sz w:val="19"/>
              </w:rPr>
              <w:t>混合源</w:t>
            </w:r>
          </w:p>
        </w:tc>
        <w:tc>
          <w:tcPr>
            <w:tcW w:type="dxa" w:w="1587"/>
            <w:vAlign w:val="center"/>
          </w:tcPr>
          <w:p>
            <w:pPr>
              <w:keepNext/>
              <w:spacing w:line="264" w:lineRule="auto" w:before="60" w:after="60"/>
              <w:ind w:firstLine="0"/>
              <w:jc w:val="center"/>
            </w:pPr>
            <w:r>
              <w:rPr>
                <w:b w:val="0"/>
                <w:sz w:val="19"/>
              </w:rPr>
              <w:t>source-98</w:t>
            </w:r>
          </w:p>
        </w:tc>
        <w:tc>
          <w:tcPr>
            <w:tcW w:type="dxa" w:w="1531"/>
            <w:vAlign w:val="center"/>
          </w:tcPr>
          <w:p>
            <w:pPr>
              <w:keepNext/>
              <w:spacing w:line="264" w:lineRule="auto" w:before="60" w:after="60"/>
              <w:ind w:firstLine="0"/>
              <w:jc w:val="center"/>
            </w:pPr>
            <w:r>
              <w:rPr>
                <w:b w:val="0"/>
                <w:sz w:val="19"/>
              </w:rPr>
              <w:t>98.9824%</w:t>
            </w:r>
          </w:p>
        </w:tc>
        <w:tc>
          <w:tcPr>
            <w:tcW w:type="dxa" w:w="1417"/>
            <w:vAlign w:val="center"/>
          </w:tcPr>
          <w:p>
            <w:pPr>
              <w:keepNext/>
              <w:spacing w:line="264" w:lineRule="auto" w:before="60" w:after="60"/>
              <w:ind w:firstLine="0"/>
              <w:jc w:val="center"/>
            </w:pPr>
            <w:r>
              <w:rPr>
                <w:b w:val="0"/>
                <w:sz w:val="19"/>
              </w:rPr>
              <w:t>87.33%</w:t>
            </w:r>
          </w:p>
        </w:tc>
        <w:tc>
          <w:tcPr>
            <w:tcW w:type="dxa" w:w="1757"/>
            <w:vAlign w:val="center"/>
          </w:tcPr>
          <w:p>
            <w:pPr>
              <w:keepNext/>
              <w:spacing w:line="264" w:lineRule="auto" w:before="60" w:after="60"/>
              <w:ind w:firstLine="0"/>
              <w:jc w:val="center"/>
            </w:pPr>
            <w:r>
              <w:rPr>
                <w:b w:val="0"/>
                <w:sz w:val="19"/>
              </w:rPr>
              <w:t>453.40</w:t>
            </w:r>
          </w:p>
        </w:tc>
        <w:tc>
          <w:tcPr>
            <w:tcW w:type="dxa" w:w="1644"/>
            <w:vAlign w:val="center"/>
          </w:tcPr>
          <w:p>
            <w:pPr>
              <w:keepNext/>
              <w:spacing w:line="264" w:lineRule="auto" w:before="60" w:after="60"/>
              <w:ind w:firstLine="0"/>
              <w:jc w:val="center"/>
            </w:pPr>
            <w:r>
              <w:rPr>
                <w:b w:val="0"/>
                <w:sz w:val="19"/>
              </w:rPr>
              <w:t>436.72</w:t>
            </w:r>
          </w:p>
        </w:tc>
      </w:tr>
      <w:tr>
        <w:trPr>
          <w:cantSplit/>
        </w:trPr>
        <w:tc>
          <w:tcPr>
            <w:tcW w:type="dxa" w:w="1247"/>
            <w:vAlign w:val="center"/>
          </w:tcPr>
          <w:p>
            <w:pPr>
              <w:spacing w:line="264" w:lineRule="auto" w:before="60" w:after="60"/>
              <w:ind w:firstLine="0"/>
              <w:jc w:val="center"/>
            </w:pPr>
            <w:r>
              <w:rPr>
                <w:b w:val="0"/>
                <w:sz w:val="19"/>
              </w:rPr>
              <w:t>固定16源</w:t>
            </w:r>
          </w:p>
        </w:tc>
        <w:tc>
          <w:tcPr>
            <w:tcW w:type="dxa" w:w="1587"/>
            <w:vAlign w:val="center"/>
          </w:tcPr>
          <w:p>
            <w:pPr>
              <w:spacing w:line="264" w:lineRule="auto" w:before="60" w:after="60"/>
              <w:ind w:firstLine="0"/>
              <w:jc w:val="center"/>
            </w:pPr>
            <w:r>
              <w:rPr>
                <w:b w:val="0"/>
                <w:sz w:val="19"/>
              </w:rPr>
              <w:t>source-98</w:t>
            </w:r>
          </w:p>
        </w:tc>
        <w:tc>
          <w:tcPr>
            <w:tcW w:type="dxa" w:w="1531"/>
            <w:vAlign w:val="center"/>
          </w:tcPr>
          <w:p>
            <w:pPr>
              <w:spacing w:line="264" w:lineRule="auto" w:before="60" w:after="60"/>
              <w:ind w:firstLine="0"/>
              <w:jc w:val="center"/>
            </w:pPr>
            <w:r>
              <w:rPr>
                <w:b w:val="0"/>
                <w:sz w:val="19"/>
              </w:rPr>
              <w:t>98.9792%</w:t>
            </w:r>
          </w:p>
        </w:tc>
        <w:tc>
          <w:tcPr>
            <w:tcW w:type="dxa" w:w="1417"/>
            <w:vAlign w:val="center"/>
          </w:tcPr>
          <w:p>
            <w:pPr>
              <w:spacing w:line="264" w:lineRule="auto" w:before="60" w:after="60"/>
              <w:ind w:firstLine="0"/>
              <w:jc w:val="center"/>
            </w:pPr>
            <w:r>
              <w:rPr>
                <w:b w:val="0"/>
                <w:sz w:val="19"/>
              </w:rPr>
              <w:t>85.33%</w:t>
            </w:r>
          </w:p>
        </w:tc>
        <w:tc>
          <w:tcPr>
            <w:tcW w:type="dxa" w:w="1757"/>
            <w:vAlign w:val="center"/>
          </w:tcPr>
          <w:p>
            <w:pPr>
              <w:spacing w:line="264" w:lineRule="auto" w:before="60" w:after="60"/>
              <w:ind w:firstLine="0"/>
              <w:jc w:val="center"/>
            </w:pPr>
            <w:r>
              <w:rPr>
                <w:b w:val="0"/>
                <w:sz w:val="19"/>
              </w:rPr>
              <w:t>325.72</w:t>
            </w:r>
          </w:p>
        </w:tc>
        <w:tc>
          <w:tcPr>
            <w:tcW w:type="dxa" w:w="1644"/>
            <w:vAlign w:val="center"/>
          </w:tcPr>
          <w:p>
            <w:pPr>
              <w:spacing w:line="264" w:lineRule="auto" w:before="60" w:after="60"/>
              <w:ind w:firstLine="0"/>
              <w:jc w:val="center"/>
            </w:pPr>
            <w:r>
              <w:rPr>
                <w:b w:val="0"/>
                <w:sz w:val="19"/>
              </w:rPr>
              <w:t>321.62</w:t>
            </w:r>
          </w:p>
        </w:tc>
      </w:tr>
    </w:tbl>
    <w:p>
      <w:pPr>
        <w:spacing w:after="40" w:before="0" w:line="72" w:lineRule="auto"/>
      </w:pPr>
    </w:p>
    <w:p>
      <w:pPr>
        <w:jc w:val="both"/>
      </w:pPr>
      <w:r>
        <w:t>source-98混合源测试累计清除3891/3931个源，固定16源测试清除4751/4800个源。其源级清除率约98.98%，但整局全清率仅约85%至87%。在已有以约98%源级可靠率换取速度的候选中，该配置具有较好的验证结果；就题面“确保全部清除”目标而言，它只能作为风险敏感性实验，不能称为满足题意的最优策略。</w:t>
      </w:r>
    </w:p>
    <w:p>
      <w:pPr>
        <w:ind w:firstLine="0"/>
        <w:jc w:val="both"/>
      </w:pPr>
      <w:r>
        <w:rPr>
          <w:color w:val="555555"/>
          <w:sz w:val="20"/>
        </w:rPr>
        <w:t>【图8待绘：同批配对配置的可靠性—耗时前沿，固定16源与混合源分面；另列双风险配置的独立验证面板。同时显示源级清除率和全清率。】</w:t>
      </w:r>
    </w:p>
    <w:p>
      <w:pPr>
        <w:pStyle w:val="Heading2"/>
      </w:pPr>
      <w:r>
        <w:t>8.6 官方演练中的失败分析与改进</w:t>
      </w:r>
    </w:p>
    <w:p>
      <w:pPr>
        <w:jc w:val="both"/>
      </w:pPr>
      <w:r>
        <w:t>旧source-efficient v1在四局演练中累计清除50/52个源。两个10源场景全清，而两个16源场景均在发现15个后停止，表明只约束比例风险会掩盖“很可能还剩最后一个源”的失败模式。这促成了式(21)中的任一剩余源概率约束。</w:t>
      </w:r>
    </w:p>
    <w:p>
      <w:pPr>
        <w:jc w:val="both"/>
      </w:pPr>
      <w:r>
        <w:t>以下列出相关演练及双风险配置的完整运行统计，保留漏源样本，不只挑速度最好或恰好全清的局。</w:t>
      </w:r>
    </w:p>
    <w:p>
      <w:pPr>
        <w:keepNext/>
        <w:ind w:firstLine="0"/>
        <w:jc w:val="center"/>
      </w:pPr>
      <w:r>
        <w:t>表10 问题四相关官方演练结果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1247"/>
        <w:gridCol w:w="1247"/>
        <w:gridCol w:w="2098"/>
        <w:gridCol w:w="1984"/>
      </w:tblGrid>
      <w:tr>
        <w:trPr>
          <w:cantSplit/>
          <w:tblHeader/>
        </w:trPr>
        <w:tc>
          <w:tcPr>
            <w:tcW w:type="dxa" w:w="2608"/>
            <w:vAlign w:val="center"/>
            <w:shd w:fill="EFEFEF"/>
          </w:tcPr>
          <w:p>
            <w:pPr>
              <w:keepNext/>
              <w:spacing w:line="264" w:lineRule="auto" w:before="60" w:after="60"/>
              <w:ind w:firstLine="0"/>
              <w:jc w:val="center"/>
            </w:pPr>
            <w:r>
              <w:rPr>
                <w:b/>
                <w:sz w:val="19"/>
              </w:rPr>
              <w:t>演练案例编码</w:t>
            </w:r>
          </w:p>
        </w:tc>
        <w:tc>
          <w:tcPr>
            <w:tcW w:type="dxa" w:w="1247"/>
            <w:vAlign w:val="center"/>
            <w:shd w:fill="EFEFEF"/>
          </w:tcPr>
          <w:p>
            <w:pPr>
              <w:keepNext/>
              <w:spacing w:line="264" w:lineRule="auto" w:before="60" w:after="60"/>
              <w:ind w:firstLine="0"/>
              <w:jc w:val="center"/>
            </w:pPr>
            <w:r>
              <w:rPr>
                <w:b/>
                <w:sz w:val="19"/>
              </w:rPr>
              <w:t>配置</w:t>
            </w:r>
          </w:p>
        </w:tc>
        <w:tc>
          <w:tcPr>
            <w:tcW w:type="dxa" w:w="1247"/>
            <w:vAlign w:val="center"/>
            <w:shd w:fill="EFEFEF"/>
          </w:tcPr>
          <w:p>
            <w:pPr>
              <w:keepNext/>
              <w:spacing w:line="264" w:lineRule="auto" w:before="60" w:after="60"/>
              <w:ind w:firstLine="0"/>
              <w:jc w:val="center"/>
            </w:pPr>
            <w:r>
              <w:rPr>
                <w:b/>
                <w:sz w:val="19"/>
              </w:rPr>
              <w:t>清除/真实</w:t>
            </w:r>
          </w:p>
        </w:tc>
        <w:tc>
          <w:tcPr>
            <w:tcW w:type="dxa" w:w="2098"/>
            <w:vAlign w:val="center"/>
            <w:shd w:fill="EFEFEF"/>
          </w:tcPr>
          <w:p>
            <w:pPr>
              <w:keepNext/>
              <w:spacing w:line="264" w:lineRule="auto" w:before="60" w:after="60"/>
              <w:ind w:firstLine="0"/>
              <w:jc w:val="center"/>
            </w:pPr>
            <w:r>
              <w:rPr>
                <w:b/>
                <w:sz w:val="19"/>
              </w:rPr>
              <w:t>平均T/C</w:t>
              <w:br/>
              <w:t>s/源</w:t>
            </w:r>
          </w:p>
        </w:tc>
        <w:tc>
          <w:tcPr>
            <w:tcW w:type="dxa" w:w="1984"/>
            <w:vAlign w:val="center"/>
            <w:shd w:fill="EFEFEF"/>
          </w:tcPr>
          <w:p>
            <w:pPr>
              <w:keepNext/>
              <w:spacing w:line="264" w:lineRule="auto" w:before="60" w:after="60"/>
              <w:ind w:firstLine="0"/>
              <w:jc w:val="center"/>
            </w:pPr>
            <w:r>
              <w:rPr>
                <w:b/>
                <w:sz w:val="19"/>
              </w:rPr>
              <w:t>官方运行</w:t>
              <w:br/>
              <w:t>s</w:t>
            </w:r>
          </w:p>
        </w:tc>
      </w:tr>
      <w:tr>
        <w:trPr>
          <w:cantSplit/>
        </w:trPr>
        <w:tc>
          <w:tcPr>
            <w:tcW w:type="dxa" w:w="2608"/>
            <w:vAlign w:val="center"/>
          </w:tcPr>
          <w:p>
            <w:pPr>
              <w:keepNext/>
              <w:spacing w:line="264" w:lineRule="auto" w:before="60" w:after="60"/>
              <w:ind w:firstLine="0"/>
              <w:jc w:val="center"/>
            </w:pPr>
            <w:r>
              <w:rPr>
                <w:b w:val="0"/>
                <w:sz w:val="19"/>
              </w:rPr>
              <w:t>W4FB-UFDU-PJP3-CQJT</w:t>
            </w:r>
          </w:p>
        </w:tc>
        <w:tc>
          <w:tcPr>
            <w:tcW w:type="dxa" w:w="1247"/>
            <w:vAlign w:val="center"/>
          </w:tcPr>
          <w:p>
            <w:pPr>
              <w:keepNext/>
              <w:spacing w:line="264" w:lineRule="auto" w:before="60" w:after="60"/>
              <w:ind w:firstLine="0"/>
              <w:jc w:val="center"/>
            </w:pPr>
            <w:r>
              <w:rPr>
                <w:b w:val="0"/>
                <w:sz w:val="19"/>
              </w:rPr>
              <w:t>v1</w:t>
            </w:r>
          </w:p>
        </w:tc>
        <w:tc>
          <w:tcPr>
            <w:tcW w:type="dxa" w:w="1247"/>
            <w:vAlign w:val="center"/>
          </w:tcPr>
          <w:p>
            <w:pPr>
              <w:keepNext/>
              <w:spacing w:line="264" w:lineRule="auto" w:before="60" w:after="60"/>
              <w:ind w:firstLine="0"/>
              <w:jc w:val="center"/>
            </w:pPr>
            <w:r>
              <w:rPr>
                <w:b w:val="0"/>
                <w:sz w:val="19"/>
              </w:rPr>
              <w:t>15/16</w:t>
            </w:r>
          </w:p>
        </w:tc>
        <w:tc>
          <w:tcPr>
            <w:tcW w:type="dxa" w:w="2098"/>
            <w:vAlign w:val="center"/>
          </w:tcPr>
          <w:p>
            <w:pPr>
              <w:keepNext/>
              <w:spacing w:line="264" w:lineRule="auto" w:before="60" w:after="60"/>
              <w:ind w:firstLine="0"/>
              <w:jc w:val="center"/>
            </w:pPr>
            <w:r>
              <w:rPr>
                <w:b w:val="0"/>
                <w:sz w:val="19"/>
              </w:rPr>
              <w:t>316.81</w:t>
            </w:r>
          </w:p>
        </w:tc>
        <w:tc>
          <w:tcPr>
            <w:tcW w:type="dxa" w:w="1984"/>
            <w:vAlign w:val="center"/>
          </w:tcPr>
          <w:p>
            <w:pPr>
              <w:keepNext/>
              <w:spacing w:line="264" w:lineRule="auto" w:before="60" w:after="60"/>
              <w:ind w:firstLine="0"/>
              <w:jc w:val="center"/>
            </w:pPr>
            <w:r>
              <w:rPr>
                <w:b w:val="0"/>
                <w:sz w:val="19"/>
              </w:rPr>
              <w:t>3.219</w:t>
            </w:r>
          </w:p>
        </w:tc>
      </w:tr>
      <w:tr>
        <w:trPr>
          <w:cantSplit/>
        </w:trPr>
        <w:tc>
          <w:tcPr>
            <w:tcW w:type="dxa" w:w="2608"/>
            <w:vAlign w:val="center"/>
          </w:tcPr>
          <w:p>
            <w:pPr>
              <w:keepNext/>
              <w:spacing w:line="264" w:lineRule="auto" w:before="60" w:after="60"/>
              <w:ind w:firstLine="0"/>
              <w:jc w:val="center"/>
            </w:pPr>
            <w:r>
              <w:rPr>
                <w:b w:val="0"/>
                <w:sz w:val="19"/>
              </w:rPr>
              <w:t>54KG-M3ZN-EQ9P-A5AJ</w:t>
            </w:r>
          </w:p>
        </w:tc>
        <w:tc>
          <w:tcPr>
            <w:tcW w:type="dxa" w:w="1247"/>
            <w:vAlign w:val="center"/>
          </w:tcPr>
          <w:p>
            <w:pPr>
              <w:keepNext/>
              <w:spacing w:line="264" w:lineRule="auto" w:before="60" w:after="60"/>
              <w:ind w:firstLine="0"/>
              <w:jc w:val="center"/>
            </w:pPr>
            <w:r>
              <w:rPr>
                <w:b w:val="0"/>
                <w:sz w:val="19"/>
              </w:rPr>
              <w:t>v1</w:t>
            </w:r>
          </w:p>
        </w:tc>
        <w:tc>
          <w:tcPr>
            <w:tcW w:type="dxa" w:w="1247"/>
            <w:vAlign w:val="center"/>
          </w:tcPr>
          <w:p>
            <w:pPr>
              <w:keepNext/>
              <w:spacing w:line="264" w:lineRule="auto" w:before="60" w:after="60"/>
              <w:ind w:firstLine="0"/>
              <w:jc w:val="center"/>
            </w:pPr>
            <w:r>
              <w:rPr>
                <w:b w:val="0"/>
                <w:sz w:val="19"/>
              </w:rPr>
              <w:t>10/10</w:t>
            </w:r>
          </w:p>
        </w:tc>
        <w:tc>
          <w:tcPr>
            <w:tcW w:type="dxa" w:w="2098"/>
            <w:vAlign w:val="center"/>
          </w:tcPr>
          <w:p>
            <w:pPr>
              <w:keepNext/>
              <w:spacing w:line="264" w:lineRule="auto" w:before="60" w:after="60"/>
              <w:ind w:firstLine="0"/>
              <w:jc w:val="center"/>
            </w:pPr>
            <w:r>
              <w:rPr>
                <w:b w:val="0"/>
                <w:sz w:val="19"/>
              </w:rPr>
              <w:t>630.86</w:t>
            </w:r>
          </w:p>
        </w:tc>
        <w:tc>
          <w:tcPr>
            <w:tcW w:type="dxa" w:w="1984"/>
            <w:vAlign w:val="center"/>
          </w:tcPr>
          <w:p>
            <w:pPr>
              <w:keepNext/>
              <w:spacing w:line="264" w:lineRule="auto" w:before="60" w:after="60"/>
              <w:ind w:firstLine="0"/>
              <w:jc w:val="center"/>
            </w:pPr>
            <w:r>
              <w:rPr>
                <w:b w:val="0"/>
                <w:sz w:val="19"/>
              </w:rPr>
              <w:t>2.514</w:t>
            </w:r>
          </w:p>
        </w:tc>
      </w:tr>
      <w:tr>
        <w:trPr>
          <w:cantSplit/>
        </w:trPr>
        <w:tc>
          <w:tcPr>
            <w:tcW w:type="dxa" w:w="2608"/>
            <w:vAlign w:val="center"/>
          </w:tcPr>
          <w:p>
            <w:pPr>
              <w:keepNext/>
              <w:spacing w:line="264" w:lineRule="auto" w:before="60" w:after="60"/>
              <w:ind w:firstLine="0"/>
              <w:jc w:val="center"/>
            </w:pPr>
            <w:r>
              <w:rPr>
                <w:b w:val="0"/>
                <w:sz w:val="19"/>
              </w:rPr>
              <w:t>DN64-BF5Z-HGER-8Z89</w:t>
            </w:r>
          </w:p>
        </w:tc>
        <w:tc>
          <w:tcPr>
            <w:tcW w:type="dxa" w:w="1247"/>
            <w:vAlign w:val="center"/>
          </w:tcPr>
          <w:p>
            <w:pPr>
              <w:keepNext/>
              <w:spacing w:line="264" w:lineRule="auto" w:before="60" w:after="60"/>
              <w:ind w:firstLine="0"/>
              <w:jc w:val="center"/>
            </w:pPr>
            <w:r>
              <w:rPr>
                <w:b w:val="0"/>
                <w:sz w:val="19"/>
              </w:rPr>
              <w:t>v1</w:t>
            </w:r>
          </w:p>
        </w:tc>
        <w:tc>
          <w:tcPr>
            <w:tcW w:type="dxa" w:w="1247"/>
            <w:vAlign w:val="center"/>
          </w:tcPr>
          <w:p>
            <w:pPr>
              <w:keepNext/>
              <w:spacing w:line="264" w:lineRule="auto" w:before="60" w:after="60"/>
              <w:ind w:firstLine="0"/>
              <w:jc w:val="center"/>
            </w:pPr>
            <w:r>
              <w:rPr>
                <w:b w:val="0"/>
                <w:sz w:val="19"/>
              </w:rPr>
              <w:t>15/16</w:t>
            </w:r>
          </w:p>
        </w:tc>
        <w:tc>
          <w:tcPr>
            <w:tcW w:type="dxa" w:w="2098"/>
            <w:vAlign w:val="center"/>
          </w:tcPr>
          <w:p>
            <w:pPr>
              <w:keepNext/>
              <w:spacing w:line="264" w:lineRule="auto" w:before="60" w:after="60"/>
              <w:ind w:firstLine="0"/>
              <w:jc w:val="center"/>
            </w:pPr>
            <w:r>
              <w:rPr>
                <w:b w:val="0"/>
                <w:sz w:val="19"/>
              </w:rPr>
              <w:t>298.48</w:t>
            </w:r>
          </w:p>
        </w:tc>
        <w:tc>
          <w:tcPr>
            <w:tcW w:type="dxa" w:w="1984"/>
            <w:vAlign w:val="center"/>
          </w:tcPr>
          <w:p>
            <w:pPr>
              <w:keepNext/>
              <w:spacing w:line="264" w:lineRule="auto" w:before="60" w:after="60"/>
              <w:ind w:firstLine="0"/>
              <w:jc w:val="center"/>
            </w:pPr>
            <w:r>
              <w:rPr>
                <w:b w:val="0"/>
                <w:sz w:val="19"/>
              </w:rPr>
              <w:t>2.281</w:t>
            </w:r>
          </w:p>
        </w:tc>
      </w:tr>
      <w:tr>
        <w:trPr>
          <w:cantSplit/>
        </w:trPr>
        <w:tc>
          <w:tcPr>
            <w:tcW w:type="dxa" w:w="2608"/>
            <w:vAlign w:val="center"/>
          </w:tcPr>
          <w:p>
            <w:pPr>
              <w:keepNext/>
              <w:spacing w:line="264" w:lineRule="auto" w:before="60" w:after="60"/>
              <w:ind w:firstLine="0"/>
              <w:jc w:val="center"/>
            </w:pPr>
            <w:r>
              <w:rPr>
                <w:b w:val="0"/>
                <w:sz w:val="19"/>
              </w:rPr>
              <w:t>RRFA-DMZP-322C-H5NN</w:t>
            </w:r>
          </w:p>
        </w:tc>
        <w:tc>
          <w:tcPr>
            <w:tcW w:type="dxa" w:w="1247"/>
            <w:vAlign w:val="center"/>
          </w:tcPr>
          <w:p>
            <w:pPr>
              <w:keepNext/>
              <w:spacing w:line="264" w:lineRule="auto" w:before="60" w:after="60"/>
              <w:ind w:firstLine="0"/>
              <w:jc w:val="center"/>
            </w:pPr>
            <w:r>
              <w:rPr>
                <w:b w:val="0"/>
                <w:sz w:val="19"/>
              </w:rPr>
              <w:t>v1</w:t>
            </w:r>
          </w:p>
        </w:tc>
        <w:tc>
          <w:tcPr>
            <w:tcW w:type="dxa" w:w="1247"/>
            <w:vAlign w:val="center"/>
          </w:tcPr>
          <w:p>
            <w:pPr>
              <w:keepNext/>
              <w:spacing w:line="264" w:lineRule="auto" w:before="60" w:after="60"/>
              <w:ind w:firstLine="0"/>
              <w:jc w:val="center"/>
            </w:pPr>
            <w:r>
              <w:rPr>
                <w:b w:val="0"/>
                <w:sz w:val="19"/>
              </w:rPr>
              <w:t>10/10</w:t>
            </w:r>
          </w:p>
        </w:tc>
        <w:tc>
          <w:tcPr>
            <w:tcW w:type="dxa" w:w="2098"/>
            <w:vAlign w:val="center"/>
          </w:tcPr>
          <w:p>
            <w:pPr>
              <w:keepNext/>
              <w:spacing w:line="264" w:lineRule="auto" w:before="60" w:after="60"/>
              <w:ind w:firstLine="0"/>
              <w:jc w:val="center"/>
            </w:pPr>
            <w:r>
              <w:rPr>
                <w:b w:val="0"/>
                <w:sz w:val="19"/>
              </w:rPr>
              <w:t>583.85</w:t>
            </w:r>
          </w:p>
        </w:tc>
        <w:tc>
          <w:tcPr>
            <w:tcW w:type="dxa" w:w="1984"/>
            <w:vAlign w:val="center"/>
          </w:tcPr>
          <w:p>
            <w:pPr>
              <w:keepNext/>
              <w:spacing w:line="264" w:lineRule="auto" w:before="60" w:after="60"/>
              <w:ind w:firstLine="0"/>
              <w:jc w:val="center"/>
            </w:pPr>
            <w:r>
              <w:rPr>
                <w:b w:val="0"/>
                <w:sz w:val="19"/>
              </w:rPr>
              <w:t>2.870</w:t>
            </w:r>
          </w:p>
        </w:tc>
      </w:tr>
      <w:tr>
        <w:trPr>
          <w:cantSplit/>
        </w:trPr>
        <w:tc>
          <w:tcPr>
            <w:tcW w:type="dxa" w:w="2608"/>
            <w:vAlign w:val="center"/>
          </w:tcPr>
          <w:p>
            <w:pPr>
              <w:keepNext/>
              <w:spacing w:line="264" w:lineRule="auto" w:before="60" w:after="60"/>
              <w:ind w:firstLine="0"/>
              <w:jc w:val="center"/>
            </w:pPr>
            <w:r>
              <w:rPr>
                <w:b w:val="0"/>
                <w:sz w:val="19"/>
              </w:rPr>
              <w:t>G7AW-PQJK-UC22-37P7</w:t>
            </w:r>
          </w:p>
        </w:tc>
        <w:tc>
          <w:tcPr>
            <w:tcW w:type="dxa" w:w="1247"/>
            <w:vAlign w:val="center"/>
          </w:tcPr>
          <w:p>
            <w:pPr>
              <w:keepNext/>
              <w:spacing w:line="264" w:lineRule="auto" w:before="60" w:after="60"/>
              <w:ind w:firstLine="0"/>
              <w:jc w:val="center"/>
            </w:pPr>
            <w:r>
              <w:rPr>
                <w:b w:val="0"/>
                <w:sz w:val="19"/>
              </w:rPr>
              <w:t>v2</w:t>
            </w:r>
          </w:p>
        </w:tc>
        <w:tc>
          <w:tcPr>
            <w:tcW w:type="dxa" w:w="1247"/>
            <w:vAlign w:val="center"/>
          </w:tcPr>
          <w:p>
            <w:pPr>
              <w:keepNext/>
              <w:spacing w:line="264" w:lineRule="auto" w:before="60" w:after="60"/>
              <w:ind w:firstLine="0"/>
              <w:jc w:val="center"/>
            </w:pPr>
            <w:r>
              <w:rPr>
                <w:b w:val="0"/>
                <w:sz w:val="19"/>
              </w:rPr>
              <w:t>15/15</w:t>
            </w:r>
          </w:p>
        </w:tc>
        <w:tc>
          <w:tcPr>
            <w:tcW w:type="dxa" w:w="2098"/>
            <w:vAlign w:val="center"/>
          </w:tcPr>
          <w:p>
            <w:pPr>
              <w:keepNext/>
              <w:spacing w:line="264" w:lineRule="auto" w:before="60" w:after="60"/>
              <w:ind w:firstLine="0"/>
              <w:jc w:val="center"/>
            </w:pPr>
            <w:r>
              <w:rPr>
                <w:b w:val="0"/>
                <w:sz w:val="19"/>
              </w:rPr>
              <w:t>475.87</w:t>
            </w:r>
          </w:p>
        </w:tc>
        <w:tc>
          <w:tcPr>
            <w:tcW w:type="dxa" w:w="1984"/>
            <w:vAlign w:val="center"/>
          </w:tcPr>
          <w:p>
            <w:pPr>
              <w:keepNext/>
              <w:spacing w:line="264" w:lineRule="auto" w:before="60" w:after="60"/>
              <w:ind w:firstLine="0"/>
              <w:jc w:val="center"/>
            </w:pPr>
            <w:r>
              <w:rPr>
                <w:b w:val="0"/>
                <w:sz w:val="19"/>
              </w:rPr>
              <w:t>3.985</w:t>
            </w:r>
          </w:p>
        </w:tc>
      </w:tr>
      <w:tr>
        <w:trPr>
          <w:cantSplit/>
        </w:trPr>
        <w:tc>
          <w:tcPr>
            <w:tcW w:type="dxa" w:w="2608"/>
            <w:vAlign w:val="center"/>
          </w:tcPr>
          <w:p>
            <w:pPr>
              <w:keepNext/>
              <w:spacing w:line="264" w:lineRule="auto" w:before="60" w:after="60"/>
              <w:ind w:firstLine="0"/>
              <w:jc w:val="center"/>
            </w:pPr>
            <w:r>
              <w:rPr>
                <w:b w:val="0"/>
                <w:sz w:val="19"/>
              </w:rPr>
              <w:t>XKMG-Z8EK-SFYN-ZP97</w:t>
            </w:r>
          </w:p>
        </w:tc>
        <w:tc>
          <w:tcPr>
            <w:tcW w:type="dxa" w:w="1247"/>
            <w:vAlign w:val="center"/>
          </w:tcPr>
          <w:p>
            <w:pPr>
              <w:keepNext/>
              <w:spacing w:line="264" w:lineRule="auto" w:before="60" w:after="60"/>
              <w:ind w:firstLine="0"/>
              <w:jc w:val="center"/>
            </w:pPr>
            <w:r>
              <w:rPr>
                <w:b w:val="0"/>
                <w:sz w:val="19"/>
              </w:rPr>
              <w:t>v2</w:t>
            </w:r>
          </w:p>
        </w:tc>
        <w:tc>
          <w:tcPr>
            <w:tcW w:type="dxa" w:w="1247"/>
            <w:vAlign w:val="center"/>
          </w:tcPr>
          <w:p>
            <w:pPr>
              <w:keepNext/>
              <w:spacing w:line="264" w:lineRule="auto" w:before="60" w:after="60"/>
              <w:ind w:firstLine="0"/>
              <w:jc w:val="center"/>
            </w:pPr>
            <w:r>
              <w:rPr>
                <w:b w:val="0"/>
                <w:sz w:val="19"/>
              </w:rPr>
              <w:t>12/12</w:t>
            </w:r>
          </w:p>
        </w:tc>
        <w:tc>
          <w:tcPr>
            <w:tcW w:type="dxa" w:w="2098"/>
            <w:vAlign w:val="center"/>
          </w:tcPr>
          <w:p>
            <w:pPr>
              <w:keepNext/>
              <w:spacing w:line="264" w:lineRule="auto" w:before="60" w:after="60"/>
              <w:ind w:firstLine="0"/>
              <w:jc w:val="center"/>
            </w:pPr>
            <w:r>
              <w:rPr>
                <w:b w:val="0"/>
                <w:sz w:val="19"/>
              </w:rPr>
              <w:t>537.44</w:t>
            </w:r>
          </w:p>
        </w:tc>
        <w:tc>
          <w:tcPr>
            <w:tcW w:type="dxa" w:w="1984"/>
            <w:vAlign w:val="center"/>
          </w:tcPr>
          <w:p>
            <w:pPr>
              <w:keepNext/>
              <w:spacing w:line="264" w:lineRule="auto" w:before="60" w:after="60"/>
              <w:ind w:firstLine="0"/>
              <w:jc w:val="center"/>
            </w:pPr>
            <w:r>
              <w:rPr>
                <w:b w:val="0"/>
                <w:sz w:val="19"/>
              </w:rPr>
              <w:t>3.606</w:t>
            </w:r>
          </w:p>
        </w:tc>
      </w:tr>
      <w:tr>
        <w:trPr>
          <w:cantSplit/>
        </w:trPr>
        <w:tc>
          <w:tcPr>
            <w:tcW w:type="dxa" w:w="2608"/>
            <w:vAlign w:val="center"/>
          </w:tcPr>
          <w:p>
            <w:pPr>
              <w:spacing w:line="264" w:lineRule="auto" w:before="60" w:after="60"/>
              <w:ind w:firstLine="0"/>
              <w:jc w:val="center"/>
            </w:pPr>
            <w:r>
              <w:rPr>
                <w:b w:val="0"/>
                <w:sz w:val="19"/>
              </w:rPr>
              <w:t>BRRW-8WY4-53ZD-3UFQ</w:t>
            </w:r>
          </w:p>
        </w:tc>
        <w:tc>
          <w:tcPr>
            <w:tcW w:type="dxa" w:w="1247"/>
            <w:vAlign w:val="center"/>
          </w:tcPr>
          <w:p>
            <w:pPr>
              <w:spacing w:line="264" w:lineRule="auto" w:before="60" w:after="60"/>
              <w:ind w:firstLine="0"/>
              <w:jc w:val="center"/>
            </w:pPr>
            <w:r>
              <w:rPr>
                <w:b w:val="0"/>
                <w:sz w:val="19"/>
              </w:rPr>
              <w:t>source-98</w:t>
            </w:r>
          </w:p>
        </w:tc>
        <w:tc>
          <w:tcPr>
            <w:tcW w:type="dxa" w:w="1247"/>
            <w:vAlign w:val="center"/>
          </w:tcPr>
          <w:p>
            <w:pPr>
              <w:spacing w:line="264" w:lineRule="auto" w:before="60" w:after="60"/>
              <w:ind w:firstLine="0"/>
              <w:jc w:val="center"/>
            </w:pPr>
            <w:r>
              <w:rPr>
                <w:b w:val="0"/>
                <w:sz w:val="19"/>
              </w:rPr>
              <w:t>13/13</w:t>
            </w:r>
          </w:p>
        </w:tc>
        <w:tc>
          <w:tcPr>
            <w:tcW w:type="dxa" w:w="2098"/>
            <w:vAlign w:val="center"/>
          </w:tcPr>
          <w:p>
            <w:pPr>
              <w:spacing w:line="264" w:lineRule="auto" w:before="60" w:after="60"/>
              <w:ind w:firstLine="0"/>
              <w:jc w:val="center"/>
            </w:pPr>
            <w:r>
              <w:rPr>
                <w:b w:val="0"/>
                <w:sz w:val="19"/>
              </w:rPr>
              <w:t>404.51</w:t>
            </w:r>
          </w:p>
        </w:tc>
        <w:tc>
          <w:tcPr>
            <w:tcW w:type="dxa" w:w="1984"/>
            <w:vAlign w:val="center"/>
          </w:tcPr>
          <w:p>
            <w:pPr>
              <w:spacing w:line="264" w:lineRule="auto" w:before="60" w:after="60"/>
              <w:ind w:firstLine="0"/>
              <w:jc w:val="center"/>
            </w:pPr>
            <w:r>
              <w:rPr>
                <w:b w:val="0"/>
                <w:sz w:val="19"/>
              </w:rPr>
              <w:t>3.652</w:t>
            </w:r>
          </w:p>
        </w:tc>
      </w:tr>
    </w:tbl>
    <w:p>
      <w:pPr>
        <w:spacing w:after="40" w:before="0" w:line="72" w:lineRule="auto"/>
      </w:pPr>
    </w:p>
    <w:p>
      <w:pPr>
        <w:jc w:val="both"/>
      </w:pPr>
      <w:r>
        <w:t>v2的两局分别清除15/15和12/12，说明双约束已接入官方接口，但样本量不足以证明消除了全部16源风险。source-98的一局清除13/13、平均404.51 s/源；该局实际全清，不代表该配置总体能保证全清。程序运行时间均远低于题目1200 s最大允许值。</w:t>
      </w:r>
    </w:p>
    <w:p>
      <w:pPr>
        <w:keepNext/>
        <w:ind w:firstLine="0"/>
        <w:jc w:val="center"/>
      </w:pPr>
      <w:r>
        <w:t>表11 问题4正式测试结果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814"/>
        <w:gridCol w:w="2041"/>
        <w:gridCol w:w="2381"/>
      </w:tblGrid>
      <w:tr>
        <w:trPr>
          <w:cantSplit/>
          <w:tblHeader/>
        </w:trPr>
        <w:tc>
          <w:tcPr>
            <w:tcW w:type="dxa" w:w="2948"/>
            <w:vAlign w:val="center"/>
            <w:shd w:fill="EFEFEF"/>
          </w:tcPr>
          <w:p>
            <w:pPr>
              <w:keepNext/>
              <w:spacing w:line="264" w:lineRule="auto" w:before="60" w:after="60"/>
              <w:ind w:firstLine="0"/>
              <w:jc w:val="center"/>
            </w:pPr>
            <w:r>
              <w:rPr>
                <w:b/>
                <w:sz w:val="20"/>
              </w:rPr>
              <w:t>测试案例编码</w:t>
            </w:r>
          </w:p>
        </w:tc>
        <w:tc>
          <w:tcPr>
            <w:tcW w:type="dxa" w:w="1814"/>
            <w:vAlign w:val="center"/>
            <w:shd w:fill="EFEFEF"/>
          </w:tcPr>
          <w:p>
            <w:pPr>
              <w:keepNext/>
              <w:spacing w:line="264" w:lineRule="auto" w:before="60" w:after="60"/>
              <w:ind w:firstLine="0"/>
              <w:jc w:val="center"/>
            </w:pPr>
            <w:r>
              <w:rPr>
                <w:b/>
                <w:sz w:val="20"/>
              </w:rPr>
              <w:t>清除干扰源个数</w:t>
            </w:r>
          </w:p>
        </w:tc>
        <w:tc>
          <w:tcPr>
            <w:tcW w:type="dxa" w:w="2041"/>
            <w:vAlign w:val="center"/>
            <w:shd w:fill="EFEFEF"/>
          </w:tcPr>
          <w:p>
            <w:pPr>
              <w:keepNext/>
              <w:spacing w:line="264" w:lineRule="auto" w:before="60" w:after="60"/>
              <w:ind w:firstLine="0"/>
              <w:jc w:val="center"/>
            </w:pPr>
            <w:r>
              <w:rPr>
                <w:b/>
                <w:sz w:val="20"/>
              </w:rPr>
              <w:t>平均定位清除时间/s</w:t>
            </w:r>
          </w:p>
        </w:tc>
        <w:tc>
          <w:tcPr>
            <w:tcW w:type="dxa" w:w="2381"/>
            <w:vAlign w:val="center"/>
            <w:shd w:fill="EFEFEF"/>
          </w:tcPr>
          <w:p>
            <w:pPr>
              <w:keepNext/>
              <w:spacing w:line="264" w:lineRule="auto" w:before="60" w:after="60"/>
              <w:ind w:firstLine="0"/>
              <w:jc w:val="center"/>
            </w:pPr>
            <w:r>
              <w:rPr>
                <w:b/>
                <w:sz w:val="20"/>
              </w:rPr>
              <w:t>程序运行时间/s</w:t>
            </w:r>
          </w:p>
        </w:tc>
      </w:tr>
      <w:tr>
        <w:trPr>
          <w:cantSplit/>
        </w:trPr>
        <w:tc>
          <w:tcPr>
            <w:tcW w:type="dxa" w:w="2948"/>
            <w:vAlign w:val="center"/>
          </w:tcPr>
          <w:p>
            <w:pPr>
              <w:keepNext/>
              <w:spacing w:line="264" w:lineRule="auto" w:before="60" w:after="60"/>
              <w:ind w:firstLine="0"/>
              <w:jc w:val="center"/>
            </w:pPr>
            <w:r>
              <w:rPr>
                <w:b w:val="0"/>
                <w:sz w:val="20"/>
              </w:rPr>
              <w:t>正式测试1 待填</w:t>
            </w:r>
          </w:p>
        </w:tc>
        <w:tc>
          <w:tcPr>
            <w:tcW w:type="dxa" w:w="1814"/>
            <w:vAlign w:val="center"/>
          </w:tcPr>
          <w:p>
            <w:pPr>
              <w:keepNext/>
              <w:spacing w:line="264" w:lineRule="auto" w:before="60" w:after="60"/>
              <w:ind w:firstLine="0"/>
              <w:jc w:val="center"/>
            </w:pPr>
            <w:r>
              <w:rPr>
                <w:b w:val="0"/>
                <w:sz w:val="20"/>
              </w:rPr>
              <w:t>待填</w:t>
            </w:r>
          </w:p>
        </w:tc>
        <w:tc>
          <w:tcPr>
            <w:tcW w:type="dxa" w:w="2041"/>
            <w:vAlign w:val="center"/>
          </w:tcPr>
          <w:p>
            <w:pPr>
              <w:keepNext/>
              <w:spacing w:line="264" w:lineRule="auto" w:before="60" w:after="60"/>
              <w:ind w:firstLine="0"/>
              <w:jc w:val="center"/>
            </w:pPr>
            <w:r>
              <w:rPr>
                <w:b w:val="0"/>
                <w:sz w:val="20"/>
              </w:rPr>
              <w:t>待填</w:t>
            </w:r>
          </w:p>
        </w:tc>
        <w:tc>
          <w:tcPr>
            <w:tcW w:type="dxa" w:w="2381"/>
            <w:vAlign w:val="center"/>
          </w:tcPr>
          <w:p>
            <w:pPr>
              <w:keepNext/>
              <w:spacing w:line="264" w:lineRule="auto" w:before="60" w:after="60"/>
              <w:ind w:firstLine="0"/>
              <w:jc w:val="center"/>
            </w:pPr>
            <w:r>
              <w:rPr>
                <w:b w:val="0"/>
                <w:sz w:val="20"/>
              </w:rPr>
              <w:t>待填</w:t>
            </w:r>
          </w:p>
        </w:tc>
      </w:tr>
      <w:tr>
        <w:trPr>
          <w:cantSplit/>
        </w:trPr>
        <w:tc>
          <w:tcPr>
            <w:tcW w:type="dxa" w:w="2948"/>
            <w:vAlign w:val="center"/>
          </w:tcPr>
          <w:p>
            <w:pPr>
              <w:keepNext/>
              <w:spacing w:line="264" w:lineRule="auto" w:before="60" w:after="60"/>
              <w:ind w:firstLine="0"/>
              <w:jc w:val="center"/>
            </w:pPr>
            <w:r>
              <w:rPr>
                <w:b w:val="0"/>
                <w:sz w:val="20"/>
              </w:rPr>
              <w:t>正式测试2 待填</w:t>
            </w:r>
          </w:p>
        </w:tc>
        <w:tc>
          <w:tcPr>
            <w:tcW w:type="dxa" w:w="1814"/>
            <w:vAlign w:val="center"/>
          </w:tcPr>
          <w:p>
            <w:pPr>
              <w:keepNext/>
              <w:spacing w:line="264" w:lineRule="auto" w:before="60" w:after="60"/>
              <w:ind w:firstLine="0"/>
              <w:jc w:val="center"/>
            </w:pPr>
            <w:r>
              <w:rPr>
                <w:b w:val="0"/>
                <w:sz w:val="20"/>
              </w:rPr>
              <w:t>待填</w:t>
            </w:r>
          </w:p>
        </w:tc>
        <w:tc>
          <w:tcPr>
            <w:tcW w:type="dxa" w:w="2041"/>
            <w:vAlign w:val="center"/>
          </w:tcPr>
          <w:p>
            <w:pPr>
              <w:keepNext/>
              <w:spacing w:line="264" w:lineRule="auto" w:before="60" w:after="60"/>
              <w:ind w:firstLine="0"/>
              <w:jc w:val="center"/>
            </w:pPr>
            <w:r>
              <w:rPr>
                <w:b w:val="0"/>
                <w:sz w:val="20"/>
              </w:rPr>
              <w:t>待填</w:t>
            </w:r>
          </w:p>
        </w:tc>
        <w:tc>
          <w:tcPr>
            <w:tcW w:type="dxa" w:w="2381"/>
            <w:vAlign w:val="center"/>
          </w:tcPr>
          <w:p>
            <w:pPr>
              <w:keepNext/>
              <w:spacing w:line="264" w:lineRule="auto" w:before="60" w:after="60"/>
              <w:ind w:firstLine="0"/>
              <w:jc w:val="center"/>
            </w:pPr>
            <w:r>
              <w:rPr>
                <w:b w:val="0"/>
                <w:sz w:val="20"/>
              </w:rPr>
              <w:t>待填</w:t>
            </w:r>
          </w:p>
        </w:tc>
      </w:tr>
      <w:tr>
        <w:trPr>
          <w:cantSplit/>
        </w:trPr>
        <w:tc>
          <w:tcPr>
            <w:tcW w:type="dxa" w:w="2948"/>
            <w:vAlign w:val="center"/>
          </w:tcPr>
          <w:p>
            <w:pPr>
              <w:spacing w:line="264" w:lineRule="auto" w:before="60" w:after="60"/>
              <w:ind w:firstLine="0"/>
              <w:jc w:val="center"/>
            </w:pPr>
            <w:r>
              <w:rPr>
                <w:b w:val="0"/>
                <w:sz w:val="20"/>
              </w:rPr>
              <w:t>正式测试3 待填</w:t>
            </w:r>
          </w:p>
        </w:tc>
        <w:tc>
          <w:tcPr>
            <w:tcW w:type="dxa" w:w="1814"/>
            <w:vAlign w:val="center"/>
          </w:tcPr>
          <w:p>
            <w:pPr>
              <w:spacing w:line="264" w:lineRule="auto" w:before="60" w:after="60"/>
              <w:ind w:firstLine="0"/>
              <w:jc w:val="center"/>
            </w:pPr>
            <w:r>
              <w:rPr>
                <w:b w:val="0"/>
                <w:sz w:val="20"/>
              </w:rPr>
              <w:t>待填</w:t>
            </w:r>
          </w:p>
        </w:tc>
        <w:tc>
          <w:tcPr>
            <w:tcW w:type="dxa" w:w="2041"/>
            <w:vAlign w:val="center"/>
          </w:tcPr>
          <w:p>
            <w:pPr>
              <w:spacing w:line="264" w:lineRule="auto" w:before="60" w:after="60"/>
              <w:ind w:firstLine="0"/>
              <w:jc w:val="center"/>
            </w:pPr>
            <w:r>
              <w:rPr>
                <w:b w:val="0"/>
                <w:sz w:val="20"/>
              </w:rPr>
              <w:t>待填</w:t>
            </w:r>
          </w:p>
        </w:tc>
        <w:tc>
          <w:tcPr>
            <w:tcW w:type="dxa" w:w="2381"/>
            <w:vAlign w:val="center"/>
          </w:tcPr>
          <w:p>
            <w:pPr>
              <w:spacing w:line="264" w:lineRule="auto" w:before="60" w:after="60"/>
              <w:ind w:firstLine="0"/>
              <w:jc w:val="center"/>
            </w:pPr>
            <w:r>
              <w:rPr>
                <w:b w:val="0"/>
                <w:sz w:val="20"/>
              </w:rPr>
              <w:t>待填</w:t>
            </w:r>
          </w:p>
        </w:tc>
      </w:tr>
    </w:tbl>
    <w:p>
      <w:pPr>
        <w:spacing w:after="40" w:before="0" w:line="72" w:lineRule="auto"/>
      </w:pPr>
    </w:p>
    <w:p>
      <w:pPr>
        <w:pStyle w:val="Heading1"/>
      </w:pPr>
      <w:r>
        <w:t>9 灵敏度分析与模型消融</w:t>
      </w:r>
    </w:p>
    <w:p>
      <w:pPr>
        <w:pStyle w:val="Heading2"/>
      </w:pPr>
      <w:r>
        <w:t>9.1 几何精度与清除阈值</w:t>
      </w:r>
    </w:p>
    <w:p>
      <w:pPr>
        <w:keepNext/>
        <w:jc w:val="both"/>
      </w:pPr>
      <w:r>
        <w:t>圆盘多边形化和示向误差对定位区域的影响不同。对于半径r、边数n的内接正多边形，边中点处最大径向差为</w:t>
      </w:r>
    </w:p>
    <w:p>
      <w:pPr>
        <w:keepLines/>
        <w:ind w:firstLine="0"/>
        <w:jc w:val="center"/>
      </w:pPr>
      <m:oMath>
        <m:r>
          <m:t>Δr=r</m:t>
          <w:rPr>
            <w:rFonts w:ascii="Cambria Math" w:hAnsi="Cambria Math" w:eastAsia="Cambria Math"/>
          </w:rPr>
        </m:r>
        <m:d>
          <m:dPr>
            <m:sepChr m:val="−"/>
          </m:dPr>
          <m:e>
            <m:r>
              <m:t>1</m:t>
              <w:rPr>
                <w:rFonts w:ascii="Cambria Math" w:hAnsi="Cambria Math" w:eastAsia="Cambria Math"/>
              </w:rPr>
            </m:r>
          </m:e>
          <m:e>
            <m:r>
              <m:rPr>
                <m:sty m:val="p"/>
              </m:rPr>
              <m:t>cos</m:t>
              <w:rPr>
                <w:rFonts w:ascii="Cambria Math" w:hAnsi="Cambria Math" w:eastAsia="Cambria Math"/>
              </w:rPr>
            </m:r>
            <m:f>
              <m:fPr>
                <m:type m:val="bar"/>
              </m:fPr>
              <m:num>
                <m:r>
                  <m:t>π</m:t>
                  <w:rPr>
                    <w:rFonts w:ascii="Cambria Math" w:hAnsi="Cambria Math" w:eastAsia="Cambria Math"/>
                  </w:rPr>
                </m:r>
              </m:num>
              <m:den>
                <m:r>
                  <m:t>n</m:t>
                  <w:rPr>
                    <w:rFonts w:ascii="Cambria Math" w:hAnsi="Cambria Math" w:eastAsia="Cambria Math"/>
                  </w:rPr>
                </m:r>
              </m:den>
            </m:f>
          </m:e>
        </m:d>
        <m:r>
          <m:t>.</m:t>
          <w:rPr>
            <w:rFonts w:ascii="Cambria Math" w:hAnsi="Cambria Math" w:eastAsia="Cambria Math"/>
          </w:rPr>
        </m:r>
      </m:oMath>
      <w:r>
        <w:t xml:space="preserve">  (22)</w:t>
      </w:r>
    </w:p>
    <w:p>
      <w:pPr>
        <w:jc w:val="both"/>
      </w:pPr>
      <w:r>
        <w:t>1800 m圆用720边时该差约0.0171 m，1500 m接收圆用360边时约0.0571 m。它们远小于当前构造例中几十米的定位直径，但这不是交集直径误差的统一上界，尤其在近切和细长区域中仍需检查。由于采用内接近似，贴近真实圆边界的点可能被舍去；连续几何保证需要外包络或更严格误差控制。</w:t>
      </w:r>
    </w:p>
    <w:p>
      <w:pPr>
        <w:jc w:val="both"/>
      </w:pPr>
      <w:r>
        <w:t>两方位区域常呈细长形，路线中心的误差会影响跨源顺序。已有100局固定16源估计器实验中，两方位样本的面积质心位置误差均值/P95为190.5/919.2 m，最小包围圆中心为153.0/698.4 m。圆心作为路线代理可降低该批样本的尾部误差，但20 m内命中率并未同步全面提高，因此程序保留“圆心估路、受半径限制的质心试清除”这两种用途。</w:t>
      </w:r>
    </w:p>
    <w:p>
      <w:pPr>
        <w:jc w:val="both"/>
      </w:pPr>
      <w:r>
        <w:t>75 m阈值是经验性提前清除条件，19 m阈值则为20 m光学范围保留一定数值余量。两者不可混为“定位精度均达到20 m”。对失败清除，程序支付3 s后继续更新，不计为成功。</w:t>
      </w:r>
    </w:p>
    <w:p>
      <w:pPr>
        <w:pStyle w:val="Heading2"/>
      </w:pPr>
      <w:r>
        <w:t>9.2 源数对搜索成本的影响</w:t>
      </w:r>
    </w:p>
    <w:p>
      <w:pPr>
        <w:jc w:val="both"/>
      </w:pPr>
      <w:r>
        <w:t>为了观察源数变化，对source-98另进行10至16源各100局的分层验证。该表研究速度配置的行为，与问题三全清结果并列分析，但不赋予相同的可靠性结论。</w:t>
      </w:r>
    </w:p>
    <w:p>
      <w:pPr>
        <w:keepNext/>
        <w:ind w:firstLine="0"/>
        <w:jc w:val="center"/>
      </w:pPr>
      <w:r>
        <w:t>表12 问题四source-98源数分层结果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587"/>
        <w:gridCol w:w="1531"/>
        <w:gridCol w:w="1417"/>
        <w:gridCol w:w="1757"/>
        <w:gridCol w:w="1644"/>
      </w:tblGrid>
      <w:tr>
        <w:trPr>
          <w:cantSplit/>
          <w:tblHeader/>
        </w:trPr>
        <w:tc>
          <w:tcPr>
            <w:tcW w:type="dxa" w:w="1247"/>
            <w:vAlign w:val="center"/>
            <w:shd w:fill="EFEFEF"/>
          </w:tcPr>
          <w:p>
            <w:pPr>
              <w:keepNext/>
              <w:spacing w:line="264" w:lineRule="auto" w:before="60" w:after="60"/>
              <w:ind w:firstLine="0"/>
              <w:jc w:val="center"/>
            </w:pPr>
            <w:r>
              <w:rPr>
                <w:b/>
                <w:sz w:val="19"/>
              </w:rPr>
              <w:t>真实源数</w:t>
            </w:r>
          </w:p>
        </w:tc>
        <w:tc>
          <w:tcPr>
            <w:tcW w:type="dxa" w:w="1587"/>
            <w:vAlign w:val="center"/>
            <w:shd w:fill="EFEFEF"/>
          </w:tcPr>
          <w:p>
            <w:pPr>
              <w:keepNext/>
              <w:spacing w:line="264" w:lineRule="auto" w:before="60" w:after="60"/>
              <w:ind w:firstLine="0"/>
              <w:jc w:val="center"/>
            </w:pPr>
            <w:r>
              <w:rPr>
                <w:b/>
                <w:sz w:val="19"/>
              </w:rPr>
              <w:t>源级清除率</w:t>
            </w:r>
          </w:p>
        </w:tc>
        <w:tc>
          <w:tcPr>
            <w:tcW w:type="dxa" w:w="1531"/>
            <w:vAlign w:val="center"/>
            <w:shd w:fill="EFEFEF"/>
          </w:tcPr>
          <w:p>
            <w:pPr>
              <w:keepNext/>
              <w:spacing w:line="264" w:lineRule="auto" w:before="60" w:after="60"/>
              <w:ind w:firstLine="0"/>
              <w:jc w:val="center"/>
            </w:pPr>
            <w:r>
              <w:rPr>
                <w:b/>
                <w:sz w:val="19"/>
              </w:rPr>
              <w:t>全清率</w:t>
            </w:r>
          </w:p>
        </w:tc>
        <w:tc>
          <w:tcPr>
            <w:tcW w:type="dxa" w:w="1417"/>
            <w:vAlign w:val="center"/>
            <w:shd w:fill="EFEFEF"/>
          </w:tcPr>
          <w:p>
            <w:pPr>
              <w:keepNext/>
              <w:spacing w:line="264" w:lineRule="auto" w:before="60" w:after="60"/>
              <w:ind w:firstLine="0"/>
              <w:jc w:val="center"/>
            </w:pPr>
            <w:r>
              <w:rPr>
                <w:b/>
                <w:sz w:val="19"/>
              </w:rPr>
              <w:t>平均T/C</w:t>
              <w:br/>
              <w:t>s/源</w:t>
            </w:r>
          </w:p>
        </w:tc>
        <w:tc>
          <w:tcPr>
            <w:tcW w:type="dxa" w:w="1757"/>
            <w:vAlign w:val="center"/>
            <w:shd w:fill="EFEFEF"/>
          </w:tcPr>
          <w:p>
            <w:pPr>
              <w:keepNext/>
              <w:spacing w:line="264" w:lineRule="auto" w:before="60" w:after="60"/>
              <w:ind w:firstLine="0"/>
              <w:jc w:val="center"/>
            </w:pPr>
            <w:r>
              <w:rPr>
                <w:b/>
                <w:sz w:val="19"/>
              </w:rPr>
              <w:t>整局时间</w:t>
              <w:br/>
              <w:t>s</w:t>
            </w:r>
          </w:p>
        </w:tc>
        <w:tc>
          <w:tcPr>
            <w:tcW w:type="dxa" w:w="1644"/>
            <w:vAlign w:val="center"/>
            <w:shd w:fill="EFEFEF"/>
          </w:tcPr>
          <w:p>
            <w:pPr>
              <w:keepNext/>
              <w:spacing w:line="264" w:lineRule="auto" w:before="60" w:after="60"/>
              <w:ind w:firstLine="0"/>
              <w:jc w:val="center"/>
            </w:pPr>
            <w:r>
              <w:rPr>
                <w:b/>
                <w:sz w:val="19"/>
              </w:rPr>
              <w:t>路程</w:t>
              <w:br/>
              <w:t>km</w:t>
            </w:r>
          </w:p>
        </w:tc>
      </w:tr>
      <w:tr>
        <w:trPr>
          <w:cantSplit/>
        </w:trPr>
        <w:tc>
          <w:tcPr>
            <w:tcW w:type="dxa" w:w="1247"/>
            <w:vAlign w:val="center"/>
          </w:tcPr>
          <w:p>
            <w:pPr>
              <w:keepNext/>
              <w:spacing w:line="264" w:lineRule="auto" w:before="60" w:after="60"/>
              <w:ind w:firstLine="0"/>
              <w:jc w:val="center"/>
            </w:pPr>
            <w:r>
              <w:rPr>
                <w:b w:val="0"/>
                <w:sz w:val="19"/>
              </w:rPr>
              <w:t>10</w:t>
            </w:r>
          </w:p>
        </w:tc>
        <w:tc>
          <w:tcPr>
            <w:tcW w:type="dxa" w:w="1587"/>
            <w:vAlign w:val="center"/>
          </w:tcPr>
          <w:p>
            <w:pPr>
              <w:keepNext/>
              <w:spacing w:line="264" w:lineRule="auto" w:before="60" w:after="60"/>
              <w:ind w:firstLine="0"/>
              <w:jc w:val="center"/>
            </w:pPr>
            <w:r>
              <w:rPr>
                <w:b w:val="0"/>
                <w:sz w:val="19"/>
              </w:rPr>
              <w:t>100.0000%</w:t>
            </w:r>
          </w:p>
        </w:tc>
        <w:tc>
          <w:tcPr>
            <w:tcW w:type="dxa" w:w="1531"/>
            <w:vAlign w:val="center"/>
          </w:tcPr>
          <w:p>
            <w:pPr>
              <w:keepNext/>
              <w:spacing w:line="264" w:lineRule="auto" w:before="60" w:after="60"/>
              <w:ind w:firstLine="0"/>
              <w:jc w:val="center"/>
            </w:pPr>
            <w:r>
              <w:rPr>
                <w:b w:val="0"/>
                <w:sz w:val="19"/>
              </w:rPr>
              <w:t>100.00%</w:t>
            </w:r>
          </w:p>
        </w:tc>
        <w:tc>
          <w:tcPr>
            <w:tcW w:type="dxa" w:w="1417"/>
            <w:vAlign w:val="center"/>
          </w:tcPr>
          <w:p>
            <w:pPr>
              <w:keepNext/>
              <w:spacing w:line="264" w:lineRule="auto" w:before="60" w:after="60"/>
              <w:ind w:firstLine="0"/>
              <w:jc w:val="center"/>
            </w:pPr>
            <w:r>
              <w:rPr>
                <w:b w:val="0"/>
                <w:sz w:val="19"/>
              </w:rPr>
              <w:t>606.87</w:t>
            </w:r>
          </w:p>
        </w:tc>
        <w:tc>
          <w:tcPr>
            <w:tcW w:type="dxa" w:w="1757"/>
            <w:vAlign w:val="center"/>
          </w:tcPr>
          <w:p>
            <w:pPr>
              <w:keepNext/>
              <w:spacing w:line="264" w:lineRule="auto" w:before="60" w:after="60"/>
              <w:ind w:firstLine="0"/>
              <w:jc w:val="center"/>
            </w:pPr>
            <w:r>
              <w:rPr>
                <w:b w:val="0"/>
                <w:sz w:val="19"/>
              </w:rPr>
              <w:t>6068.68</w:t>
            </w:r>
          </w:p>
        </w:tc>
        <w:tc>
          <w:tcPr>
            <w:tcW w:type="dxa" w:w="1644"/>
            <w:vAlign w:val="center"/>
          </w:tcPr>
          <w:p>
            <w:pPr>
              <w:keepNext/>
              <w:spacing w:line="264" w:lineRule="auto" w:before="60" w:after="60"/>
              <w:ind w:firstLine="0"/>
              <w:jc w:val="center"/>
            </w:pPr>
            <w:r>
              <w:rPr>
                <w:b w:val="0"/>
                <w:sz w:val="19"/>
              </w:rPr>
              <w:t>21.85</w:t>
            </w:r>
          </w:p>
        </w:tc>
      </w:tr>
      <w:tr>
        <w:trPr>
          <w:cantSplit/>
        </w:trPr>
        <w:tc>
          <w:tcPr>
            <w:tcW w:type="dxa" w:w="1247"/>
            <w:vAlign w:val="center"/>
          </w:tcPr>
          <w:p>
            <w:pPr>
              <w:keepNext/>
              <w:spacing w:line="264" w:lineRule="auto" w:before="60" w:after="60"/>
              <w:ind w:firstLine="0"/>
              <w:jc w:val="center"/>
            </w:pPr>
            <w:r>
              <w:rPr>
                <w:b w:val="0"/>
                <w:sz w:val="19"/>
              </w:rPr>
              <w:t>11</w:t>
            </w:r>
          </w:p>
        </w:tc>
        <w:tc>
          <w:tcPr>
            <w:tcW w:type="dxa" w:w="1587"/>
            <w:vAlign w:val="center"/>
          </w:tcPr>
          <w:p>
            <w:pPr>
              <w:keepNext/>
              <w:spacing w:line="264" w:lineRule="auto" w:before="60" w:after="60"/>
              <w:ind w:firstLine="0"/>
              <w:jc w:val="center"/>
            </w:pPr>
            <w:r>
              <w:rPr>
                <w:b w:val="0"/>
                <w:sz w:val="19"/>
              </w:rPr>
              <w:t>99.1818%</w:t>
            </w:r>
          </w:p>
        </w:tc>
        <w:tc>
          <w:tcPr>
            <w:tcW w:type="dxa" w:w="1531"/>
            <w:vAlign w:val="center"/>
          </w:tcPr>
          <w:p>
            <w:pPr>
              <w:keepNext/>
              <w:spacing w:line="264" w:lineRule="auto" w:before="60" w:after="60"/>
              <w:ind w:firstLine="0"/>
              <w:jc w:val="center"/>
            </w:pPr>
            <w:r>
              <w:rPr>
                <w:b w:val="0"/>
                <w:sz w:val="19"/>
              </w:rPr>
              <w:t>91.00%</w:t>
            </w:r>
          </w:p>
        </w:tc>
        <w:tc>
          <w:tcPr>
            <w:tcW w:type="dxa" w:w="1417"/>
            <w:vAlign w:val="center"/>
          </w:tcPr>
          <w:p>
            <w:pPr>
              <w:keepNext/>
              <w:spacing w:line="264" w:lineRule="auto" w:before="60" w:after="60"/>
              <w:ind w:firstLine="0"/>
              <w:jc w:val="center"/>
            </w:pPr>
            <w:r>
              <w:rPr>
                <w:b w:val="0"/>
                <w:sz w:val="19"/>
              </w:rPr>
              <w:t>525.31</w:t>
            </w:r>
          </w:p>
        </w:tc>
        <w:tc>
          <w:tcPr>
            <w:tcW w:type="dxa" w:w="1757"/>
            <w:vAlign w:val="center"/>
          </w:tcPr>
          <w:p>
            <w:pPr>
              <w:keepNext/>
              <w:spacing w:line="264" w:lineRule="auto" w:before="60" w:after="60"/>
              <w:ind w:firstLine="0"/>
              <w:jc w:val="center"/>
            </w:pPr>
            <w:r>
              <w:rPr>
                <w:b w:val="0"/>
                <w:sz w:val="19"/>
              </w:rPr>
              <w:t>5728.00</w:t>
            </w:r>
          </w:p>
        </w:tc>
        <w:tc>
          <w:tcPr>
            <w:tcW w:type="dxa" w:w="1644"/>
            <w:vAlign w:val="center"/>
          </w:tcPr>
          <w:p>
            <w:pPr>
              <w:keepNext/>
              <w:spacing w:line="264" w:lineRule="auto" w:before="60" w:after="60"/>
              <w:ind w:firstLine="0"/>
              <w:jc w:val="center"/>
            </w:pPr>
            <w:r>
              <w:rPr>
                <w:b w:val="0"/>
                <w:sz w:val="19"/>
              </w:rPr>
              <w:t>20.38</w:t>
            </w:r>
          </w:p>
        </w:tc>
      </w:tr>
      <w:tr>
        <w:trPr>
          <w:cantSplit/>
        </w:trPr>
        <w:tc>
          <w:tcPr>
            <w:tcW w:type="dxa" w:w="1247"/>
            <w:vAlign w:val="center"/>
          </w:tcPr>
          <w:p>
            <w:pPr>
              <w:keepNext/>
              <w:spacing w:line="264" w:lineRule="auto" w:before="60" w:after="60"/>
              <w:ind w:firstLine="0"/>
              <w:jc w:val="center"/>
            </w:pPr>
            <w:r>
              <w:rPr>
                <w:b w:val="0"/>
                <w:sz w:val="19"/>
              </w:rPr>
              <w:t>12</w:t>
            </w:r>
          </w:p>
        </w:tc>
        <w:tc>
          <w:tcPr>
            <w:tcW w:type="dxa" w:w="1587"/>
            <w:vAlign w:val="center"/>
          </w:tcPr>
          <w:p>
            <w:pPr>
              <w:keepNext/>
              <w:spacing w:line="264" w:lineRule="auto" w:before="60" w:after="60"/>
              <w:ind w:firstLine="0"/>
              <w:jc w:val="center"/>
            </w:pPr>
            <w:r>
              <w:rPr>
                <w:b w:val="0"/>
                <w:sz w:val="19"/>
              </w:rPr>
              <w:t>98.8333%</w:t>
            </w:r>
          </w:p>
        </w:tc>
        <w:tc>
          <w:tcPr>
            <w:tcW w:type="dxa" w:w="1531"/>
            <w:vAlign w:val="center"/>
          </w:tcPr>
          <w:p>
            <w:pPr>
              <w:keepNext/>
              <w:spacing w:line="264" w:lineRule="auto" w:before="60" w:after="60"/>
              <w:ind w:firstLine="0"/>
              <w:jc w:val="center"/>
            </w:pPr>
            <w:r>
              <w:rPr>
                <w:b w:val="0"/>
                <w:sz w:val="19"/>
              </w:rPr>
              <w:t>86.00%</w:t>
            </w:r>
          </w:p>
        </w:tc>
        <w:tc>
          <w:tcPr>
            <w:tcW w:type="dxa" w:w="1417"/>
            <w:vAlign w:val="center"/>
          </w:tcPr>
          <w:p>
            <w:pPr>
              <w:keepNext/>
              <w:spacing w:line="264" w:lineRule="auto" w:before="60" w:after="60"/>
              <w:ind w:firstLine="0"/>
              <w:jc w:val="center"/>
            </w:pPr>
            <w:r>
              <w:rPr>
                <w:b w:val="0"/>
                <w:sz w:val="19"/>
              </w:rPr>
              <w:t>485.33</w:t>
            </w:r>
          </w:p>
        </w:tc>
        <w:tc>
          <w:tcPr>
            <w:tcW w:type="dxa" w:w="1757"/>
            <w:vAlign w:val="center"/>
          </w:tcPr>
          <w:p>
            <w:pPr>
              <w:keepNext/>
              <w:spacing w:line="264" w:lineRule="auto" w:before="60" w:after="60"/>
              <w:ind w:firstLine="0"/>
              <w:jc w:val="center"/>
            </w:pPr>
            <w:r>
              <w:rPr>
                <w:b w:val="0"/>
                <w:sz w:val="19"/>
              </w:rPr>
              <w:t>5750.28</w:t>
            </w:r>
          </w:p>
        </w:tc>
        <w:tc>
          <w:tcPr>
            <w:tcW w:type="dxa" w:w="1644"/>
            <w:vAlign w:val="center"/>
          </w:tcPr>
          <w:p>
            <w:pPr>
              <w:keepNext/>
              <w:spacing w:line="264" w:lineRule="auto" w:before="60" w:after="60"/>
              <w:ind w:firstLine="0"/>
              <w:jc w:val="center"/>
            </w:pPr>
            <w:r>
              <w:rPr>
                <w:b w:val="0"/>
                <w:sz w:val="19"/>
              </w:rPr>
              <w:t>20.49</w:t>
            </w:r>
          </w:p>
        </w:tc>
      </w:tr>
      <w:tr>
        <w:trPr>
          <w:cantSplit/>
        </w:trPr>
        <w:tc>
          <w:tcPr>
            <w:tcW w:type="dxa" w:w="1247"/>
            <w:vAlign w:val="center"/>
          </w:tcPr>
          <w:p>
            <w:pPr>
              <w:keepNext/>
              <w:spacing w:line="264" w:lineRule="auto" w:before="60" w:after="60"/>
              <w:ind w:firstLine="0"/>
              <w:jc w:val="center"/>
            </w:pPr>
            <w:r>
              <w:rPr>
                <w:b w:val="0"/>
                <w:sz w:val="19"/>
              </w:rPr>
              <w:t>13</w:t>
            </w:r>
          </w:p>
        </w:tc>
        <w:tc>
          <w:tcPr>
            <w:tcW w:type="dxa" w:w="1587"/>
            <w:vAlign w:val="center"/>
          </w:tcPr>
          <w:p>
            <w:pPr>
              <w:keepNext/>
              <w:spacing w:line="264" w:lineRule="auto" w:before="60" w:after="60"/>
              <w:ind w:firstLine="0"/>
              <w:jc w:val="center"/>
            </w:pPr>
            <w:r>
              <w:rPr>
                <w:b w:val="0"/>
                <w:sz w:val="19"/>
              </w:rPr>
              <w:t>99.0000%</w:t>
            </w:r>
          </w:p>
        </w:tc>
        <w:tc>
          <w:tcPr>
            <w:tcW w:type="dxa" w:w="1531"/>
            <w:vAlign w:val="center"/>
          </w:tcPr>
          <w:p>
            <w:pPr>
              <w:keepNext/>
              <w:spacing w:line="264" w:lineRule="auto" w:before="60" w:after="60"/>
              <w:ind w:firstLine="0"/>
              <w:jc w:val="center"/>
            </w:pPr>
            <w:r>
              <w:rPr>
                <w:b w:val="0"/>
                <w:sz w:val="19"/>
              </w:rPr>
              <w:t>87.00%</w:t>
            </w:r>
          </w:p>
        </w:tc>
        <w:tc>
          <w:tcPr>
            <w:tcW w:type="dxa" w:w="1417"/>
            <w:vAlign w:val="center"/>
          </w:tcPr>
          <w:p>
            <w:pPr>
              <w:keepNext/>
              <w:spacing w:line="264" w:lineRule="auto" w:before="60" w:after="60"/>
              <w:ind w:firstLine="0"/>
              <w:jc w:val="center"/>
            </w:pPr>
            <w:r>
              <w:rPr>
                <w:b w:val="0"/>
                <w:sz w:val="19"/>
              </w:rPr>
              <w:t>447.58</w:t>
            </w:r>
          </w:p>
        </w:tc>
        <w:tc>
          <w:tcPr>
            <w:tcW w:type="dxa" w:w="1757"/>
            <w:vAlign w:val="center"/>
          </w:tcPr>
          <w:p>
            <w:pPr>
              <w:keepNext/>
              <w:spacing w:line="264" w:lineRule="auto" w:before="60" w:after="60"/>
              <w:ind w:firstLine="0"/>
              <w:jc w:val="center"/>
            </w:pPr>
            <w:r>
              <w:rPr>
                <w:b w:val="0"/>
                <w:sz w:val="19"/>
              </w:rPr>
              <w:t>5757.58</w:t>
            </w:r>
          </w:p>
        </w:tc>
        <w:tc>
          <w:tcPr>
            <w:tcW w:type="dxa" w:w="1644"/>
            <w:vAlign w:val="center"/>
          </w:tcPr>
          <w:p>
            <w:pPr>
              <w:keepNext/>
              <w:spacing w:line="264" w:lineRule="auto" w:before="60" w:after="60"/>
              <w:ind w:firstLine="0"/>
              <w:jc w:val="center"/>
            </w:pPr>
            <w:r>
              <w:rPr>
                <w:b w:val="0"/>
                <w:sz w:val="19"/>
              </w:rPr>
              <w:t>20.64</w:t>
            </w:r>
          </w:p>
        </w:tc>
      </w:tr>
      <w:tr>
        <w:trPr>
          <w:cantSplit/>
        </w:trPr>
        <w:tc>
          <w:tcPr>
            <w:tcW w:type="dxa" w:w="1247"/>
            <w:vAlign w:val="center"/>
          </w:tcPr>
          <w:p>
            <w:pPr>
              <w:keepNext/>
              <w:spacing w:line="264" w:lineRule="auto" w:before="60" w:after="60"/>
              <w:ind w:firstLine="0"/>
              <w:jc w:val="center"/>
            </w:pPr>
            <w:r>
              <w:rPr>
                <w:b w:val="0"/>
                <w:sz w:val="19"/>
              </w:rPr>
              <w:t>14</w:t>
            </w:r>
          </w:p>
        </w:tc>
        <w:tc>
          <w:tcPr>
            <w:tcW w:type="dxa" w:w="1587"/>
            <w:vAlign w:val="center"/>
          </w:tcPr>
          <w:p>
            <w:pPr>
              <w:keepNext/>
              <w:spacing w:line="264" w:lineRule="auto" w:before="60" w:after="60"/>
              <w:ind w:firstLine="0"/>
              <w:jc w:val="center"/>
            </w:pPr>
            <w:r>
              <w:rPr>
                <w:b w:val="0"/>
                <w:sz w:val="19"/>
              </w:rPr>
              <w:t>98.7857%</w:t>
            </w:r>
          </w:p>
        </w:tc>
        <w:tc>
          <w:tcPr>
            <w:tcW w:type="dxa" w:w="1531"/>
            <w:vAlign w:val="center"/>
          </w:tcPr>
          <w:p>
            <w:pPr>
              <w:keepNext/>
              <w:spacing w:line="264" w:lineRule="auto" w:before="60" w:after="60"/>
              <w:ind w:firstLine="0"/>
              <w:jc w:val="center"/>
            </w:pPr>
            <w:r>
              <w:rPr>
                <w:b w:val="0"/>
                <w:sz w:val="19"/>
              </w:rPr>
              <w:t>83.00%</w:t>
            </w:r>
          </w:p>
        </w:tc>
        <w:tc>
          <w:tcPr>
            <w:tcW w:type="dxa" w:w="1417"/>
            <w:vAlign w:val="center"/>
          </w:tcPr>
          <w:p>
            <w:pPr>
              <w:keepNext/>
              <w:spacing w:line="264" w:lineRule="auto" w:before="60" w:after="60"/>
              <w:ind w:firstLine="0"/>
              <w:jc w:val="center"/>
            </w:pPr>
            <w:r>
              <w:rPr>
                <w:b w:val="0"/>
                <w:sz w:val="19"/>
              </w:rPr>
              <w:t>422.83</w:t>
            </w:r>
          </w:p>
        </w:tc>
        <w:tc>
          <w:tcPr>
            <w:tcW w:type="dxa" w:w="1757"/>
            <w:vAlign w:val="center"/>
          </w:tcPr>
          <w:p>
            <w:pPr>
              <w:keepNext/>
              <w:spacing w:line="264" w:lineRule="auto" w:before="60" w:after="60"/>
              <w:ind w:firstLine="0"/>
              <w:jc w:val="center"/>
            </w:pPr>
            <w:r>
              <w:rPr>
                <w:b w:val="0"/>
                <w:sz w:val="19"/>
              </w:rPr>
              <w:t>5844.61</w:t>
            </w:r>
          </w:p>
        </w:tc>
        <w:tc>
          <w:tcPr>
            <w:tcW w:type="dxa" w:w="1644"/>
            <w:vAlign w:val="center"/>
          </w:tcPr>
          <w:p>
            <w:pPr>
              <w:keepNext/>
              <w:spacing w:line="264" w:lineRule="auto" w:before="60" w:after="60"/>
              <w:ind w:firstLine="0"/>
              <w:jc w:val="center"/>
            </w:pPr>
            <w:r>
              <w:rPr>
                <w:b w:val="0"/>
                <w:sz w:val="19"/>
              </w:rPr>
              <w:t>21.14</w:t>
            </w:r>
          </w:p>
        </w:tc>
      </w:tr>
      <w:tr>
        <w:trPr>
          <w:cantSplit/>
        </w:trPr>
        <w:tc>
          <w:tcPr>
            <w:tcW w:type="dxa" w:w="1247"/>
            <w:vAlign w:val="center"/>
          </w:tcPr>
          <w:p>
            <w:pPr>
              <w:keepNext/>
              <w:spacing w:line="264" w:lineRule="auto" w:before="60" w:after="60"/>
              <w:ind w:firstLine="0"/>
              <w:jc w:val="center"/>
            </w:pPr>
            <w:r>
              <w:rPr>
                <w:b w:val="0"/>
                <w:sz w:val="19"/>
              </w:rPr>
              <w:t>15</w:t>
            </w:r>
          </w:p>
        </w:tc>
        <w:tc>
          <w:tcPr>
            <w:tcW w:type="dxa" w:w="1587"/>
            <w:vAlign w:val="center"/>
          </w:tcPr>
          <w:p>
            <w:pPr>
              <w:keepNext/>
              <w:spacing w:line="264" w:lineRule="auto" w:before="60" w:after="60"/>
              <w:ind w:firstLine="0"/>
              <w:jc w:val="center"/>
            </w:pPr>
            <w:r>
              <w:rPr>
                <w:b w:val="0"/>
                <w:sz w:val="19"/>
              </w:rPr>
              <w:t>99.0000%</w:t>
            </w:r>
          </w:p>
        </w:tc>
        <w:tc>
          <w:tcPr>
            <w:tcW w:type="dxa" w:w="1531"/>
            <w:vAlign w:val="center"/>
          </w:tcPr>
          <w:p>
            <w:pPr>
              <w:keepNext/>
              <w:spacing w:line="264" w:lineRule="auto" w:before="60" w:after="60"/>
              <w:ind w:firstLine="0"/>
              <w:jc w:val="center"/>
            </w:pPr>
            <w:r>
              <w:rPr>
                <w:b w:val="0"/>
                <w:sz w:val="19"/>
              </w:rPr>
              <w:t>85.00%</w:t>
            </w:r>
          </w:p>
        </w:tc>
        <w:tc>
          <w:tcPr>
            <w:tcW w:type="dxa" w:w="1417"/>
            <w:vAlign w:val="center"/>
          </w:tcPr>
          <w:p>
            <w:pPr>
              <w:keepNext/>
              <w:spacing w:line="264" w:lineRule="auto" w:before="60" w:after="60"/>
              <w:ind w:firstLine="0"/>
              <w:jc w:val="center"/>
            </w:pPr>
            <w:r>
              <w:rPr>
                <w:b w:val="0"/>
                <w:sz w:val="19"/>
              </w:rPr>
              <w:t>397.31</w:t>
            </w:r>
          </w:p>
        </w:tc>
        <w:tc>
          <w:tcPr>
            <w:tcW w:type="dxa" w:w="1757"/>
            <w:vAlign w:val="center"/>
          </w:tcPr>
          <w:p>
            <w:pPr>
              <w:keepNext/>
              <w:spacing w:line="264" w:lineRule="auto" w:before="60" w:after="60"/>
              <w:ind w:firstLine="0"/>
              <w:jc w:val="center"/>
            </w:pPr>
            <w:r>
              <w:rPr>
                <w:b w:val="0"/>
                <w:sz w:val="19"/>
              </w:rPr>
              <w:t>5894.97</w:t>
            </w:r>
          </w:p>
        </w:tc>
        <w:tc>
          <w:tcPr>
            <w:tcW w:type="dxa" w:w="1644"/>
            <w:vAlign w:val="center"/>
          </w:tcPr>
          <w:p>
            <w:pPr>
              <w:keepNext/>
              <w:spacing w:line="264" w:lineRule="auto" w:before="60" w:after="60"/>
              <w:ind w:firstLine="0"/>
              <w:jc w:val="center"/>
            </w:pPr>
            <w:r>
              <w:rPr>
                <w:b w:val="0"/>
                <w:sz w:val="19"/>
              </w:rPr>
              <w:t>21.45</w:t>
            </w:r>
          </w:p>
        </w:tc>
      </w:tr>
      <w:tr>
        <w:trPr>
          <w:cantSplit/>
        </w:trPr>
        <w:tc>
          <w:tcPr>
            <w:tcW w:type="dxa" w:w="1247"/>
            <w:vAlign w:val="center"/>
          </w:tcPr>
          <w:p>
            <w:pPr>
              <w:spacing w:line="264" w:lineRule="auto" w:before="60" w:after="60"/>
              <w:ind w:firstLine="0"/>
              <w:jc w:val="center"/>
            </w:pPr>
            <w:r>
              <w:rPr>
                <w:b w:val="0"/>
                <w:sz w:val="19"/>
              </w:rPr>
              <w:t>16</w:t>
            </w:r>
          </w:p>
        </w:tc>
        <w:tc>
          <w:tcPr>
            <w:tcW w:type="dxa" w:w="1587"/>
            <w:vAlign w:val="center"/>
          </w:tcPr>
          <w:p>
            <w:pPr>
              <w:spacing w:line="264" w:lineRule="auto" w:before="60" w:after="60"/>
              <w:ind w:firstLine="0"/>
              <w:jc w:val="center"/>
            </w:pPr>
            <w:r>
              <w:rPr>
                <w:b w:val="0"/>
                <w:sz w:val="19"/>
              </w:rPr>
              <w:t>98.8750%</w:t>
            </w:r>
          </w:p>
        </w:tc>
        <w:tc>
          <w:tcPr>
            <w:tcW w:type="dxa" w:w="1531"/>
            <w:vAlign w:val="center"/>
          </w:tcPr>
          <w:p>
            <w:pPr>
              <w:spacing w:line="264" w:lineRule="auto" w:before="60" w:after="60"/>
              <w:ind w:firstLine="0"/>
              <w:jc w:val="center"/>
            </w:pPr>
            <w:r>
              <w:rPr>
                <w:b w:val="0"/>
                <w:sz w:val="19"/>
              </w:rPr>
              <w:t>84.00%</w:t>
            </w:r>
          </w:p>
        </w:tc>
        <w:tc>
          <w:tcPr>
            <w:tcW w:type="dxa" w:w="1417"/>
            <w:vAlign w:val="center"/>
          </w:tcPr>
          <w:p>
            <w:pPr>
              <w:spacing w:line="264" w:lineRule="auto" w:before="60" w:after="60"/>
              <w:ind w:firstLine="0"/>
              <w:jc w:val="center"/>
            </w:pPr>
            <w:r>
              <w:rPr>
                <w:b w:val="0"/>
                <w:sz w:val="19"/>
              </w:rPr>
              <w:t>324.08</w:t>
            </w:r>
          </w:p>
        </w:tc>
        <w:tc>
          <w:tcPr>
            <w:tcW w:type="dxa" w:w="1757"/>
            <w:vAlign w:val="center"/>
          </w:tcPr>
          <w:p>
            <w:pPr>
              <w:spacing w:line="264" w:lineRule="auto" w:before="60" w:after="60"/>
              <w:ind w:firstLine="0"/>
              <w:jc w:val="center"/>
            </w:pPr>
            <w:r>
              <w:rPr>
                <w:b w:val="0"/>
                <w:sz w:val="19"/>
              </w:rPr>
              <w:t>5115.89</w:t>
            </w:r>
          </w:p>
        </w:tc>
        <w:tc>
          <w:tcPr>
            <w:tcW w:type="dxa" w:w="1644"/>
            <w:vAlign w:val="center"/>
          </w:tcPr>
          <w:p>
            <w:pPr>
              <w:spacing w:line="264" w:lineRule="auto" w:before="60" w:after="60"/>
              <w:ind w:firstLine="0"/>
              <w:jc w:val="center"/>
            </w:pPr>
            <w:r>
              <w:rPr>
                <w:b w:val="0"/>
                <w:sz w:val="19"/>
              </w:rPr>
              <w:t>18.27</w:t>
            </w:r>
          </w:p>
        </w:tc>
      </w:tr>
    </w:tbl>
    <w:p>
      <w:pPr>
        <w:spacing w:after="40" w:before="0" w:line="72" w:lineRule="auto"/>
      </w:pPr>
    </w:p>
    <w:p>
      <w:pPr>
        <w:jc w:val="both"/>
      </w:pPr>
      <w:r>
        <w:t>700局共包含9100个源，清除9014个；源级清除率为99.0549%，整局全清率为88.00%。逐局平均定位清除时间为458.47 s/已清源，按真实源加权的时间为441.32 s/真实源。</w:t>
      </w:r>
    </w:p>
    <w:p>
      <w:pPr>
        <w:jc w:val="both"/>
      </w:pPr>
      <w:r>
        <w:t>第三问与第四问的16源档都较快，因为达到最大源数后，额外扫描的必要性消失。10至15源时则需要继续积累空频道观测。第四问的定向覆盖使同样一次no_signal提供的排除信息更弱，后段搜索成本随之增加。源数对每源耗时的影响不仅来自路线，也来自终止任务所需的信息。</w:t>
      </w:r>
    </w:p>
    <w:p>
      <w:pPr>
        <w:ind w:firstLine="0"/>
        <w:jc w:val="both"/>
      </w:pPr>
      <w:r>
        <w:rPr>
          <w:color w:val="555555"/>
          <w:sz w:val="20"/>
        </w:rPr>
        <w:t>【图9待绘：两问源数分层的时间、清除率和动作分解。第四问明确注明source-98速度配置；真实源加权时间与已清源时间分别标记。】</w:t>
      </w:r>
    </w:p>
    <w:p>
      <w:pPr>
        <w:pStyle w:val="Heading2"/>
      </w:pPr>
      <w:r>
        <w:t>9.3 最后清除后的时间开销</w:t>
      </w:r>
    </w:p>
    <w:p>
      <w:pPr>
        <w:jc w:val="both"/>
      </w:pPr>
      <w:r>
        <w:t>在source-98官方run015中，最后一个真实源于3507.98 s被发现，于3844.58 s清除，任务在5258.58 s退出。最后清除之后仍耗时1414.00 s，占该局总时间的26.89%，并继续移动约5.83 km。该局总移动耗时占比为68.72%。</w:t>
      </w:r>
    </w:p>
    <w:p>
      <w:pPr>
        <w:jc w:val="both"/>
      </w:pPr>
      <w:r>
        <w:t>从事后日志看，这部分扫描未增加清除数；但在线时真实总源数不可见，不能直接删除该阶段后宣称同样可靠。后续优化应改进剩余源估计和补充扫描路线，并在同种子完整重跑中确认是否保持清除率，而不是仅从轨迹尾部截取一段作为可保证节省量。</w:t>
      </w:r>
    </w:p>
    <w:p>
      <w:pPr>
        <w:ind w:firstLine="0"/>
        <w:jc w:val="both"/>
      </w:pPr>
      <w:r>
        <w:rPr>
          <w:color w:val="555555"/>
          <w:sz w:val="20"/>
        </w:rPr>
        <w:t>【图10待绘：run015累计清除曲线和最后清除后的时间条，标明最后发现、最后清除、退出三个时刻以及26.89%的该局尾段占比。】</w:t>
      </w:r>
    </w:p>
    <w:p>
      <w:pPr>
        <w:pStyle w:val="Heading2"/>
      </w:pPr>
      <w:r>
        <w:t>9.4 神经信念模型的离线消融</w:t>
      </w:r>
    </w:p>
    <w:p>
      <w:pPr>
        <w:jc w:val="both"/>
      </w:pPr>
      <w:r>
        <w:t>为检验学习方法是否能进一步减少搜索，已有实验以合法动作—观测历史训练128维GRU，联合预测剩余源数、下一发现时间和剩余任务时间。数据包含15000条轨迹、4844891个token，按12000/1500/1500划分训练、验证与测试；模型检查点约431 KB。训练按验证集完成概率Brier分数选择检查点，当前历史记录中的最佳为第20轮。</w:t>
      </w:r>
    </w:p>
    <w:p>
      <w:pPr>
        <w:jc w:val="both"/>
      </w:pPr>
      <w:r>
        <w:t>独立测试的完成概率Brier为0.0591。对固定记录轨迹进行提前停止评估时，第四问阈值0.97的全清率为98.7%，时间下降2.65%；阈值0.99的全清率为99.9%，时间下降仅0.017%。因此，在接近全清的约束下，该网络没有提供足够的虚拟时间改善，本文主控制器继续使用几何与覆盖后验模型。</w:t>
      </w:r>
    </w:p>
    <w:p>
      <w:pPr>
        <w:jc w:val="both"/>
      </w:pPr>
      <w:r>
        <w:t>此实验属于固定轨迹的离线停止消融，不是网络重新选择动作后的闭环测试；神经模型推理加快也不自动减少题目动作虚拟时间。将其保留在消融部分，有助于解释为何最终方法以解析规划为主，而不把神经网络作为没有任务收益支撑的核心模块。</w:t>
      </w:r>
    </w:p>
    <w:p>
      <w:pPr>
        <w:pStyle w:val="Heading1"/>
      </w:pPr>
      <w:r>
        <w:t>10 模型评价与结论</w:t>
      </w:r>
    </w:p>
    <w:p>
      <w:pPr>
        <w:pStyle w:val="Heading2"/>
      </w:pPr>
      <w:r>
        <w:t>10.1 模型优点</w:t>
      </w:r>
    </w:p>
    <w:p>
      <w:pPr>
        <w:jc w:val="both"/>
      </w:pPr>
      <w:r>
        <w:t>模型首先在观测层保留有界误差，使定位区域、直径和覆盖判断具备清楚的几何含义。第二点选择将可靠接收置于精度之前，能输出多个候选位置。多源调度通过同点信息采集和跨源开放路线减少往返，并将移动、检测、换频、失败光学定位分别计时，保证效率指标与执行过程对应。</w:t>
      </w:r>
    </w:p>
    <w:p>
      <w:pPr>
        <w:jc w:val="both"/>
      </w:pPr>
      <w:r>
        <w:t>在第四问中，定向隐状态使no_signal的多重解释进入搜索模型；双风险条件又分别限制剩余源占比和至少漏一个源的概率，直接回应了官方演练中15/16清除的失败现象。模型的每个模块均能追溯到实际代码入口和测试日志，便于复现与调整参数。</w:t>
      </w:r>
    </w:p>
    <w:p>
      <w:pPr>
        <w:pStyle w:val="Heading2"/>
      </w:pPr>
      <w:r>
        <w:t>10.2 模型不足</w:t>
      </w:r>
    </w:p>
    <w:p>
      <w:pPr>
        <w:jc w:val="both"/>
      </w:pPr>
      <w:r>
        <w:t>首先，当前提前停止是基于有限粒子和指定先验的概率决策，不能在任意允许场景下保证全清。即使最保守已验证配置，混合源500局中仍出现一次漏检。题面要求全清，因此正式使用时必须明确处理这一残余风险；将概率阈值调高也不能代替连续覆盖与成功清除的完整论证。</w:t>
      </w:r>
    </w:p>
    <w:p>
      <w:pPr>
        <w:jc w:val="both"/>
      </w:pPr>
      <w:r>
        <w:t>其次，第二点搜索仅在离散候选与误差样本上优化，100 m网格及150个假设可能遗漏更优连续测点；内接圆近似也不能作为严格外包络。再次，自建模拟器的源数、位置与类型分布未必等同官方分布，仿真样本多并不能替代正式测试。不同官方演练的源数与布局不同，跨局耗时差异不能全部归因于策略更新。</w:t>
      </w:r>
    </w:p>
    <w:p>
      <w:pPr>
        <w:jc w:val="both"/>
      </w:pPr>
      <w:r>
        <w:t>最后，当前开放路径精确求解的是观测代理点和估计服务成本，目标在执行过程中持续变化，故整体任务仍是滚动启发式优化。未来可在既有框架内加强剩余源校准、连续覆盖验证和同场景闭环比较，而无需把未测量的改进写成已经实现。</w:t>
      </w:r>
    </w:p>
    <w:p>
      <w:pPr>
        <w:pStyle w:val="Heading2"/>
      </w:pPr>
      <w:r>
        <w:t>10.3 结论</w:t>
      </w:r>
    </w:p>
    <w:p>
      <w:pPr>
        <w:jc w:val="both"/>
      </w:pPr>
      <w:r>
        <w:t>本文将单源交会定位、多源搜索和定向源恢复组织为一个共享观测状态的求解框架。第一问通过区域直径与最小包围圆给出覆盖判断；第二问在接收约束下输出稳健候选点；第三问的联合策略在同种子实验中保持全清并降低17.94%的平均逐局相对时间；第四问进一步揭示了停止风险与额外扫描时间的关系。</w:t>
      </w:r>
    </w:p>
    <w:p>
      <w:pPr>
        <w:jc w:val="both"/>
      </w:pPr>
      <w:r>
        <w:t>已有结果支持联合观测和路径调度的效率收益，也表明仅以高源级清除率评价策略会掩盖整局漏源。因而，全清优先配置和速度配置应分别给出结论，正式测试结果必须按实际案例及日志报告。</w:t>
      </w:r>
    </w:p>
    <w:p>
      <w:pPr>
        <w:pStyle w:val="Heading1"/>
      </w:pPr>
      <w:r>
        <w:t>参考文献</w:t>
      </w:r>
    </w:p>
    <w:p>
      <w:pPr>
        <w:ind w:firstLine="0"/>
        <w:jc w:val="both"/>
      </w:pPr>
      <w:r>
        <w:rPr>
          <w:sz w:val="19"/>
        </w:rPr>
        <w:t>[1] 2026年高教社杯全国大学生数学建模竞赛. B题 无线电干扰源的快速自动定位与清除[Z]. 2026. 本地题目文件及附录1—4.</w:t>
      </w:r>
    </w:p>
    <w:p>
      <w:pPr>
        <w:ind w:firstLine="0"/>
        <w:jc w:val="both"/>
      </w:pPr>
      <w:r>
        <w:rPr>
          <w:sz w:val="19"/>
        </w:rPr>
        <w:t>[2] B题附件1. 模拟器使用说明[Z]. 2026.</w:t>
      </w:r>
    </w:p>
    <w:p>
      <w:pPr>
        <w:ind w:firstLine="0"/>
        <w:jc w:val="both"/>
      </w:pPr>
      <w:r>
        <w:rPr>
          <w:sz w:val="19"/>
        </w:rPr>
        <w:t>[3] B题附件2. 机器狗与模拟器通信协议[Z]. 2026.</w:t>
      </w:r>
    </w:p>
    <w:p>
      <w:pPr>
        <w:ind w:firstLine="0"/>
        <w:jc w:val="both"/>
      </w:pPr>
      <w:r>
        <w:rPr>
          <w:sz w:val="19"/>
        </w:rPr>
        <w:t>[4] Toussaint G T. Solving geometric problems with the rotating calipers[C]. Proceedings of IEEE MELECON, Athens, 1983: A10.02/1–4. 作者页面 https://www-cgrl.cs.mcgill.ca/~godfried/research/calipers.html .</w:t>
      </w:r>
    </w:p>
    <w:p>
      <w:pPr>
        <w:ind w:firstLine="0"/>
        <w:jc w:val="both"/>
      </w:pPr>
      <w:r>
        <w:rPr>
          <w:sz w:val="19"/>
        </w:rPr>
        <w:t>[5] Welzl E. Smallest enclosing disks (balls and ellipsoids)[C]. New Results and New Trends in Computer Science. Lecture Notes in Computer Science, vol 555. 1991: 359–370. https://doi.org/10.1007/BFb0038202 .</w:t>
      </w:r>
    </w:p>
    <w:p>
      <w:pPr>
        <w:pStyle w:val="Heading1"/>
      </w:pPr>
      <w:r>
        <w:t>附录A 算法与实现说明</w:t>
      </w:r>
    </w:p>
    <w:p>
      <w:pPr>
        <w:pStyle w:val="Heading2"/>
      </w:pPr>
      <w:r>
        <w:t>A.1 交会定位算法</w:t>
      </w:r>
    </w:p>
    <w:p>
      <w:pPr>
        <w:jc w:val="both"/>
      </w:pPr>
      <w:r>
        <w:t>输入检测点与示向度序列，初始化目标圆多边形；对于每个有效方向，先按当前任务需要加入接收圆盘约束，再依次裁剪左右两个示向半平面。若为空则报告观测不相容；否则保持顶点逆时针顺序，运行旋转卡壳和最小包围圆算法，返回顶点、直径、最远点对、圆心、半径和覆盖判定。</w:t>
      </w:r>
    </w:p>
    <w:p>
      <w:pPr>
        <w:pStyle w:val="Heading2"/>
      </w:pPr>
      <w:r>
        <w:t>A.2 第二检测点算法</w:t>
      </w:r>
    </w:p>
    <w:p>
      <w:pPr>
        <w:jc w:val="both"/>
      </w:pPr>
      <w:r>
        <w:t>由首次观测得到区域并生成源假设和候选点。逐候选枚举源位置及误差，先检查是否取得方向观测，再计算后验直径，按式(12)排序。输出最优点及零漏测候选中直径较小的一组点，同时输出所用网格步长、假设数和误差集合。</w:t>
      </w:r>
    </w:p>
    <w:p>
      <w:pPr>
        <w:pStyle w:val="Heading2"/>
      </w:pPr>
      <w:r>
        <w:t>A.3 联合搜索控制流程</w:t>
      </w:r>
    </w:p>
    <w:p>
      <w:pPr>
        <w:spacing w:after="40"/>
        <w:ind w:firstLine="0" w:left="170"/>
      </w:pPr>
      <w:r>
        <w:rPr>
          <w:sz w:val="20"/>
        </w:rPr>
        <w:t>进入模拟器，读取实际剩余现实时间；初始化20个频道状态。</w:t>
      </w:r>
    </w:p>
    <w:p>
      <w:pPr>
        <w:spacing w:after="40"/>
        <w:ind w:firstLine="0" w:left="170"/>
      </w:pPr>
      <w:r>
        <w:rPr>
          <w:sz w:val="20"/>
        </w:rPr>
        <w:t>循环：</w:t>
      </w:r>
    </w:p>
    <w:p>
      <w:pPr>
        <w:spacing w:after="40"/>
        <w:ind w:firstLine="0" w:left="170"/>
      </w:pPr>
      <w:r>
        <w:rPr>
          <w:sz w:val="20"/>
        </w:rPr>
        <w:t xml:space="preserve">    在当前候选点完成需要的频道扫描，记录方向、近距离与无信号反馈。</w:t>
      </w:r>
    </w:p>
    <w:p>
      <w:pPr>
        <w:spacing w:after="40"/>
        <w:ind w:firstLine="0" w:left="170"/>
      </w:pPr>
      <w:r>
        <w:rPr>
          <w:sz w:val="20"/>
        </w:rPr>
        <w:t xml:space="preserve">    对每个已发现源更新示向多边形与路线代表点。</w:t>
      </w:r>
    </w:p>
    <w:p>
      <w:pPr>
        <w:spacing w:after="40"/>
        <w:ind w:firstLine="0" w:left="170"/>
      </w:pPr>
      <w:r>
        <w:rPr>
          <w:sz w:val="20"/>
        </w:rPr>
        <w:t xml:space="preserve">    若有可清除源，构造服务成本矩阵，求开放路线并逐源追踪。</w:t>
      </w:r>
    </w:p>
    <w:p>
      <w:pPr>
        <w:spacing w:after="40"/>
        <w:ind w:firstLine="0" w:left="170"/>
      </w:pPr>
      <w:r>
        <w:rPr>
          <w:sz w:val="20"/>
        </w:rPr>
        <w:t xml:space="preserve">    收到成功清除反馈后更新状态，必要时复用清除位置扫描未知频道。</w:t>
      </w:r>
    </w:p>
    <w:p>
      <w:pPr>
        <w:spacing w:after="40"/>
        <w:ind w:firstLine="0" w:left="170"/>
      </w:pPr>
      <w:r>
        <w:rPr>
          <w:sz w:val="20"/>
        </w:rPr>
        <w:t xml:space="preserve">    若新发现频道，重新计算待服务路线。</w:t>
      </w:r>
    </w:p>
    <w:p>
      <w:pPr>
        <w:spacing w:after="40"/>
        <w:ind w:firstLine="0" w:left="170"/>
      </w:pPr>
      <w:r>
        <w:rPr>
          <w:sz w:val="20"/>
        </w:rPr>
        <w:t xml:space="preserve">    若没有待清除源，按配置检查全发现后验或双风险停止条件。</w:t>
      </w:r>
    </w:p>
    <w:p>
      <w:pPr>
        <w:spacing w:after="40"/>
        <w:ind w:firstLine="0" w:left="170"/>
      </w:pPr>
      <w:r>
        <w:rPr>
          <w:sz w:val="20"/>
        </w:rPr>
        <w:t xml:space="preserve">    若未满足停止条件，选择补充扫描点，并执行下一步。</w:t>
      </w:r>
    </w:p>
    <w:p>
      <w:pPr>
        <w:spacing w:after="40"/>
        <w:ind w:firstLine="0" w:left="170"/>
      </w:pPr>
      <w:r>
        <w:rPr>
          <w:sz w:val="20"/>
        </w:rPr>
        <w:t>结束时主动退出，保存合法动作和响应记录。</w:t>
      </w:r>
    </w:p>
    <w:p>
      <w:pPr>
        <w:jc w:val="both"/>
      </w:pPr>
      <w:r>
        <w:t>上面给出正常控制流程。实际程序还处理空可行域、失信号恢复、重复追踪无新增观测、现实截止时间和接口拒绝等情况；未成功清除的频道不能改为成功状态。</w:t>
      </w:r>
    </w:p>
    <w:p>
      <w:pPr>
        <w:pStyle w:val="Heading2"/>
      </w:pPr>
      <w:r>
        <w:t>A.4 参数与代码对应</w:t>
      </w:r>
    </w:p>
    <w:p>
      <w:pPr>
        <w:keepNext/>
        <w:ind w:firstLine="0"/>
        <w:jc w:val="center"/>
      </w:pPr>
      <w:r>
        <w:t>表13 代码入口与实现对应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005"/>
        <w:gridCol w:w="4479"/>
      </w:tblGrid>
      <w:tr>
        <w:trPr>
          <w:cantSplit/>
          <w:tblHeader/>
        </w:trPr>
        <w:tc>
          <w:tcPr>
            <w:tcW w:type="dxa" w:w="1701"/>
            <w:vAlign w:val="center"/>
            <w:shd w:fill="EFEFEF"/>
          </w:tcPr>
          <w:p>
            <w:pPr>
              <w:spacing w:line="264" w:lineRule="auto" w:before="60" w:after="60"/>
              <w:ind w:firstLine="0"/>
              <w:jc w:val="center"/>
            </w:pPr>
            <w:r>
              <w:rPr>
                <w:b/>
                <w:sz w:val="20"/>
              </w:rPr>
              <w:t>模块</w:t>
            </w:r>
          </w:p>
        </w:tc>
        <w:tc>
          <w:tcPr>
            <w:tcW w:type="dxa" w:w="3005"/>
            <w:vAlign w:val="center"/>
            <w:shd w:fill="EFEFEF"/>
          </w:tcPr>
          <w:p>
            <w:pPr>
              <w:spacing w:line="264" w:lineRule="auto" w:before="60" w:after="60"/>
              <w:ind w:firstLine="0"/>
              <w:jc w:val="left"/>
            </w:pPr>
            <w:r>
              <w:rPr>
                <w:b/>
                <w:sz w:val="20"/>
              </w:rPr>
              <w:t>当前入口</w:t>
            </w:r>
          </w:p>
        </w:tc>
        <w:tc>
          <w:tcPr>
            <w:tcW w:type="dxa" w:w="4479"/>
            <w:vAlign w:val="center"/>
            <w:shd w:fill="EFEFEF"/>
          </w:tcPr>
          <w:p>
            <w:pPr>
              <w:spacing w:line="264" w:lineRule="auto" w:before="60" w:after="60"/>
              <w:ind w:firstLine="0"/>
              <w:jc w:val="center"/>
            </w:pPr>
            <w:r>
              <w:rPr>
                <w:b/>
                <w:sz w:val="20"/>
              </w:rPr>
              <w:t>关键实现</w:t>
            </w:r>
          </w:p>
        </w:tc>
      </w:tr>
      <w:tr>
        <w:trPr>
          <w:cantSplit/>
        </w:trPr>
        <w:tc>
          <w:tcPr>
            <w:tcW w:type="dxa" w:w="1701"/>
            <w:vAlign w:val="center"/>
          </w:tcPr>
          <w:p>
            <w:pPr>
              <w:spacing w:line="264" w:lineRule="auto" w:before="60" w:after="60"/>
              <w:ind w:firstLine="0"/>
              <w:jc w:val="center"/>
            </w:pPr>
            <w:r>
              <w:rPr>
                <w:b w:val="0"/>
                <w:sz w:val="20"/>
              </w:rPr>
              <w:t>方位区域和直径</w:t>
            </w:r>
          </w:p>
        </w:tc>
        <w:tc>
          <w:tcPr>
            <w:tcW w:type="dxa" w:w="3005"/>
            <w:vAlign w:val="center"/>
          </w:tcPr>
          <w:p>
            <w:pPr>
              <w:spacing w:line="264" w:lineRule="auto" w:before="60" w:after="60"/>
              <w:ind w:firstLine="0"/>
              <w:jc w:val="left"/>
            </w:pPr>
            <w:r>
              <w:rPr>
                <w:b w:val="0"/>
                <w:sz w:val="20"/>
              </w:rPr>
              <w:t>geometry.py</w:t>
            </w:r>
          </w:p>
        </w:tc>
        <w:tc>
          <w:tcPr>
            <w:tcW w:type="dxa" w:w="4479"/>
            <w:vAlign w:val="center"/>
          </w:tcPr>
          <w:p>
            <w:pPr>
              <w:spacing w:line="264" w:lineRule="auto" w:before="60" w:after="60"/>
              <w:ind w:firstLine="0"/>
              <w:jc w:val="center"/>
            </w:pPr>
            <w:r>
              <w:rPr>
                <w:b w:val="0"/>
                <w:sz w:val="20"/>
              </w:rPr>
              <w:t>半平面裁剪、convex_diameter、minimum_enclosing_circle</w:t>
            </w:r>
          </w:p>
        </w:tc>
      </w:tr>
      <w:tr>
        <w:trPr>
          <w:cantSplit/>
        </w:trPr>
        <w:tc>
          <w:tcPr>
            <w:tcW w:type="dxa" w:w="1701"/>
            <w:vAlign w:val="center"/>
          </w:tcPr>
          <w:p>
            <w:pPr>
              <w:spacing w:line="264" w:lineRule="auto" w:before="60" w:after="60"/>
              <w:ind w:firstLine="0"/>
              <w:jc w:val="center"/>
            </w:pPr>
            <w:r>
              <w:rPr>
                <w:b w:val="0"/>
                <w:sz w:val="20"/>
              </w:rPr>
              <w:t>Q1接收圆盘算例</w:t>
            </w:r>
          </w:p>
        </w:tc>
        <w:tc>
          <w:tcPr>
            <w:tcW w:type="dxa" w:w="3005"/>
            <w:vAlign w:val="center"/>
          </w:tcPr>
          <w:p>
            <w:pPr>
              <w:spacing w:line="264" w:lineRule="auto" w:before="60" w:after="60"/>
              <w:ind w:firstLine="0"/>
              <w:jc w:val="left"/>
            </w:pPr>
            <w:r>
              <w:rPr>
                <w:b w:val="0"/>
                <w:sz w:val="20"/>
              </w:rPr>
              <w:t>build_q12_assets.py</w:t>
            </w:r>
          </w:p>
        </w:tc>
        <w:tc>
          <w:tcPr>
            <w:tcW w:type="dxa" w:w="4479"/>
            <w:vAlign w:val="center"/>
          </w:tcPr>
          <w:p>
            <w:pPr>
              <w:spacing w:line="264" w:lineRule="auto" w:before="60" w:after="60"/>
              <w:ind w:firstLine="0"/>
              <w:jc w:val="center"/>
            </w:pPr>
            <w:r>
              <w:rPr>
                <w:b w:val="0"/>
                <w:sz w:val="20"/>
              </w:rPr>
              <w:t>feasible_region额外加入1500 m圆盘</w:t>
            </w:r>
          </w:p>
        </w:tc>
      </w:tr>
      <w:tr>
        <w:trPr>
          <w:cantSplit/>
        </w:trPr>
        <w:tc>
          <w:tcPr>
            <w:tcW w:type="dxa" w:w="1701"/>
            <w:vAlign w:val="center"/>
          </w:tcPr>
          <w:p>
            <w:pPr>
              <w:spacing w:line="264" w:lineRule="auto" w:before="60" w:after="60"/>
              <w:ind w:firstLine="0"/>
              <w:jc w:val="center"/>
            </w:pPr>
            <w:r>
              <w:rPr>
                <w:b w:val="0"/>
                <w:sz w:val="20"/>
              </w:rPr>
              <w:t>第二点排序</w:t>
            </w:r>
          </w:p>
        </w:tc>
        <w:tc>
          <w:tcPr>
            <w:tcW w:type="dxa" w:w="3005"/>
            <w:vAlign w:val="center"/>
          </w:tcPr>
          <w:p>
            <w:pPr>
              <w:spacing w:line="264" w:lineRule="auto" w:before="60" w:after="60"/>
              <w:ind w:firstLine="0"/>
              <w:jc w:val="left"/>
            </w:pPr>
            <w:r>
              <w:rPr>
                <w:b w:val="0"/>
                <w:sz w:val="20"/>
              </w:rPr>
              <w:t>planning.py</w:t>
            </w:r>
          </w:p>
        </w:tc>
        <w:tc>
          <w:tcPr>
            <w:tcW w:type="dxa" w:w="4479"/>
            <w:vAlign w:val="center"/>
          </w:tcPr>
          <w:p>
            <w:pPr>
              <w:spacing w:line="264" w:lineRule="auto" w:before="60" w:after="60"/>
              <w:ind w:firstLine="0"/>
              <w:jc w:val="center"/>
            </w:pPr>
            <w:r>
              <w:rPr>
                <w:b w:val="0"/>
                <w:sz w:val="20"/>
              </w:rPr>
              <w:t>evaluate_second_point与字典序robust_key</w:t>
            </w:r>
          </w:p>
        </w:tc>
      </w:tr>
      <w:tr>
        <w:trPr>
          <w:cantSplit/>
        </w:trPr>
        <w:tc>
          <w:tcPr>
            <w:tcW w:type="dxa" w:w="1701"/>
            <w:vAlign w:val="center"/>
          </w:tcPr>
          <w:p>
            <w:pPr>
              <w:spacing w:line="264" w:lineRule="auto" w:before="60" w:after="60"/>
              <w:ind w:firstLine="0"/>
              <w:jc w:val="center"/>
            </w:pPr>
            <w:r>
              <w:rPr>
                <w:b w:val="0"/>
                <w:sz w:val="20"/>
              </w:rPr>
              <w:t>多源控制</w:t>
            </w:r>
          </w:p>
        </w:tc>
        <w:tc>
          <w:tcPr>
            <w:tcW w:type="dxa" w:w="3005"/>
            <w:vAlign w:val="center"/>
          </w:tcPr>
          <w:p>
            <w:pPr>
              <w:spacing w:line="264" w:lineRule="auto" w:before="60" w:after="60"/>
              <w:ind w:firstLine="0"/>
              <w:jc w:val="left"/>
            </w:pPr>
            <w:r>
              <w:rPr>
                <w:b w:val="0"/>
                <w:sz w:val="20"/>
              </w:rPr>
              <w:t>q4_search.py</w:t>
            </w:r>
          </w:p>
        </w:tc>
        <w:tc>
          <w:tcPr>
            <w:tcW w:type="dxa" w:w="4479"/>
            <w:vAlign w:val="center"/>
          </w:tcPr>
          <w:p>
            <w:pPr>
              <w:spacing w:line="264" w:lineRule="auto" w:before="60" w:after="60"/>
              <w:ind w:firstLine="0"/>
              <w:jc w:val="center"/>
            </w:pPr>
            <w:r>
              <w:rPr>
                <w:b w:val="0"/>
                <w:sz w:val="20"/>
              </w:rPr>
              <w:t>SparseDirectionalSearch及q4_profile_options</w:t>
            </w:r>
          </w:p>
        </w:tc>
      </w:tr>
      <w:tr>
        <w:trPr>
          <w:cantSplit/>
        </w:trPr>
        <w:tc>
          <w:tcPr>
            <w:tcW w:type="dxa" w:w="1701"/>
            <w:vAlign w:val="center"/>
          </w:tcPr>
          <w:p>
            <w:pPr>
              <w:spacing w:line="264" w:lineRule="auto" w:before="60" w:after="60"/>
              <w:ind w:firstLine="0"/>
              <w:jc w:val="center"/>
            </w:pPr>
            <w:r>
              <w:rPr>
                <w:b w:val="0"/>
                <w:sz w:val="20"/>
              </w:rPr>
              <w:t>开放路径</w:t>
            </w:r>
          </w:p>
        </w:tc>
        <w:tc>
          <w:tcPr>
            <w:tcW w:type="dxa" w:w="3005"/>
            <w:vAlign w:val="center"/>
          </w:tcPr>
          <w:p>
            <w:pPr>
              <w:spacing w:line="264" w:lineRule="auto" w:before="60" w:after="60"/>
              <w:ind w:firstLine="0"/>
              <w:jc w:val="left"/>
            </w:pPr>
            <w:r>
              <w:rPr>
                <w:b w:val="0"/>
                <w:sz w:val="20"/>
              </w:rPr>
              <w:t>route_oracle.py</w:t>
            </w:r>
          </w:p>
        </w:tc>
        <w:tc>
          <w:tcPr>
            <w:tcW w:type="dxa" w:w="4479"/>
            <w:vAlign w:val="center"/>
          </w:tcPr>
          <w:p>
            <w:pPr>
              <w:spacing w:line="264" w:lineRule="auto" w:before="60" w:after="60"/>
              <w:ind w:firstLine="0"/>
              <w:jc w:val="center"/>
            </w:pPr>
            <w:r>
              <w:rPr>
                <w:b w:val="0"/>
                <w:sz w:val="20"/>
              </w:rPr>
              <w:t>exact_open_route_costs、fast_open_route</w:t>
            </w:r>
          </w:p>
        </w:tc>
      </w:tr>
      <w:tr>
        <w:trPr>
          <w:cantSplit/>
        </w:trPr>
        <w:tc>
          <w:tcPr>
            <w:tcW w:type="dxa" w:w="1701"/>
            <w:vAlign w:val="center"/>
          </w:tcPr>
          <w:p>
            <w:pPr>
              <w:spacing w:line="264" w:lineRule="auto" w:before="60" w:after="60"/>
              <w:ind w:firstLine="0"/>
              <w:jc w:val="center"/>
            </w:pPr>
            <w:r>
              <w:rPr>
                <w:b w:val="0"/>
                <w:sz w:val="20"/>
              </w:rPr>
              <w:t>代理环境</w:t>
            </w:r>
          </w:p>
        </w:tc>
        <w:tc>
          <w:tcPr>
            <w:tcW w:type="dxa" w:w="3005"/>
            <w:vAlign w:val="center"/>
          </w:tcPr>
          <w:p>
            <w:pPr>
              <w:spacing w:line="264" w:lineRule="auto" w:before="60" w:after="60"/>
              <w:ind w:firstLine="0"/>
              <w:jc w:val="left"/>
            </w:pPr>
            <w:r>
              <w:rPr>
                <w:b w:val="0"/>
                <w:sz w:val="20"/>
              </w:rPr>
              <w:t>simulator.py</w:t>
            </w:r>
          </w:p>
        </w:tc>
        <w:tc>
          <w:tcPr>
            <w:tcW w:type="dxa" w:w="4479"/>
            <w:vAlign w:val="center"/>
          </w:tcPr>
          <w:p>
            <w:pPr>
              <w:spacing w:line="264" w:lineRule="auto" w:before="60" w:after="60"/>
              <w:ind w:firstLine="0"/>
              <w:jc w:val="center"/>
            </w:pPr>
            <w:r>
              <w:rPr>
                <w:b w:val="0"/>
                <w:sz w:val="20"/>
              </w:rPr>
              <w:t>位置固定误差、可见性与动作计时</w:t>
            </w:r>
          </w:p>
        </w:tc>
      </w:tr>
      <w:tr>
        <w:trPr>
          <w:cantSplit/>
        </w:trPr>
        <w:tc>
          <w:tcPr>
            <w:tcW w:type="dxa" w:w="1701"/>
            <w:vAlign w:val="center"/>
          </w:tcPr>
          <w:p>
            <w:pPr>
              <w:spacing w:line="264" w:lineRule="auto" w:before="60" w:after="60"/>
              <w:ind w:firstLine="0"/>
              <w:jc w:val="center"/>
            </w:pPr>
            <w:r>
              <w:rPr>
                <w:b w:val="0"/>
                <w:sz w:val="20"/>
              </w:rPr>
              <w:t>官方客户端</w:t>
            </w:r>
          </w:p>
        </w:tc>
        <w:tc>
          <w:tcPr>
            <w:tcW w:type="dxa" w:w="3005"/>
            <w:vAlign w:val="center"/>
          </w:tcPr>
          <w:p>
            <w:pPr>
              <w:spacing w:line="264" w:lineRule="auto" w:before="60" w:after="60"/>
              <w:ind w:firstLine="0"/>
              <w:jc w:val="left"/>
            </w:pPr>
            <w:r>
              <w:rPr>
                <w:b w:val="0"/>
                <w:sz w:val="20"/>
              </w:rPr>
              <w:t>client.py及official.py</w:t>
            </w:r>
          </w:p>
        </w:tc>
        <w:tc>
          <w:tcPr>
            <w:tcW w:type="dxa" w:w="4479"/>
            <w:vAlign w:val="center"/>
          </w:tcPr>
          <w:p>
            <w:pPr>
              <w:spacing w:line="264" w:lineRule="auto" w:before="60" w:after="60"/>
              <w:ind w:firstLine="0"/>
              <w:jc w:val="center"/>
            </w:pPr>
            <w:r>
              <w:rPr>
                <w:b w:val="0"/>
                <w:sz w:val="20"/>
              </w:rPr>
              <w:t>合法请求、重试、状态和时间记录</w:t>
            </w:r>
          </w:p>
        </w:tc>
      </w:tr>
      <w:tr>
        <w:trPr>
          <w:cantSplit/>
        </w:trPr>
        <w:tc>
          <w:tcPr>
            <w:tcW w:type="dxa" w:w="1701"/>
            <w:vAlign w:val="center"/>
          </w:tcPr>
          <w:p>
            <w:pPr>
              <w:spacing w:line="264" w:lineRule="auto" w:before="60" w:after="60"/>
              <w:ind w:firstLine="0"/>
              <w:jc w:val="center"/>
            </w:pPr>
            <w:r>
              <w:rPr>
                <w:b w:val="0"/>
                <w:sz w:val="20"/>
              </w:rPr>
              <w:t>官方运行入口</w:t>
            </w:r>
          </w:p>
        </w:tc>
        <w:tc>
          <w:tcPr>
            <w:tcW w:type="dxa" w:w="3005"/>
            <w:vAlign w:val="center"/>
          </w:tcPr>
          <w:p>
            <w:pPr>
              <w:spacing w:line="264" w:lineRule="auto" w:before="60" w:after="60"/>
              <w:ind w:firstLine="0"/>
              <w:jc w:val="left"/>
            </w:pPr>
            <w:r>
              <w:rPr>
                <w:b w:val="0"/>
                <w:sz w:val="20"/>
              </w:rPr>
              <w:t>run_official_q3.py及run_official_q4.py</w:t>
            </w:r>
          </w:p>
        </w:tc>
        <w:tc>
          <w:tcPr>
            <w:tcW w:type="dxa" w:w="4479"/>
            <w:vAlign w:val="center"/>
          </w:tcPr>
          <w:p>
            <w:pPr>
              <w:spacing w:line="264" w:lineRule="auto" w:before="60" w:after="60"/>
              <w:ind w:firstLine="0"/>
              <w:jc w:val="center"/>
            </w:pPr>
            <w:r>
              <w:rPr>
                <w:b w:val="0"/>
                <w:sz w:val="20"/>
              </w:rPr>
              <w:t>Q3 joint；Q4显式选择配置</w:t>
            </w:r>
          </w:p>
        </w:tc>
      </w:tr>
      <w:tr>
        <w:trPr>
          <w:cantSplit/>
        </w:trPr>
        <w:tc>
          <w:tcPr>
            <w:tcW w:type="dxa" w:w="1701"/>
            <w:vAlign w:val="center"/>
          </w:tcPr>
          <w:p>
            <w:pPr>
              <w:spacing w:line="264" w:lineRule="auto" w:before="60" w:after="60"/>
              <w:ind w:firstLine="0"/>
              <w:jc w:val="center"/>
            </w:pPr>
            <w:r>
              <w:rPr>
                <w:b w:val="0"/>
                <w:sz w:val="20"/>
              </w:rPr>
              <w:t>独立评估</w:t>
            </w:r>
          </w:p>
        </w:tc>
        <w:tc>
          <w:tcPr>
            <w:tcW w:type="dxa" w:w="3005"/>
            <w:vAlign w:val="center"/>
          </w:tcPr>
          <w:p>
            <w:pPr>
              <w:spacing w:line="264" w:lineRule="auto" w:before="60" w:after="60"/>
              <w:ind w:firstLine="0"/>
              <w:jc w:val="left"/>
            </w:pPr>
            <w:r>
              <w:rPr>
                <w:b w:val="0"/>
                <w:sz w:val="20"/>
              </w:rPr>
              <w:t>compare_q3_strategies.py及evaluate_q4_search.py</w:t>
            </w:r>
          </w:p>
        </w:tc>
        <w:tc>
          <w:tcPr>
            <w:tcW w:type="dxa" w:w="4479"/>
            <w:vAlign w:val="center"/>
          </w:tcPr>
          <w:p>
            <w:pPr>
              <w:spacing w:line="264" w:lineRule="auto" w:before="60" w:after="60"/>
              <w:ind w:firstLine="0"/>
              <w:jc w:val="center"/>
            </w:pPr>
            <w:r>
              <w:rPr>
                <w:b w:val="0"/>
                <w:sz w:val="20"/>
              </w:rPr>
              <w:t>固定种子及逐局结果输出</w:t>
            </w:r>
          </w:p>
        </w:tc>
      </w:tr>
    </w:tbl>
    <w:p>
      <w:pPr>
        <w:spacing w:after="40" w:before="0" w:line="72" w:lineRule="auto"/>
      </w:pPr>
    </w:p>
    <w:p>
      <w:pPr>
        <w:jc w:val="both"/>
      </w:pPr>
      <w:r>
        <w:t>HTTP执行依照附件2串行进行。每个新动作使用新的request_id，同一动作网络重试复用相同ID和内容；accepted=false时不把响应中的零虚拟时间当作当前时刻。只在direction状态读取示向度，clear不会改变测向机频道，remaining_real_duration_s决定实际现实时间预算。已有官方运行脚本面向演练并检查会话类型，本文所列演练记录不意味着已经执行正式测试。</w:t>
      </w:r>
    </w:p>
    <w:p>
      <w:pPr>
        <w:jc w:val="both"/>
      </w:pPr>
      <w:r>
        <w:t>代理环境按面积均匀采样位置，即半径取</w:t>
      </w:r>
      <m:oMath>
        <m:r>
          <m:t>1800</m:t>
          <w:rPr>
            <w:rFonts w:ascii="Cambria Math" w:hAnsi="Cambria Math" w:eastAsia="Cambria Math"/>
          </w:rPr>
        </m:r>
        <m:rad>
          <m:radPr>
            <m:degHide m:val="on"/>
          </m:radPr>
          <m:deg/>
          <m:e>
            <m:r>
              <m:t>U</m:t>
              <w:rPr>
                <w:rFonts w:ascii="Cambria Math" w:hAnsi="Cambria Math" w:eastAsia="Cambria Math"/>
              </w:rPr>
            </m:r>
          </m:e>
        </m:rad>
      </m:oMath>
      <w:r>
        <w:t>、方位取</w:t>
      </w:r>
      <m:oMath>
        <m:r>
          <m:t>2πV</m:t>
          <w:rPr>
            <w:rFonts w:ascii="Cambria Math" w:hAnsi="Cambria Math" w:eastAsia="Cambria Math"/>
          </w:rPr>
        </m:r>
      </m:oMath>
      <w:r>
        <w:t>，其中U与V为独立均匀随机数。每个源还生成四个正弦模式组成固定空间误差场，并用振幅绝对值之和归一化，使每个位置的误差保持在±1°内；同一位置重复调用获得同一误差，符合题面“原地重复不能消除误差”的条件。第三问100局配对实验使用150000000至150000099的同一组种子，分别运行基线和joint。</w:t>
      </w:r>
    </w:p>
    <w:p>
      <w:pPr>
        <w:pStyle w:val="Heading2"/>
      </w:pPr>
      <w:r>
        <w:t>A.5 结果数据索引</w:t>
      </w:r>
    </w:p>
    <w:p>
      <w:pPr>
        <w:keepNext/>
        <w:ind w:firstLine="0"/>
        <w:jc w:val="center"/>
      </w:pPr>
      <w:r>
        <w:t>表14 结果与数据文件对应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6803"/>
      </w:tblGrid>
      <w:tr>
        <w:trPr>
          <w:cantSplit/>
          <w:tblHeader/>
        </w:trPr>
        <w:tc>
          <w:tcPr>
            <w:tcW w:type="dxa" w:w="2381"/>
            <w:vAlign w:val="center"/>
            <w:shd w:fill="EFEFEF"/>
          </w:tcPr>
          <w:p>
            <w:pPr>
              <w:spacing w:line="264" w:lineRule="auto" w:before="60" w:after="60"/>
              <w:ind w:firstLine="0"/>
              <w:jc w:val="left"/>
            </w:pPr>
            <w:r>
              <w:rPr>
                <w:b/>
                <w:sz w:val="20"/>
              </w:rPr>
              <w:t>结果</w:t>
            </w:r>
          </w:p>
        </w:tc>
        <w:tc>
          <w:tcPr>
            <w:tcW w:type="dxa" w:w="6803"/>
            <w:vAlign w:val="center"/>
            <w:shd w:fill="EFEFEF"/>
          </w:tcPr>
          <w:p>
            <w:pPr>
              <w:spacing w:line="264" w:lineRule="auto" w:before="60" w:after="60"/>
              <w:ind w:firstLine="0"/>
              <w:jc w:val="left"/>
            </w:pPr>
            <w:r>
              <w:rPr>
                <w:b/>
                <w:sz w:val="20"/>
              </w:rPr>
              <w:t>支撑材料相对路径</w:t>
            </w:r>
          </w:p>
        </w:tc>
      </w:tr>
      <w:tr>
        <w:trPr>
          <w:cantSplit/>
        </w:trPr>
        <w:tc>
          <w:tcPr>
            <w:tcW w:type="dxa" w:w="2381"/>
            <w:vAlign w:val="center"/>
          </w:tcPr>
          <w:p>
            <w:pPr>
              <w:spacing w:line="264" w:lineRule="auto" w:before="60" w:after="60"/>
              <w:ind w:firstLine="0"/>
              <w:jc w:val="left"/>
            </w:pPr>
            <w:r>
              <w:rPr>
                <w:b w:val="0"/>
                <w:sz w:val="20"/>
              </w:rPr>
              <w:t>Q1与Q2构造例</w:t>
            </w:r>
          </w:p>
        </w:tc>
        <w:tc>
          <w:tcPr>
            <w:tcW w:type="dxa" w:w="6803"/>
            <w:vAlign w:val="center"/>
          </w:tcPr>
          <w:p>
            <w:pPr>
              <w:spacing w:line="264" w:lineRule="auto" w:before="60" w:after="60"/>
              <w:ind w:firstLine="0"/>
              <w:jc w:val="left"/>
            </w:pPr>
            <w:r>
              <w:rPr>
                <w:b w:val="0"/>
                <w:sz w:val="20"/>
              </w:rPr>
              <w:t>artifacts/q12_paper/metrics.json</w:t>
            </w:r>
          </w:p>
        </w:tc>
      </w:tr>
      <w:tr>
        <w:trPr>
          <w:cantSplit/>
        </w:trPr>
        <w:tc>
          <w:tcPr>
            <w:tcW w:type="dxa" w:w="2381"/>
            <w:vAlign w:val="center"/>
          </w:tcPr>
          <w:p>
            <w:pPr>
              <w:spacing w:line="264" w:lineRule="auto" w:before="60" w:after="60"/>
              <w:ind w:firstLine="0"/>
              <w:jc w:val="left"/>
            </w:pPr>
            <w:r>
              <w:rPr>
                <w:b w:val="0"/>
                <w:sz w:val="20"/>
              </w:rPr>
              <w:t>Q3同种子比较</w:t>
            </w:r>
          </w:p>
        </w:tc>
        <w:tc>
          <w:tcPr>
            <w:tcW w:type="dxa" w:w="6803"/>
            <w:vAlign w:val="center"/>
          </w:tcPr>
          <w:p>
            <w:pPr>
              <w:spacing w:line="264" w:lineRule="auto" w:before="60" w:after="60"/>
              <w:ind w:firstLine="0"/>
              <w:jc w:val="left"/>
            </w:pPr>
            <w:r>
              <w:rPr>
                <w:b w:val="0"/>
                <w:sz w:val="20"/>
              </w:rPr>
              <w:t>artifacts/benchmarks/q3_baseline_vs_joint_100.json</w:t>
            </w:r>
          </w:p>
        </w:tc>
      </w:tr>
      <w:tr>
        <w:trPr>
          <w:cantSplit/>
        </w:trPr>
        <w:tc>
          <w:tcPr>
            <w:tcW w:type="dxa" w:w="2381"/>
            <w:vAlign w:val="center"/>
          </w:tcPr>
          <w:p>
            <w:pPr>
              <w:spacing w:line="264" w:lineRule="auto" w:before="60" w:after="60"/>
              <w:ind w:firstLine="0"/>
              <w:jc w:val="left"/>
            </w:pPr>
            <w:r>
              <w:rPr>
                <w:b w:val="0"/>
                <w:sz w:val="20"/>
              </w:rPr>
              <w:t>Q3源数分层</w:t>
            </w:r>
          </w:p>
        </w:tc>
        <w:tc>
          <w:tcPr>
            <w:tcW w:type="dxa" w:w="6803"/>
            <w:vAlign w:val="center"/>
          </w:tcPr>
          <w:p>
            <w:pPr>
              <w:spacing w:line="264" w:lineRule="auto" w:before="60" w:after="60"/>
              <w:ind w:firstLine="0"/>
              <w:jc w:val="left"/>
            </w:pPr>
            <w:r>
              <w:rPr>
                <w:b w:val="0"/>
                <w:sz w:val="20"/>
              </w:rPr>
              <w:t>artifacts/benchmarks/q3_joint_count{10…16}_100.json</w:t>
            </w:r>
          </w:p>
        </w:tc>
      </w:tr>
      <w:tr>
        <w:trPr>
          <w:cantSplit/>
        </w:trPr>
        <w:tc>
          <w:tcPr>
            <w:tcW w:type="dxa" w:w="2381"/>
            <w:vAlign w:val="center"/>
          </w:tcPr>
          <w:p>
            <w:pPr>
              <w:spacing w:line="264" w:lineRule="auto" w:before="60" w:after="60"/>
              <w:ind w:firstLine="0"/>
              <w:jc w:val="left"/>
            </w:pPr>
            <w:r>
              <w:rPr>
                <w:b w:val="0"/>
                <w:sz w:val="20"/>
              </w:rPr>
              <w:t>Q4旧配对实验</w:t>
            </w:r>
          </w:p>
        </w:tc>
        <w:tc>
          <w:tcPr>
            <w:tcW w:type="dxa" w:w="6803"/>
            <w:vAlign w:val="center"/>
          </w:tcPr>
          <w:p>
            <w:pPr>
              <w:spacing w:line="264" w:lineRule="auto" w:before="60" w:after="60"/>
              <w:ind w:firstLine="0"/>
              <w:jc w:val="left"/>
            </w:pPr>
            <w:r>
              <w:rPr>
                <w:b w:val="0"/>
                <w:sz w:val="20"/>
              </w:rPr>
              <w:t>artifacts/benchmarks/q4_final_{base,geometry,balanced}_{fixed16,mixed}_500.json</w:t>
            </w:r>
          </w:p>
        </w:tc>
      </w:tr>
      <w:tr>
        <w:trPr>
          <w:cantSplit/>
        </w:trPr>
        <w:tc>
          <w:tcPr>
            <w:tcW w:type="dxa" w:w="2381"/>
            <w:vAlign w:val="center"/>
          </w:tcPr>
          <w:p>
            <w:pPr>
              <w:spacing w:line="264" w:lineRule="auto" w:before="60" w:after="60"/>
              <w:ind w:firstLine="0"/>
              <w:jc w:val="left"/>
            </w:pPr>
            <w:r>
              <w:rPr>
                <w:b w:val="0"/>
                <w:sz w:val="20"/>
              </w:rPr>
              <w:t>Q4双风险v2</w:t>
            </w:r>
          </w:p>
        </w:tc>
        <w:tc>
          <w:tcPr>
            <w:tcW w:type="dxa" w:w="6803"/>
            <w:vAlign w:val="center"/>
          </w:tcPr>
          <w:p>
            <w:pPr>
              <w:spacing w:line="264" w:lineRule="auto" w:before="60" w:after="60"/>
              <w:ind w:firstLine="0"/>
              <w:jc w:val="left"/>
            </w:pPr>
            <w:r>
              <w:rPr>
                <w:b w:val="0"/>
                <w:sz w:val="20"/>
              </w:rPr>
              <w:t>artifacts/benchmarks/q4_chance_validation_{mix,fix}010_300.json</w:t>
            </w:r>
          </w:p>
        </w:tc>
      </w:tr>
      <w:tr>
        <w:trPr>
          <w:cantSplit/>
        </w:trPr>
        <w:tc>
          <w:tcPr>
            <w:tcW w:type="dxa" w:w="2381"/>
            <w:vAlign w:val="center"/>
          </w:tcPr>
          <w:p>
            <w:pPr>
              <w:spacing w:line="264" w:lineRule="auto" w:before="60" w:after="60"/>
              <w:ind w:firstLine="0"/>
              <w:jc w:val="left"/>
            </w:pPr>
            <w:r>
              <w:rPr>
                <w:b w:val="0"/>
                <w:sz w:val="20"/>
              </w:rPr>
              <w:t>Q4速度配置</w:t>
            </w:r>
          </w:p>
        </w:tc>
        <w:tc>
          <w:tcPr>
            <w:tcW w:type="dxa" w:w="6803"/>
            <w:vAlign w:val="center"/>
          </w:tcPr>
          <w:p>
            <w:pPr>
              <w:spacing w:line="264" w:lineRule="auto" w:before="60" w:after="60"/>
              <w:ind w:firstLine="0"/>
              <w:jc w:val="left"/>
            </w:pPr>
            <w:r>
              <w:rPr>
                <w:b w:val="0"/>
                <w:sz w:val="20"/>
              </w:rPr>
              <w:t>artifacts/benchmarks/q4_v2_alpha025_{mix,fix}_300.json</w:t>
            </w:r>
          </w:p>
        </w:tc>
      </w:tr>
      <w:tr>
        <w:trPr>
          <w:cantSplit/>
        </w:trPr>
        <w:tc>
          <w:tcPr>
            <w:tcW w:type="dxa" w:w="2381"/>
            <w:vAlign w:val="center"/>
          </w:tcPr>
          <w:p>
            <w:pPr>
              <w:spacing w:line="264" w:lineRule="auto" w:before="60" w:after="60"/>
              <w:ind w:firstLine="0"/>
              <w:jc w:val="left"/>
            </w:pPr>
            <w:r>
              <w:rPr>
                <w:b w:val="0"/>
                <w:sz w:val="20"/>
              </w:rPr>
              <w:t>Q4源数分层</w:t>
            </w:r>
          </w:p>
        </w:tc>
        <w:tc>
          <w:tcPr>
            <w:tcW w:type="dxa" w:w="6803"/>
            <w:vAlign w:val="center"/>
          </w:tcPr>
          <w:p>
            <w:pPr>
              <w:spacing w:line="264" w:lineRule="auto" w:before="60" w:after="60"/>
              <w:ind w:firstLine="0"/>
              <w:jc w:val="left"/>
            </w:pPr>
            <w:r>
              <w:rPr>
                <w:b w:val="0"/>
                <w:sz w:val="20"/>
              </w:rPr>
              <w:t>artifacts/benchmarks/q4_source98_count{10…16}_100.json</w:t>
            </w:r>
          </w:p>
        </w:tc>
      </w:tr>
      <w:tr>
        <w:trPr>
          <w:cantSplit/>
        </w:trPr>
        <w:tc>
          <w:tcPr>
            <w:tcW w:type="dxa" w:w="2381"/>
            <w:vAlign w:val="center"/>
          </w:tcPr>
          <w:p>
            <w:pPr>
              <w:spacing w:line="264" w:lineRule="auto" w:before="60" w:after="60"/>
              <w:ind w:firstLine="0"/>
              <w:jc w:val="left"/>
            </w:pPr>
            <w:r>
              <w:rPr>
                <w:b w:val="0"/>
                <w:sz w:val="20"/>
              </w:rPr>
              <w:t>官方演练</w:t>
            </w:r>
          </w:p>
        </w:tc>
        <w:tc>
          <w:tcPr>
            <w:tcW w:type="dxa" w:w="6803"/>
            <w:vAlign w:val="center"/>
          </w:tcPr>
          <w:p>
            <w:pPr>
              <w:spacing w:line="264" w:lineRule="auto" w:before="60" w:after="60"/>
              <w:ind w:firstLine="0"/>
              <w:jc w:val="left"/>
            </w:pPr>
            <w:r>
              <w:rPr>
                <w:b w:val="0"/>
                <w:sz w:val="20"/>
              </w:rPr>
              <w:t>artifacts/official_practice/下对应run目录的summary.json及客户端日志</w:t>
            </w:r>
          </w:p>
        </w:tc>
      </w:tr>
      <w:tr>
        <w:trPr>
          <w:cantSplit/>
        </w:trPr>
        <w:tc>
          <w:tcPr>
            <w:tcW w:type="dxa" w:w="2381"/>
            <w:vAlign w:val="center"/>
          </w:tcPr>
          <w:p>
            <w:pPr>
              <w:spacing w:line="264" w:lineRule="auto" w:before="60" w:after="60"/>
              <w:ind w:firstLine="0"/>
              <w:jc w:val="left"/>
            </w:pPr>
            <w:r>
              <w:rPr>
                <w:b w:val="0"/>
                <w:sz w:val="20"/>
              </w:rPr>
              <w:t>神经停止消融</w:t>
            </w:r>
          </w:p>
        </w:tc>
        <w:tc>
          <w:tcPr>
            <w:tcW w:type="dxa" w:w="6803"/>
            <w:vAlign w:val="center"/>
          </w:tcPr>
          <w:p>
            <w:pPr>
              <w:spacing w:line="264" w:lineRule="auto" w:before="60" w:after="60"/>
              <w:ind w:firstLine="0"/>
              <w:jc w:val="left"/>
            </w:pPr>
            <w:r>
              <w:rPr>
                <w:b w:val="0"/>
                <w:sz w:val="20"/>
              </w:rPr>
              <w:t>artifacts/neural_belief_v1/test_cpu.json及history.json</w:t>
            </w:r>
          </w:p>
        </w:tc>
      </w:tr>
    </w:tbl>
    <w:p>
      <w:pPr>
        <w:spacing w:after="40" w:before="0" w:line="72" w:lineRule="auto"/>
      </w:pPr>
    </w:p>
    <w:p>
      <w:pPr>
        <w:jc w:val="both"/>
      </w:pPr>
      <w:r>
        <w:t>正式测试完成后，应将两题各三条原名加密日志加入支撑材料，并以模拟器最终统计填写正文两张正式测试表。案例编码、清除数量、虚拟时间及官方程序运行时间必须逐条对应。</w:t>
      </w:r>
    </w:p>
    <w:sectPr w:rsidR="00FC693F" w:rsidRPr="0006063C" w:rsidSect="00034616">
      <w:footerReference w:type="default" r:id="rId9"/>
      <w:pgSz w:w="11906" w:h="16838"/>
      <w:pgMar w:top="1332" w:right="1361" w:bottom="1219"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ind w:firstLine="44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