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9538D" w14:textId="15836F64" w:rsidR="006A06EA" w:rsidRPr="004B5C41" w:rsidRDefault="00910A07" w:rsidP="006A06EA">
      <w:pPr>
        <w:pStyle w:val="Ttulo1"/>
        <w:spacing w:before="0" w:after="0"/>
        <w:rPr>
          <w:sz w:val="28"/>
          <w:szCs w:val="28"/>
        </w:rPr>
      </w:pPr>
      <w:bookmarkStart w:id="0" w:name="_Toc364719077"/>
      <w:r w:rsidRPr="006B5B42">
        <w:rPr>
          <w:sz w:val="32"/>
          <w:szCs w:val="36"/>
        </w:rPr>
        <w:t xml:space="preserve"> </w:t>
      </w:r>
      <w:bookmarkEnd w:id="0"/>
      <w:r w:rsidR="002D66B2" w:rsidRPr="004B5C41">
        <w:rPr>
          <w:sz w:val="28"/>
          <w:szCs w:val="28"/>
        </w:rPr>
        <w:t xml:space="preserve">Influencia del Índice del Área Foliar (LAI) </w:t>
      </w:r>
      <w:r w:rsidR="000C0F07" w:rsidRPr="004B5C41">
        <w:rPr>
          <w:sz w:val="28"/>
          <w:szCs w:val="28"/>
        </w:rPr>
        <w:t>e índices morfométricos en la susceptibilidad a inundaciones en el departamento de Antioquia, Colombia.</w:t>
      </w:r>
    </w:p>
    <w:p w14:paraId="359709C9" w14:textId="77777777" w:rsidR="00A81CB2" w:rsidRPr="00A81CB2" w:rsidRDefault="00A81CB2" w:rsidP="00A81CB2">
      <w:pPr>
        <w:pStyle w:val="Textoindependiente"/>
        <w:rPr>
          <w:lang w:val="es-ES" w:eastAsia="ar-SA"/>
        </w:rPr>
      </w:pPr>
      <w:r w:rsidRPr="006B5B42">
        <w:rPr>
          <w:noProof/>
          <w:sz w:val="32"/>
          <w:szCs w:val="36"/>
          <w:lang w:val="en-US"/>
        </w:rPr>
        <mc:AlternateContent>
          <mc:Choice Requires="wps">
            <w:drawing>
              <wp:anchor distT="0" distB="0" distL="114300" distR="114300" simplePos="0" relativeHeight="251658240" behindDoc="0" locked="0" layoutInCell="1" allowOverlap="1" wp14:anchorId="5F196B10" wp14:editId="6D2D2A30">
                <wp:simplePos x="0" y="0"/>
                <wp:positionH relativeFrom="column">
                  <wp:posOffset>4446</wp:posOffset>
                </wp:positionH>
                <wp:positionV relativeFrom="paragraph">
                  <wp:posOffset>119380</wp:posOffset>
                </wp:positionV>
                <wp:extent cx="5962650" cy="0"/>
                <wp:effectExtent l="0" t="0" r="19050" b="19050"/>
                <wp:wrapNone/>
                <wp:docPr id="1" name="Conector recto 1"/>
                <wp:cNvGraphicFramePr/>
                <a:graphic xmlns:a="http://schemas.openxmlformats.org/drawingml/2006/main">
                  <a:graphicData uri="http://schemas.microsoft.com/office/word/2010/wordprocessingShape">
                    <wps:wsp>
                      <wps:cNvCnPr/>
                      <wps:spPr>
                        <a:xfrm>
                          <a:off x="0" y="0"/>
                          <a:ext cx="59626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1C368" id="Conector recto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9.4pt" to="469.8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gPzwEAAAkEAAAOAAAAZHJzL2Uyb0RvYy54bWysU9uO2yAQfa/Uf0C8N3YibdS14uxDVtuX&#10;qo16+QAWDzESNw00dv6+A3ac7UWVWvUFGJhzmHMGdg+jNewMGLV3LV+vas7ASd9pd2r51y9Pb95y&#10;FpNwnTDeQcsvEPnD/vWr3RAa2Pjemw6QEYmLzRBa3qcUmqqKsgcr4soHcHSoPFqRKMRT1aEYiN2a&#10;alPX22rw2AX0EmKk3cfpkO8Lv1Ig00elIiRmWk61pTJiGZ/zWO13ojmhCL2WcxniH6qwQju6dKF6&#10;FEmwb6h/obJaoo9epZX0tvJKaQlFA6lZ1z+p+dyLAEULmRPDYlP8f7Tyw/mITHfUO86csNSiAzVK&#10;Jo8M88TW2aMhxIZSD+6IcxTDEbPgUaHNM0lhY/H1svgKY2KSNu/ut5vtHdkvr2fVDRgwpnfgLcuL&#10;lhvtsmTRiPP7mOgySr2m5G3j2EDF3tfEl+Poje6etDElyM8GDgbZWVDD01iKJ4YXWRQZR7RZ0iSi&#10;rNLFwMT/CRQZQmWvpwt+5BRSgktXXuMoO8MUVbAA58r+BJzzMxTKM/0b8IIoN3uXFrDVzuPvyr5Z&#10;oab8qwOT7mzBs+8upb3FGnpvxfv5b+QH/TIu8NsP3n8HAAD//wMAUEsDBBQABgAIAAAAIQDB/bVP&#10;1QAAAAYBAAAPAAAAZHJzL2Rvd25yZXYueG1sTI5LbsIwEIb3lXoHayp1ExWn0AeEOKiKxAEKHGCI&#10;hyTCHkexgfT2naqLdjn/a75yM3mnrjTGPrCB51kOirgJtufWwGG/fVqCignZogtMBr4owqa6vyux&#10;sOHGn3TdpVbJCMcCDXQpDYXWsenIY5yFgVi8Uxg9JjnHVtsRbzLunZ7n+Zv22LN86HCguqPmvLt4&#10;wajrQxZp6xbZvjllL9Pr3MXBmMeH6WMNKtGU/sLwgy8dqITpGC5so3IG3iUn6lL4xV0tViIcfwVd&#10;lfo/fvUNAAD//wMAUEsBAi0AFAAGAAgAAAAhALaDOJL+AAAA4QEAABMAAAAAAAAAAAAAAAAAAAAA&#10;AFtDb250ZW50X1R5cGVzXS54bWxQSwECLQAUAAYACAAAACEAOP0h/9YAAACUAQAACwAAAAAAAAAA&#10;AAAAAAAvAQAAX3JlbHMvLnJlbHNQSwECLQAUAAYACAAAACEAFIDoD88BAAAJBAAADgAAAAAAAAAA&#10;AAAAAAAuAgAAZHJzL2Uyb0RvYy54bWxQSwECLQAUAAYACAAAACEAwf21T9UAAAAGAQAADwAAAAAA&#10;AAAAAAAAAAApBAAAZHJzL2Rvd25yZXYueG1sUEsFBgAAAAAEAAQA8wAAACsFAAAAAA==&#10;" strokecolor="black [3213]" strokeweight="1.5pt"/>
            </w:pict>
          </mc:Fallback>
        </mc:AlternateContent>
      </w:r>
    </w:p>
    <w:p w14:paraId="1B57E44B" w14:textId="230C1BBB" w:rsidR="00F12D87" w:rsidRDefault="000C0F07" w:rsidP="000C0F07">
      <w:pPr>
        <w:spacing w:after="0"/>
        <w:ind w:firstLine="708"/>
        <w:jc w:val="center"/>
        <w:rPr>
          <w:rFonts w:cs="Times New Roman"/>
          <w:szCs w:val="20"/>
        </w:rPr>
      </w:pPr>
      <w:r>
        <w:rPr>
          <w:rFonts w:cs="Times New Roman"/>
          <w:szCs w:val="20"/>
        </w:rPr>
        <w:t>Juan David Zuluaga Ortiz</w:t>
      </w:r>
      <w:r w:rsidRPr="000C0F07">
        <w:rPr>
          <w:rFonts w:cs="Times New Roman"/>
          <w:szCs w:val="20"/>
          <w:vertAlign w:val="superscript"/>
        </w:rPr>
        <w:t>1</w:t>
      </w:r>
    </w:p>
    <w:p w14:paraId="15DDDA14" w14:textId="585D4197" w:rsidR="00EB53FD" w:rsidRDefault="000C0F07" w:rsidP="004B5C41">
      <w:pPr>
        <w:spacing w:after="0"/>
        <w:ind w:firstLine="708"/>
        <w:jc w:val="center"/>
        <w:rPr>
          <w:rFonts w:cs="Times New Roman"/>
          <w:sz w:val="16"/>
          <w:szCs w:val="16"/>
        </w:rPr>
      </w:pPr>
      <w:r w:rsidRPr="000C0F07">
        <w:rPr>
          <w:rFonts w:cs="Times New Roman"/>
          <w:sz w:val="16"/>
          <w:szCs w:val="16"/>
          <w:vertAlign w:val="superscript"/>
        </w:rPr>
        <w:t>1</w:t>
      </w:r>
      <w:r w:rsidRPr="000C0F07">
        <w:rPr>
          <w:rFonts w:cs="Times New Roman"/>
          <w:sz w:val="16"/>
          <w:szCs w:val="16"/>
        </w:rPr>
        <w:t>Ingeniero Civil, Estudiante de Maestría en Ingeniería – Recursos Hidráulicos, Universidad Nacional de Colombia, Sede Medellín, Facultad de Minas – Departamento de Geociencias y Medio Ambiente.</w:t>
      </w:r>
    </w:p>
    <w:p w14:paraId="764D22F6" w14:textId="77777777" w:rsidR="004B5C41" w:rsidRPr="008A4B35" w:rsidRDefault="004B5C41" w:rsidP="004B5C41">
      <w:pPr>
        <w:spacing w:after="0"/>
        <w:ind w:firstLine="708"/>
        <w:jc w:val="center"/>
        <w:rPr>
          <w:rFonts w:cs="Times New Roman"/>
          <w:szCs w:val="20"/>
        </w:rPr>
      </w:pPr>
    </w:p>
    <w:p w14:paraId="7B03FA05" w14:textId="73FD39A2" w:rsidR="00EB53FD" w:rsidRPr="008A4B35" w:rsidRDefault="00EB53FD" w:rsidP="003A198E">
      <w:pPr>
        <w:spacing w:after="0"/>
        <w:jc w:val="center"/>
        <w:rPr>
          <w:rFonts w:cs="Times New Roman"/>
          <w:szCs w:val="20"/>
        </w:rPr>
      </w:pPr>
      <w:r w:rsidRPr="008A4B35">
        <w:rPr>
          <w:rFonts w:cs="Times New Roman"/>
          <w:szCs w:val="20"/>
        </w:rPr>
        <w:t xml:space="preserve">Artículo </w:t>
      </w:r>
      <w:r w:rsidR="00BD329E">
        <w:rPr>
          <w:rFonts w:cs="Times New Roman"/>
          <w:szCs w:val="20"/>
        </w:rPr>
        <w:t>enviado</w:t>
      </w:r>
      <w:r w:rsidRPr="008A4B35">
        <w:rPr>
          <w:rFonts w:cs="Times New Roman"/>
          <w:szCs w:val="20"/>
        </w:rPr>
        <w:t xml:space="preserve"> e</w:t>
      </w:r>
      <w:r w:rsidR="00BD329E">
        <w:rPr>
          <w:rFonts w:cs="Times New Roman"/>
          <w:szCs w:val="20"/>
        </w:rPr>
        <w:t>l</w:t>
      </w:r>
      <w:r w:rsidRPr="008A4B35">
        <w:rPr>
          <w:rFonts w:cs="Times New Roman"/>
          <w:szCs w:val="20"/>
        </w:rPr>
        <w:t xml:space="preserve"> mes </w:t>
      </w:r>
      <w:r w:rsidR="000C0F07">
        <w:rPr>
          <w:rFonts w:cs="Times New Roman"/>
          <w:szCs w:val="20"/>
        </w:rPr>
        <w:t>0</w:t>
      </w:r>
      <w:r w:rsidR="00BD329E">
        <w:rPr>
          <w:rFonts w:cs="Times New Roman"/>
          <w:szCs w:val="20"/>
        </w:rPr>
        <w:t>8</w:t>
      </w:r>
      <w:r w:rsidRPr="008A4B35">
        <w:rPr>
          <w:rFonts w:cs="Times New Roman"/>
          <w:szCs w:val="20"/>
        </w:rPr>
        <w:t xml:space="preserve"> de </w:t>
      </w:r>
      <w:r w:rsidR="000C0F07">
        <w:rPr>
          <w:rFonts w:cs="Times New Roman"/>
          <w:szCs w:val="20"/>
        </w:rPr>
        <w:t>2026</w:t>
      </w:r>
      <w:r w:rsidR="00BD329E">
        <w:rPr>
          <w:rFonts w:cs="Times New Roman"/>
          <w:szCs w:val="20"/>
        </w:rPr>
        <w:t>.</w:t>
      </w:r>
    </w:p>
    <w:p w14:paraId="613DDCA3" w14:textId="77777777" w:rsidR="0061254F" w:rsidRPr="006B5B42" w:rsidRDefault="0061254F" w:rsidP="000C0F07">
      <w:pPr>
        <w:spacing w:before="30" w:after="30"/>
        <w:ind w:firstLine="0"/>
        <w:rPr>
          <w:rFonts w:cs="Times New Roman"/>
          <w:sz w:val="22"/>
          <w:szCs w:val="24"/>
        </w:rPr>
      </w:pPr>
      <w:r w:rsidRPr="006B5B42">
        <w:rPr>
          <w:rFonts w:cs="Times New Roman"/>
          <w:sz w:val="22"/>
          <w:szCs w:val="24"/>
        </w:rPr>
        <w:t>_______________________________________________________________________</w:t>
      </w:r>
      <w:r w:rsidR="00172FE8">
        <w:rPr>
          <w:rFonts w:cs="Times New Roman"/>
          <w:sz w:val="22"/>
          <w:szCs w:val="24"/>
        </w:rPr>
        <w:t>______________</w:t>
      </w:r>
    </w:p>
    <w:p w14:paraId="1D464065" w14:textId="77777777" w:rsidR="00F12D87" w:rsidRPr="006B5B42" w:rsidRDefault="00F12D87" w:rsidP="00172FE8">
      <w:pPr>
        <w:pStyle w:val="Ttulo1"/>
        <w:ind w:firstLine="0"/>
        <w:jc w:val="left"/>
        <w:rPr>
          <w:szCs w:val="22"/>
        </w:rPr>
      </w:pPr>
      <w:r w:rsidRPr="006B5B42">
        <w:rPr>
          <w:szCs w:val="22"/>
        </w:rPr>
        <w:t>R</w:t>
      </w:r>
      <w:r w:rsidR="00A949FE" w:rsidRPr="006B5B42">
        <w:rPr>
          <w:szCs w:val="22"/>
        </w:rPr>
        <w:t>esumen</w:t>
      </w:r>
    </w:p>
    <w:p w14:paraId="18FAFCCB" w14:textId="38BBED2C" w:rsidR="00E50D56" w:rsidRPr="006A06EA" w:rsidRDefault="008E5D17" w:rsidP="002F2AFE">
      <w:pPr>
        <w:autoSpaceDE w:val="0"/>
        <w:autoSpaceDN w:val="0"/>
        <w:adjustRightInd w:val="0"/>
        <w:ind w:firstLine="0"/>
        <w:rPr>
          <w:rFonts w:cs="Times New Roman"/>
        </w:rPr>
      </w:pPr>
      <w:r w:rsidRPr="008E5D17">
        <w:rPr>
          <w:rFonts w:cs="Times New Roman"/>
        </w:rPr>
        <w:t>La</w:t>
      </w:r>
      <w:r>
        <w:rPr>
          <w:rFonts w:cs="Times New Roman"/>
        </w:rPr>
        <w:t xml:space="preserve"> identificación de la susceptibilidad </w:t>
      </w:r>
      <w:r w:rsidRPr="008E5D17">
        <w:rPr>
          <w:rFonts w:cs="Times New Roman"/>
        </w:rPr>
        <w:t xml:space="preserve">a inundaciones constituye un </w:t>
      </w:r>
      <w:r>
        <w:rPr>
          <w:rFonts w:cs="Times New Roman"/>
        </w:rPr>
        <w:t>pilar</w:t>
      </w:r>
      <w:r w:rsidR="00D618D2">
        <w:rPr>
          <w:rFonts w:cs="Times New Roman"/>
        </w:rPr>
        <w:t xml:space="preserve"> fundamental</w:t>
      </w:r>
      <w:r>
        <w:rPr>
          <w:rFonts w:cs="Times New Roman"/>
        </w:rPr>
        <w:t xml:space="preserve"> en </w:t>
      </w:r>
      <w:r w:rsidR="00D618D2">
        <w:rPr>
          <w:rFonts w:cs="Times New Roman"/>
        </w:rPr>
        <w:t xml:space="preserve">la </w:t>
      </w:r>
      <w:r>
        <w:rPr>
          <w:rFonts w:cs="Times New Roman"/>
        </w:rPr>
        <w:t>ge</w:t>
      </w:r>
      <w:r w:rsidRPr="008E5D17">
        <w:rPr>
          <w:rFonts w:cs="Times New Roman"/>
        </w:rPr>
        <w:t>stión del riesgo y la planificación territorial, especialmente</w:t>
      </w:r>
      <w:r>
        <w:rPr>
          <w:rFonts w:cs="Times New Roman"/>
        </w:rPr>
        <w:t xml:space="preserve"> en territorios donde es posible encontrar un espectro geomorfológico</w:t>
      </w:r>
      <w:r w:rsidR="00D618D2">
        <w:rPr>
          <w:rFonts w:cs="Times New Roman"/>
        </w:rPr>
        <w:t xml:space="preserve"> de gran</w:t>
      </w:r>
      <w:r>
        <w:rPr>
          <w:rFonts w:cs="Times New Roman"/>
        </w:rPr>
        <w:t xml:space="preserve"> variabilidad </w:t>
      </w:r>
      <w:r w:rsidRPr="008E5D17">
        <w:rPr>
          <w:rFonts w:cs="Times New Roman"/>
        </w:rPr>
        <w:t xml:space="preserve">como </w:t>
      </w:r>
      <w:r>
        <w:rPr>
          <w:rFonts w:cs="Times New Roman"/>
        </w:rPr>
        <w:t>lo es el</w:t>
      </w:r>
      <w:r w:rsidRPr="008E5D17">
        <w:rPr>
          <w:rFonts w:cs="Times New Roman"/>
        </w:rPr>
        <w:t xml:space="preserve"> departamento de Antioquia. </w:t>
      </w:r>
      <w:r w:rsidR="00D618D2">
        <w:rPr>
          <w:rFonts w:cs="Times New Roman"/>
        </w:rPr>
        <w:t>En</w:t>
      </w:r>
      <w:r>
        <w:rPr>
          <w:rFonts w:cs="Times New Roman"/>
        </w:rPr>
        <w:t xml:space="preserve"> este </w:t>
      </w:r>
      <w:r w:rsidRPr="008E5D17">
        <w:rPr>
          <w:rFonts w:cs="Times New Roman"/>
        </w:rPr>
        <w:t>estudio</w:t>
      </w:r>
      <w:r>
        <w:rPr>
          <w:rFonts w:cs="Times New Roman"/>
        </w:rPr>
        <w:t xml:space="preserve">, </w:t>
      </w:r>
      <w:r w:rsidRPr="008E5D17">
        <w:rPr>
          <w:rFonts w:cs="Times New Roman"/>
        </w:rPr>
        <w:t xml:space="preserve">se </w:t>
      </w:r>
      <w:r w:rsidR="00842344">
        <w:rPr>
          <w:rFonts w:cs="Times New Roman"/>
        </w:rPr>
        <w:t>evaluó</w:t>
      </w:r>
      <w:r>
        <w:rPr>
          <w:rFonts w:cs="Times New Roman"/>
        </w:rPr>
        <w:t xml:space="preserve"> como variables geomorfológicas y </w:t>
      </w:r>
      <w:r w:rsidR="00842344">
        <w:rPr>
          <w:rFonts w:cs="Times New Roman"/>
        </w:rPr>
        <w:t>los atributos</w:t>
      </w:r>
      <w:r>
        <w:rPr>
          <w:rFonts w:cs="Times New Roman"/>
        </w:rPr>
        <w:t xml:space="preserve"> de la cuenca influyen en la ocurrencia de </w:t>
      </w:r>
      <w:r w:rsidRPr="008E5D17">
        <w:rPr>
          <w:rFonts w:cs="Times New Roman"/>
        </w:rPr>
        <w:t>inundaciones</w:t>
      </w:r>
      <w:r>
        <w:rPr>
          <w:rFonts w:cs="Times New Roman"/>
        </w:rPr>
        <w:t>.  Para ello, se construyó una base de datos de eventos</w:t>
      </w:r>
      <w:r w:rsidRPr="008E5D17">
        <w:rPr>
          <w:rFonts w:cs="Times New Roman"/>
        </w:rPr>
        <w:t xml:space="preserve"> mediante i</w:t>
      </w:r>
      <w:r w:rsidR="0072260F">
        <w:rPr>
          <w:rFonts w:cs="Times New Roman"/>
        </w:rPr>
        <w:t>nventarios</w:t>
      </w:r>
      <w:r w:rsidRPr="008E5D17">
        <w:rPr>
          <w:rFonts w:cs="Times New Roman"/>
        </w:rPr>
        <w:t xml:space="preserve"> históric</w:t>
      </w:r>
      <w:r w:rsidR="0072260F">
        <w:rPr>
          <w:rFonts w:cs="Times New Roman"/>
        </w:rPr>
        <w:t>os</w:t>
      </w:r>
      <w:r w:rsidRPr="008E5D17">
        <w:rPr>
          <w:rFonts w:cs="Times New Roman"/>
        </w:rPr>
        <w:t xml:space="preserve"> de aproximadamente 1270 </w:t>
      </w:r>
      <w:r w:rsidR="00842344">
        <w:rPr>
          <w:rFonts w:cs="Times New Roman"/>
        </w:rPr>
        <w:t>eventos</w:t>
      </w:r>
      <w:r w:rsidRPr="008E5D17">
        <w:rPr>
          <w:rFonts w:cs="Times New Roman"/>
        </w:rPr>
        <w:t>,</w:t>
      </w:r>
      <w:r w:rsidR="0072260F">
        <w:rPr>
          <w:rFonts w:cs="Times New Roman"/>
        </w:rPr>
        <w:t xml:space="preserve"> cada</w:t>
      </w:r>
      <w:r w:rsidR="00F211A1">
        <w:rPr>
          <w:rFonts w:cs="Times New Roman"/>
        </w:rPr>
        <w:t xml:space="preserve"> uno de ellos</w:t>
      </w:r>
      <w:r w:rsidR="0072260F">
        <w:rPr>
          <w:rFonts w:cs="Times New Roman"/>
        </w:rPr>
        <w:t xml:space="preserve"> </w:t>
      </w:r>
      <w:r w:rsidR="00F211A1">
        <w:rPr>
          <w:rFonts w:cs="Times New Roman"/>
        </w:rPr>
        <w:t>caracteriz</w:t>
      </w:r>
      <w:r w:rsidR="00842344">
        <w:rPr>
          <w:rFonts w:cs="Times New Roman"/>
        </w:rPr>
        <w:t>ado</w:t>
      </w:r>
      <w:r w:rsidRPr="008E5D17">
        <w:rPr>
          <w:rFonts w:cs="Times New Roman"/>
        </w:rPr>
        <w:t xml:space="preserve"> a partir de </w:t>
      </w:r>
      <w:r w:rsidR="0072260F">
        <w:rPr>
          <w:rFonts w:cs="Times New Roman"/>
        </w:rPr>
        <w:t xml:space="preserve">múltiples </w:t>
      </w:r>
      <w:r w:rsidRPr="008E5D17">
        <w:rPr>
          <w:rFonts w:cs="Times New Roman"/>
        </w:rPr>
        <w:t>variables morfométricas</w:t>
      </w:r>
      <w:r w:rsidR="0072260F">
        <w:rPr>
          <w:rFonts w:cs="Times New Roman"/>
        </w:rPr>
        <w:t xml:space="preserve"> y </w:t>
      </w:r>
      <w:r w:rsidR="00F211A1">
        <w:rPr>
          <w:rFonts w:cs="Times New Roman"/>
        </w:rPr>
        <w:t>atributos</w:t>
      </w:r>
      <w:r w:rsidR="0072260F">
        <w:rPr>
          <w:rFonts w:cs="Times New Roman"/>
        </w:rPr>
        <w:t xml:space="preserve"> generales de la cuenca asociada</w:t>
      </w:r>
      <w:r w:rsidR="00E752C4">
        <w:rPr>
          <w:rFonts w:cs="Times New Roman"/>
        </w:rPr>
        <w:t xml:space="preserve">. </w:t>
      </w:r>
      <w:r w:rsidRPr="008E5D17">
        <w:rPr>
          <w:rFonts w:cs="Times New Roman"/>
        </w:rPr>
        <w:t>Adicionalmente, a escala municipal se analiz</w:t>
      </w:r>
      <w:r w:rsidR="00842344">
        <w:rPr>
          <w:rFonts w:cs="Times New Roman"/>
        </w:rPr>
        <w:t>ó</w:t>
      </w:r>
      <w:r w:rsidR="004C514C">
        <w:rPr>
          <w:rFonts w:cs="Times New Roman"/>
        </w:rPr>
        <w:t>, el</w:t>
      </w:r>
      <w:r w:rsidR="0072260F">
        <w:rPr>
          <w:rFonts w:cs="Times New Roman"/>
        </w:rPr>
        <w:t xml:space="preserve"> número </w:t>
      </w:r>
      <w:r w:rsidR="004C514C">
        <w:rPr>
          <w:rFonts w:cs="Times New Roman"/>
        </w:rPr>
        <w:t>total</w:t>
      </w:r>
      <w:r w:rsidR="0072260F">
        <w:rPr>
          <w:rFonts w:cs="Times New Roman"/>
        </w:rPr>
        <w:t xml:space="preserve"> de eventos ocurridos en cada uno mediante modelos Condicionales Autorregresivos (CAR) de tipo</w:t>
      </w:r>
      <w:r w:rsidRPr="008E5D17">
        <w:rPr>
          <w:rFonts w:cs="Times New Roman"/>
        </w:rPr>
        <w:t xml:space="preserve"> Leroux. </w:t>
      </w:r>
      <w:r w:rsidR="004C514C">
        <w:rPr>
          <w:rFonts w:cs="Times New Roman"/>
        </w:rPr>
        <w:t xml:space="preserve"> </w:t>
      </w:r>
      <w:r w:rsidR="00ED2F00">
        <w:rPr>
          <w:rFonts w:cs="Times New Roman"/>
        </w:rPr>
        <w:t>Posteriormente,</w:t>
      </w:r>
      <w:r w:rsidR="0072260F">
        <w:rPr>
          <w:rFonts w:cs="Times New Roman"/>
        </w:rPr>
        <w:t xml:space="preserve"> se estudió </w:t>
      </w:r>
      <w:r w:rsidR="00ED2F00">
        <w:rPr>
          <w:rFonts w:cs="Times New Roman"/>
        </w:rPr>
        <w:t>como los Procesos Gaussianos</w:t>
      </w:r>
      <w:r w:rsidR="00D618D2">
        <w:rPr>
          <w:rFonts w:cs="Times New Roman"/>
        </w:rPr>
        <w:t xml:space="preserve"> de clasificación</w:t>
      </w:r>
      <w:r w:rsidR="00ED2F00">
        <w:rPr>
          <w:rFonts w:cs="Times New Roman"/>
        </w:rPr>
        <w:t xml:space="preserve"> (GP) permitieron </w:t>
      </w:r>
      <w:r w:rsidR="00ED2F00" w:rsidRPr="00ED2F00">
        <w:rPr>
          <w:rFonts w:cs="Times New Roman"/>
        </w:rPr>
        <w:t>represent</w:t>
      </w:r>
      <w:r w:rsidR="00ED2F00">
        <w:rPr>
          <w:rFonts w:cs="Times New Roman"/>
        </w:rPr>
        <w:t>ar</w:t>
      </w:r>
      <w:r w:rsidR="00ED2F00" w:rsidRPr="00ED2F00">
        <w:rPr>
          <w:rFonts w:cs="Times New Roman"/>
        </w:rPr>
        <w:t xml:space="preserve"> </w:t>
      </w:r>
      <w:r w:rsidR="00842344">
        <w:rPr>
          <w:rFonts w:cs="Times New Roman"/>
        </w:rPr>
        <w:t>mediante</w:t>
      </w:r>
      <w:r w:rsidR="00ED2F00" w:rsidRPr="00ED2F00">
        <w:rPr>
          <w:rFonts w:cs="Times New Roman"/>
        </w:rPr>
        <w:t xml:space="preserve"> una función latente </w:t>
      </w:r>
      <w:r w:rsidR="004C514C" w:rsidRPr="00ED2F00">
        <w:rPr>
          <w:rFonts w:cs="Times New Roman"/>
        </w:rPr>
        <w:t>contin</w:t>
      </w:r>
      <w:r w:rsidR="00842344">
        <w:rPr>
          <w:rFonts w:cs="Times New Roman"/>
        </w:rPr>
        <w:t>u</w:t>
      </w:r>
      <w:r w:rsidR="004C514C" w:rsidRPr="00ED2F00">
        <w:rPr>
          <w:rFonts w:cs="Times New Roman"/>
        </w:rPr>
        <w:t>a</w:t>
      </w:r>
      <w:r w:rsidR="00842344">
        <w:rPr>
          <w:rFonts w:cs="Times New Roman"/>
        </w:rPr>
        <w:t xml:space="preserve"> la ocurrencia de eventos</w:t>
      </w:r>
      <w:r w:rsidR="00ED2F00">
        <w:rPr>
          <w:rFonts w:cs="Times New Roman"/>
        </w:rPr>
        <w:t xml:space="preserve">, </w:t>
      </w:r>
      <w:r w:rsidR="004C514C">
        <w:rPr>
          <w:rFonts w:cs="Times New Roman"/>
        </w:rPr>
        <w:t xml:space="preserve">basada en </w:t>
      </w:r>
      <w:r w:rsidR="00ED2F00" w:rsidRPr="00ED2F00">
        <w:rPr>
          <w:rFonts w:cs="Times New Roman"/>
        </w:rPr>
        <w:t>las características geomorfológicas de cada observación</w:t>
      </w:r>
      <w:r w:rsidR="004C514C">
        <w:rPr>
          <w:rFonts w:cs="Times New Roman"/>
        </w:rPr>
        <w:t>, permite determinar la probabilidad relativa de ocurrencia de un evento mediante relaciones no lineales</w:t>
      </w:r>
      <w:r w:rsidR="00ED2F00">
        <w:rPr>
          <w:rFonts w:cs="Times New Roman"/>
        </w:rPr>
        <w:t>.</w:t>
      </w:r>
      <w:r w:rsidRPr="008E5D17">
        <w:rPr>
          <w:rFonts w:cs="Times New Roman"/>
        </w:rPr>
        <w:t xml:space="preserve"> </w:t>
      </w:r>
      <w:r w:rsidR="004C514C" w:rsidRPr="004C514C">
        <w:rPr>
          <w:rFonts w:cs="Times New Roman"/>
        </w:rPr>
        <w:t xml:space="preserve">Los resultados mostraron que las variables geomorfológicas presentan capacidad explicativa sobre la ocurrencia de inundaciones y que la incorporación de dependencia espacial mejora </w:t>
      </w:r>
      <w:r w:rsidR="004C514C">
        <w:rPr>
          <w:rFonts w:cs="Times New Roman"/>
        </w:rPr>
        <w:t xml:space="preserve">significativamente </w:t>
      </w:r>
      <w:r w:rsidR="004C514C" w:rsidRPr="004C514C">
        <w:rPr>
          <w:rFonts w:cs="Times New Roman"/>
        </w:rPr>
        <w:t xml:space="preserve">el ajuste a escala municipal, destacándose el modelo de Leroux. Asimismo, los procesos gaussianos permitieron representar relaciones no lineales entre los factores condicionantes y generar probabilidades relativas de </w:t>
      </w:r>
      <w:r w:rsidR="00842344">
        <w:rPr>
          <w:rFonts w:cs="Times New Roman"/>
        </w:rPr>
        <w:t>ocurrencia</w:t>
      </w:r>
      <w:r w:rsidR="004C514C" w:rsidRPr="004C514C">
        <w:rPr>
          <w:rFonts w:cs="Times New Roman"/>
        </w:rPr>
        <w:t xml:space="preserve"> </w:t>
      </w:r>
      <w:r w:rsidR="004C514C">
        <w:rPr>
          <w:rFonts w:cs="Times New Roman"/>
        </w:rPr>
        <w:t>con un buen desempeño del modelo. Finalmente, a</w:t>
      </w:r>
      <w:r w:rsidR="004C514C" w:rsidRPr="004C514C">
        <w:rPr>
          <w:rFonts w:cs="Times New Roman"/>
        </w:rPr>
        <w:t xml:space="preserve"> partir de los resultados obtenidos, se construyó un modelo de clasificación orientado a la representación espacial de la susceptibilidad a inundaciones a escala departamental</w:t>
      </w:r>
      <w:r w:rsidR="004C514C">
        <w:rPr>
          <w:rFonts w:cs="Times New Roman"/>
        </w:rPr>
        <w:t xml:space="preserve"> y la incertidumbre predictiva.</w:t>
      </w:r>
    </w:p>
    <w:p w14:paraId="6FC0C37F" w14:textId="1E8E8AF9" w:rsidR="00E92275" w:rsidRPr="00264012" w:rsidRDefault="00F12D87" w:rsidP="006B5B42">
      <w:pPr>
        <w:ind w:firstLine="0"/>
        <w:jc w:val="left"/>
        <w:rPr>
          <w:rFonts w:cs="Times New Roman"/>
          <w:bCs/>
          <w:lang w:val="es-ES"/>
        </w:rPr>
      </w:pPr>
      <w:r w:rsidRPr="00471783">
        <w:rPr>
          <w:rFonts w:cs="Times New Roman"/>
          <w:b/>
        </w:rPr>
        <w:t>Palabras clave</w:t>
      </w:r>
      <w:r w:rsidR="006A06EA" w:rsidRPr="00471783">
        <w:rPr>
          <w:rFonts w:cs="Times New Roman"/>
          <w:b/>
        </w:rPr>
        <w:t>:</w:t>
      </w:r>
      <w:r w:rsidR="006A06EA" w:rsidRPr="00264012">
        <w:rPr>
          <w:rFonts w:cs="Times New Roman"/>
          <w:b/>
        </w:rPr>
        <w:t xml:space="preserve"> </w:t>
      </w:r>
      <w:r w:rsidR="004B5C41">
        <w:rPr>
          <w:rFonts w:cs="Times New Roman"/>
        </w:rPr>
        <w:t>Susceptibilidad</w:t>
      </w:r>
      <w:r w:rsidR="00264012">
        <w:rPr>
          <w:rFonts w:cs="Times New Roman"/>
        </w:rPr>
        <w:t>,</w:t>
      </w:r>
      <w:r w:rsidR="006A06EA" w:rsidRPr="00264012">
        <w:rPr>
          <w:rFonts w:cs="Times New Roman"/>
        </w:rPr>
        <w:t xml:space="preserve"> </w:t>
      </w:r>
      <w:r w:rsidR="004B5C41">
        <w:rPr>
          <w:rFonts w:cs="Times New Roman"/>
        </w:rPr>
        <w:t>Inundaciones</w:t>
      </w:r>
      <w:r w:rsidR="00264012">
        <w:rPr>
          <w:rFonts w:cs="Times New Roman"/>
        </w:rPr>
        <w:t>,</w:t>
      </w:r>
      <w:r w:rsidR="006A06EA" w:rsidRPr="00264012">
        <w:rPr>
          <w:rFonts w:cs="Times New Roman"/>
        </w:rPr>
        <w:t xml:space="preserve"> </w:t>
      </w:r>
      <w:r w:rsidR="004B5C41">
        <w:rPr>
          <w:rFonts w:cs="Times New Roman"/>
        </w:rPr>
        <w:t>Proceso Gaussiano</w:t>
      </w:r>
      <w:r w:rsidR="00264012">
        <w:rPr>
          <w:rFonts w:cs="Times New Roman"/>
        </w:rPr>
        <w:t>,</w:t>
      </w:r>
      <w:r w:rsidR="006A06EA" w:rsidRPr="00264012">
        <w:rPr>
          <w:rFonts w:cs="Times New Roman"/>
        </w:rPr>
        <w:t xml:space="preserve"> </w:t>
      </w:r>
      <w:r w:rsidR="004B5C41">
        <w:rPr>
          <w:rFonts w:cs="Times New Roman"/>
        </w:rPr>
        <w:t>Modelos CAR, Geomorfología</w:t>
      </w:r>
      <w:r w:rsidR="004B5C41">
        <w:rPr>
          <w:rFonts w:cs="Times New Roman"/>
          <w:bCs/>
          <w:lang w:val="es-ES"/>
        </w:rPr>
        <w:t>, Dependencia espacial.</w:t>
      </w:r>
    </w:p>
    <w:p w14:paraId="5118D17A" w14:textId="77777777" w:rsidR="00172FE8" w:rsidRPr="001D5858" w:rsidRDefault="00172FE8" w:rsidP="006B5B42">
      <w:pPr>
        <w:ind w:firstLine="0"/>
        <w:jc w:val="left"/>
        <w:rPr>
          <w:rFonts w:cs="Times New Roman"/>
          <w:bCs/>
          <w:lang w:val="en-US"/>
        </w:rPr>
      </w:pPr>
      <w:r w:rsidRPr="001D5858">
        <w:rPr>
          <w:rFonts w:cs="Times New Roman"/>
          <w:bCs/>
          <w:lang w:val="en-US"/>
        </w:rPr>
        <w:t>______________________________________________________________________________________________</w:t>
      </w:r>
    </w:p>
    <w:p w14:paraId="4029165A" w14:textId="77777777" w:rsidR="00F12D87" w:rsidRPr="001D5858" w:rsidRDefault="00577DBB" w:rsidP="00172FE8">
      <w:pPr>
        <w:pStyle w:val="Ttulo1"/>
        <w:ind w:firstLine="0"/>
        <w:jc w:val="left"/>
        <w:rPr>
          <w:szCs w:val="22"/>
          <w:lang w:val="en-US"/>
        </w:rPr>
      </w:pPr>
      <w:r w:rsidRPr="001D5858">
        <w:rPr>
          <w:szCs w:val="22"/>
          <w:lang w:val="en-US"/>
        </w:rPr>
        <w:t>Abstract</w:t>
      </w:r>
    </w:p>
    <w:p w14:paraId="373342C0" w14:textId="50AE9153" w:rsidR="004B5C41" w:rsidRDefault="004B5C41" w:rsidP="002F2AFE">
      <w:pPr>
        <w:autoSpaceDE w:val="0"/>
        <w:autoSpaceDN w:val="0"/>
        <w:adjustRightInd w:val="0"/>
        <w:ind w:firstLine="0"/>
        <w:rPr>
          <w:rFonts w:cs="Times New Roman"/>
          <w:lang w:val="en-US"/>
        </w:rPr>
      </w:pPr>
      <w:r w:rsidRPr="004B5C41">
        <w:rPr>
          <w:rFonts w:cs="Times New Roman"/>
          <w:lang w:val="en-US"/>
        </w:rPr>
        <w:t>The identification of flood susceptibility constitutes a fundamental pillar in risk management and territorial planning, especially in territories where a geomorphological spectrum of great variability can be found, such as the department of Antioquia. In this study, it was examined how geomorphological variables and general basin conditions influence the occurrence of floods. For this purpose, an event database was constructed using historical inventories of approximately 1,270 occurrences, where each event was characterized based on multiple morphometric variables and general attributes of the associated basin</w:t>
      </w:r>
      <w:r w:rsidR="00E752C4">
        <w:rPr>
          <w:rFonts w:cs="Times New Roman"/>
          <w:lang w:val="en-US"/>
        </w:rPr>
        <w:t xml:space="preserve">.  </w:t>
      </w:r>
      <w:r w:rsidRPr="004B5C41">
        <w:rPr>
          <w:rFonts w:cs="Times New Roman"/>
          <w:lang w:val="en-US"/>
        </w:rPr>
        <w:t>Additionally, at the municipal scale, the total number of events occurring in each municipality was analyzed based on representative variables using Leroux-type Conditional Autoregressive (CAR) models. Subsequently, it was examined how Gaussian Process classification (GP) allowed the representation of a continuous latent function, based on the geomorphological characteristics of each observation, to determine the relative probability of occurrence of an event through nonlinear relationships. The results showed that geomorphological variables have explanatory capacity regarding the occurrence of floods and that the incorporation of spatial dependence significantly improves the model fit at the municipal scale, with the Leroux model standing out. Likewise, Gaussian processes allowed nonlinear relationships between conditioning factors to be represented and relative susceptibility probabilities to be generated with good model performance. Finally, based on the results obtained, a classification model was developed aimed at the spatial representation of flood susceptibility at the departmental scale and predictive uncertainty.</w:t>
      </w:r>
    </w:p>
    <w:p w14:paraId="44C820A8" w14:textId="410A2FE5" w:rsidR="00842344" w:rsidRDefault="00577DBB" w:rsidP="005A29AC">
      <w:pPr>
        <w:autoSpaceDE w:val="0"/>
        <w:autoSpaceDN w:val="0"/>
        <w:adjustRightInd w:val="0"/>
        <w:ind w:firstLine="0"/>
        <w:rPr>
          <w:rFonts w:cs="Times New Roman"/>
          <w:lang w:val="en-US"/>
        </w:rPr>
      </w:pPr>
      <w:r w:rsidRPr="004B5C41">
        <w:rPr>
          <w:rFonts w:cs="Times New Roman"/>
          <w:b/>
          <w:lang w:val="en-US"/>
        </w:rPr>
        <w:t>Keywords:</w:t>
      </w:r>
      <w:r w:rsidRPr="004B5C41">
        <w:rPr>
          <w:rFonts w:cs="Times New Roman"/>
          <w:lang w:val="en-US"/>
        </w:rPr>
        <w:t xml:space="preserve"> </w:t>
      </w:r>
      <w:r w:rsidR="004B5C41">
        <w:rPr>
          <w:rFonts w:cs="Times New Roman"/>
          <w:lang w:val="en-US"/>
        </w:rPr>
        <w:t>Susceptibility</w:t>
      </w:r>
      <w:r w:rsidR="00264012" w:rsidRPr="004B5C41">
        <w:rPr>
          <w:rFonts w:cs="Times New Roman"/>
          <w:lang w:val="en-US"/>
        </w:rPr>
        <w:t>,</w:t>
      </w:r>
      <w:r w:rsidR="00437295" w:rsidRPr="004B5C41">
        <w:rPr>
          <w:rFonts w:cs="Times New Roman"/>
          <w:lang w:val="en-US"/>
        </w:rPr>
        <w:t xml:space="preserve"> </w:t>
      </w:r>
      <w:r w:rsidR="004B5C41">
        <w:rPr>
          <w:rFonts w:cs="Times New Roman"/>
          <w:lang w:val="en-US"/>
        </w:rPr>
        <w:t>Flood</w:t>
      </w:r>
      <w:r w:rsidR="00264012" w:rsidRPr="004B5C41">
        <w:rPr>
          <w:rFonts w:cs="Times New Roman"/>
          <w:lang w:val="en-US"/>
        </w:rPr>
        <w:t>,</w:t>
      </w:r>
      <w:r w:rsidR="00437295" w:rsidRPr="004B5C41">
        <w:rPr>
          <w:rFonts w:cs="Times New Roman"/>
          <w:lang w:val="en-US"/>
        </w:rPr>
        <w:t xml:space="preserve"> </w:t>
      </w:r>
      <w:r w:rsidR="004B5C41">
        <w:rPr>
          <w:rFonts w:cs="Times New Roman"/>
          <w:lang w:val="en-US"/>
        </w:rPr>
        <w:t>Gaussian Process</w:t>
      </w:r>
      <w:r w:rsidR="00264012" w:rsidRPr="004B5C41">
        <w:rPr>
          <w:rFonts w:cs="Times New Roman"/>
          <w:lang w:val="en-US"/>
        </w:rPr>
        <w:t>,</w:t>
      </w:r>
      <w:r w:rsidR="00437295" w:rsidRPr="004B5C41">
        <w:rPr>
          <w:rFonts w:cs="Times New Roman"/>
          <w:lang w:val="en-US"/>
        </w:rPr>
        <w:t xml:space="preserve"> </w:t>
      </w:r>
      <w:r w:rsidR="004B5C41">
        <w:rPr>
          <w:rFonts w:cs="Times New Roman"/>
          <w:lang w:val="en-US"/>
        </w:rPr>
        <w:t>CAR Model, Geomorphology, Spatial dependence.</w:t>
      </w:r>
    </w:p>
    <w:p w14:paraId="001BAEB6" w14:textId="77777777" w:rsidR="005A29AC" w:rsidRDefault="005A29AC" w:rsidP="005A29AC">
      <w:pPr>
        <w:autoSpaceDE w:val="0"/>
        <w:autoSpaceDN w:val="0"/>
        <w:adjustRightInd w:val="0"/>
        <w:ind w:firstLine="0"/>
        <w:rPr>
          <w:rFonts w:cs="Times New Roman"/>
          <w:lang w:val="en-US"/>
        </w:rPr>
      </w:pPr>
    </w:p>
    <w:p w14:paraId="523BA2DE" w14:textId="4C3267E2" w:rsidR="00D0432B" w:rsidRPr="0044253D" w:rsidRDefault="00172FE8" w:rsidP="005A29AC">
      <w:pPr>
        <w:autoSpaceDE w:val="0"/>
        <w:autoSpaceDN w:val="0"/>
        <w:adjustRightInd w:val="0"/>
        <w:ind w:firstLine="0"/>
        <w:rPr>
          <w:rFonts w:cs="Times New Roman"/>
          <w:b/>
        </w:rPr>
      </w:pPr>
      <w:r>
        <w:rPr>
          <w:rFonts w:cs="Times New Roman"/>
          <w:b/>
        </w:rPr>
        <w:t>______________________________________________________________________________________________</w:t>
      </w:r>
    </w:p>
    <w:p w14:paraId="54E408AC" w14:textId="77777777" w:rsidR="00172FE8" w:rsidRDefault="00172FE8" w:rsidP="006B5B42">
      <w:pPr>
        <w:ind w:firstLine="0"/>
        <w:rPr>
          <w:rFonts w:cs="Times New Roman"/>
        </w:rPr>
        <w:sectPr w:rsidR="00172FE8" w:rsidSect="005A29AC">
          <w:headerReference w:type="even" r:id="rId8"/>
          <w:headerReference w:type="default" r:id="rId9"/>
          <w:footerReference w:type="even" r:id="rId10"/>
          <w:footerReference w:type="default" r:id="rId11"/>
          <w:headerReference w:type="first" r:id="rId12"/>
          <w:footerReference w:type="first" r:id="rId13"/>
          <w:pgSz w:w="12240" w:h="15840"/>
          <w:pgMar w:top="1418" w:right="1418" w:bottom="1418" w:left="1418" w:header="709" w:footer="709" w:gutter="0"/>
          <w:cols w:space="708"/>
          <w:titlePg/>
          <w:docGrid w:linePitch="360"/>
        </w:sectPr>
      </w:pPr>
    </w:p>
    <w:p w14:paraId="4B2D8926" w14:textId="5AF46479" w:rsidR="002F2AFE" w:rsidRPr="004E0CD6" w:rsidRDefault="002F2AFE" w:rsidP="004E0CD6">
      <w:pPr>
        <w:pStyle w:val="Prrafodelista"/>
        <w:numPr>
          <w:ilvl w:val="0"/>
          <w:numId w:val="31"/>
        </w:numPr>
        <w:spacing w:after="160"/>
        <w:rPr>
          <w:rFonts w:cs="Times New Roman"/>
          <w:b/>
        </w:rPr>
      </w:pPr>
      <w:r w:rsidRPr="004E0CD6">
        <w:rPr>
          <w:rFonts w:cs="Times New Roman"/>
          <w:b/>
        </w:rPr>
        <w:lastRenderedPageBreak/>
        <w:t>Introducción</w:t>
      </w:r>
    </w:p>
    <w:p w14:paraId="12E36A14" w14:textId="0C3DAA3A" w:rsidR="00F46B34" w:rsidRPr="00F46B34" w:rsidRDefault="00F46B34" w:rsidP="00F46B34">
      <w:pPr>
        <w:ind w:firstLine="0"/>
        <w:rPr>
          <w:rFonts w:cs="Times New Roman"/>
        </w:rPr>
      </w:pPr>
      <w:r w:rsidRPr="00F46B34">
        <w:rPr>
          <w:rFonts w:cs="Times New Roman"/>
        </w:rPr>
        <w:t>Las inundaciones representan una de las principales amenazas, por lo que la identificación de zonas susceptibles constituye un insumo fundamental para la gestión del riesgo</w:t>
      </w:r>
      <w:r w:rsidR="00EF5DA2">
        <w:rPr>
          <w:rFonts w:cs="Times New Roman"/>
        </w:rPr>
        <w:t>, especialmente sobre aquellas poblaciones con una mayor vulnerabilidad debido a infraestructura débil o inclusive ausencia de planificación territorial</w:t>
      </w:r>
      <w:r w:rsidRPr="00F46B34">
        <w:rPr>
          <w:rFonts w:cs="Times New Roman"/>
        </w:rPr>
        <w:t xml:space="preserve">. </w:t>
      </w:r>
      <w:r w:rsidR="00E752C4">
        <w:rPr>
          <w:rFonts w:cs="Times New Roman"/>
        </w:rPr>
        <w:t xml:space="preserve">La necesidad de estimar la susceptibilidad del territorio permite la identificación de zonas </w:t>
      </w:r>
      <w:r w:rsidR="00F54BED">
        <w:rPr>
          <w:rFonts w:cs="Times New Roman"/>
        </w:rPr>
        <w:t>críticas, haciendo uso de</w:t>
      </w:r>
      <w:r w:rsidR="00E752C4">
        <w:rPr>
          <w:rFonts w:cs="Times New Roman"/>
        </w:rPr>
        <w:t xml:space="preserve"> </w:t>
      </w:r>
      <w:r w:rsidR="00F54BED">
        <w:rPr>
          <w:rFonts w:cs="Times New Roman"/>
        </w:rPr>
        <w:t xml:space="preserve">modelos espaciales basados en </w:t>
      </w:r>
      <w:r w:rsidRPr="00F46B34">
        <w:rPr>
          <w:rFonts w:cs="Times New Roman"/>
        </w:rPr>
        <w:t>la interacción de múltiples factores geomorfológicos</w:t>
      </w:r>
      <w:r w:rsidR="00F54BED">
        <w:rPr>
          <w:rFonts w:cs="Times New Roman"/>
        </w:rPr>
        <w:t>,</w:t>
      </w:r>
      <w:r w:rsidRPr="00F46B34">
        <w:rPr>
          <w:rFonts w:cs="Times New Roman"/>
        </w:rPr>
        <w:t xml:space="preserve"> topográficos</w:t>
      </w:r>
      <w:r w:rsidR="00F54BED">
        <w:rPr>
          <w:rFonts w:cs="Times New Roman"/>
        </w:rPr>
        <w:t xml:space="preserve"> y </w:t>
      </w:r>
      <w:r w:rsidR="00F8682A">
        <w:rPr>
          <w:rFonts w:cs="Times New Roman"/>
        </w:rPr>
        <w:t>atributos</w:t>
      </w:r>
      <w:r w:rsidR="00F54BED">
        <w:rPr>
          <w:rFonts w:cs="Times New Roman"/>
        </w:rPr>
        <w:t xml:space="preserve"> </w:t>
      </w:r>
      <w:r w:rsidR="00F8682A">
        <w:rPr>
          <w:rFonts w:cs="Times New Roman"/>
        </w:rPr>
        <w:t>de las</w:t>
      </w:r>
      <w:r w:rsidR="00F54BED">
        <w:rPr>
          <w:rFonts w:cs="Times New Roman"/>
        </w:rPr>
        <w:t xml:space="preserve"> cuencas hidrográficas</w:t>
      </w:r>
      <w:r w:rsidRPr="00F46B34">
        <w:rPr>
          <w:rFonts w:cs="Times New Roman"/>
        </w:rPr>
        <w:t>, cuya influencia puede variar considerablemente en territorios</w:t>
      </w:r>
      <w:r w:rsidR="0000382A">
        <w:rPr>
          <w:rFonts w:cs="Times New Roman"/>
        </w:rPr>
        <w:t xml:space="preserve"> </w:t>
      </w:r>
      <w:r w:rsidRPr="00F46B34">
        <w:rPr>
          <w:rFonts w:cs="Times New Roman"/>
        </w:rPr>
        <w:t>heterogéneos</w:t>
      </w:r>
      <w:r w:rsidR="0000382A">
        <w:rPr>
          <w:rFonts w:cs="Times New Roman"/>
        </w:rPr>
        <w:t xml:space="preserve"> como lo es</w:t>
      </w:r>
      <w:r w:rsidRPr="00F46B34">
        <w:rPr>
          <w:rFonts w:cs="Times New Roman"/>
        </w:rPr>
        <w:t xml:space="preserve"> el departamento de Antioquia.</w:t>
      </w:r>
    </w:p>
    <w:p w14:paraId="16805E86" w14:textId="637158DE" w:rsidR="00F46B34" w:rsidRPr="00F46B34" w:rsidRDefault="00F46B34" w:rsidP="00F46B34">
      <w:pPr>
        <w:ind w:firstLine="0"/>
        <w:rPr>
          <w:rFonts w:cs="Times New Roman"/>
        </w:rPr>
      </w:pPr>
      <w:r w:rsidRPr="00F46B34">
        <w:rPr>
          <w:rFonts w:cs="Times New Roman"/>
        </w:rPr>
        <w:t xml:space="preserve">Los Modelos Lineales Generalizados (GLM) permiten evaluar la relación entre variables </w:t>
      </w:r>
      <w:r w:rsidR="00361CC8">
        <w:rPr>
          <w:rFonts w:cs="Times New Roman"/>
        </w:rPr>
        <w:t>explicativas</w:t>
      </w:r>
      <w:r w:rsidRPr="00F46B34">
        <w:rPr>
          <w:rFonts w:cs="Times New Roman"/>
        </w:rPr>
        <w:t xml:space="preserve"> y la ocurrencia de inundaciones,</w:t>
      </w:r>
      <w:r w:rsidR="00F54BED">
        <w:rPr>
          <w:rFonts w:cs="Times New Roman"/>
        </w:rPr>
        <w:t xml:space="preserve"> </w:t>
      </w:r>
      <w:r w:rsidR="00361CC8">
        <w:rPr>
          <w:rFonts w:cs="Times New Roman"/>
        </w:rPr>
        <w:t>aunque</w:t>
      </w:r>
      <w:r w:rsidR="00F54BED">
        <w:rPr>
          <w:rFonts w:cs="Times New Roman"/>
        </w:rPr>
        <w:t>, muchos de los procesos requieren la incorporación de dependencias esp</w:t>
      </w:r>
      <w:r w:rsidR="00842344">
        <w:rPr>
          <w:rFonts w:cs="Times New Roman"/>
        </w:rPr>
        <w:t>a</w:t>
      </w:r>
      <w:r w:rsidR="00F54BED">
        <w:rPr>
          <w:rFonts w:cs="Times New Roman"/>
        </w:rPr>
        <w:t xml:space="preserve">ciales, </w:t>
      </w:r>
      <w:r w:rsidR="00842344">
        <w:rPr>
          <w:rFonts w:cs="Times New Roman"/>
        </w:rPr>
        <w:t>lo que motivado el uso de</w:t>
      </w:r>
      <w:r w:rsidR="00361CC8">
        <w:rPr>
          <w:rFonts w:cs="Times New Roman"/>
        </w:rPr>
        <w:t xml:space="preserve"> modelos Condicionales Autorregresivos (CAR)</w:t>
      </w:r>
      <w:r w:rsidRPr="00F46B34">
        <w:rPr>
          <w:rFonts w:cs="Times New Roman"/>
        </w:rPr>
        <w:t xml:space="preserve">. Sin embargo, estas aproximaciones pueden presentar limitaciones frente a relaciones no lineales </w:t>
      </w:r>
      <w:r w:rsidR="00361CC8">
        <w:rPr>
          <w:rFonts w:cs="Times New Roman"/>
        </w:rPr>
        <w:t xml:space="preserve">y </w:t>
      </w:r>
      <w:r w:rsidR="00842344">
        <w:rPr>
          <w:rFonts w:cs="Times New Roman"/>
        </w:rPr>
        <w:t>estructuras espaciales</w:t>
      </w:r>
      <w:r w:rsidR="00361CC8">
        <w:rPr>
          <w:rFonts w:cs="Times New Roman"/>
        </w:rPr>
        <w:t xml:space="preserve"> entre las diferentes</w:t>
      </w:r>
      <w:r w:rsidRPr="00F46B34">
        <w:rPr>
          <w:rFonts w:cs="Times New Roman"/>
        </w:rPr>
        <w:t xml:space="preserve"> observaciones. </w:t>
      </w:r>
      <w:r w:rsidR="00361CC8">
        <w:rPr>
          <w:rFonts w:cs="Times New Roman"/>
        </w:rPr>
        <w:t>Bajo este supuesto</w:t>
      </w:r>
      <w:r w:rsidRPr="00F46B34">
        <w:rPr>
          <w:rFonts w:cs="Times New Roman"/>
        </w:rPr>
        <w:t xml:space="preserve">, los Procesos Gaussianos (GP) </w:t>
      </w:r>
      <w:r w:rsidR="00361CC8">
        <w:rPr>
          <w:rFonts w:cs="Times New Roman"/>
        </w:rPr>
        <w:t xml:space="preserve">aparecen como alternativas </w:t>
      </w:r>
      <w:r w:rsidR="001A0AA6">
        <w:rPr>
          <w:rFonts w:cs="Times New Roman"/>
        </w:rPr>
        <w:t xml:space="preserve">importantes para describir procesos físicos complejos y </w:t>
      </w:r>
      <w:r w:rsidRPr="00F46B34">
        <w:rPr>
          <w:rFonts w:cs="Times New Roman"/>
        </w:rPr>
        <w:t xml:space="preserve">constituyen una alternativa </w:t>
      </w:r>
      <w:r w:rsidR="001A0AA6">
        <w:rPr>
          <w:rFonts w:cs="Times New Roman"/>
        </w:rPr>
        <w:t>que permite representar</w:t>
      </w:r>
      <w:r w:rsidRPr="00F46B34">
        <w:rPr>
          <w:rFonts w:cs="Times New Roman"/>
        </w:rPr>
        <w:t xml:space="preserve"> la susceptibilidad mediante una función latente continua</w:t>
      </w:r>
      <w:r w:rsidR="001A0AA6">
        <w:rPr>
          <w:rFonts w:cs="Times New Roman"/>
        </w:rPr>
        <w:t xml:space="preserve"> </w:t>
      </w:r>
      <w:r w:rsidR="00842344">
        <w:rPr>
          <w:rFonts w:cs="Times New Roman"/>
        </w:rPr>
        <w:t>con base en</w:t>
      </w:r>
      <w:r w:rsidR="001A0AA6">
        <w:rPr>
          <w:rFonts w:cs="Times New Roman"/>
        </w:rPr>
        <w:t xml:space="preserve"> las características morfológicas.</w:t>
      </w:r>
    </w:p>
    <w:p w14:paraId="642396A0" w14:textId="005F5879" w:rsidR="005A29AC" w:rsidRPr="006B5B42" w:rsidRDefault="00F46B34" w:rsidP="00F46B34">
      <w:pPr>
        <w:ind w:firstLine="0"/>
        <w:rPr>
          <w:rFonts w:cs="Times New Roman"/>
        </w:rPr>
      </w:pPr>
      <w:r w:rsidRPr="00F46B34">
        <w:rPr>
          <w:rFonts w:cs="Times New Roman"/>
        </w:rPr>
        <w:t xml:space="preserve">Este estudio evalúa la susceptibilidad a inundaciones en Antioquia a partir de inventarios históricos, variables morfométricas y atributos generales de las cuencas. Se </w:t>
      </w:r>
      <w:r w:rsidR="001A0AA6">
        <w:rPr>
          <w:rFonts w:cs="Times New Roman"/>
        </w:rPr>
        <w:t>calibraron</w:t>
      </w:r>
      <w:r w:rsidRPr="00F46B34">
        <w:rPr>
          <w:rFonts w:cs="Times New Roman"/>
        </w:rPr>
        <w:t xml:space="preserve"> modelos </w:t>
      </w:r>
      <w:r w:rsidR="0000382A">
        <w:rPr>
          <w:rFonts w:cs="Times New Roman"/>
        </w:rPr>
        <w:t>GL</w:t>
      </w:r>
      <w:r w:rsidR="00842344">
        <w:rPr>
          <w:rFonts w:cs="Times New Roman"/>
        </w:rPr>
        <w:t>M</w:t>
      </w:r>
      <w:r w:rsidR="0000382A">
        <w:rPr>
          <w:rFonts w:cs="Times New Roman"/>
        </w:rPr>
        <w:t xml:space="preserve"> Binomial, </w:t>
      </w:r>
      <w:r w:rsidRPr="00F46B34">
        <w:rPr>
          <w:rFonts w:cs="Times New Roman"/>
        </w:rPr>
        <w:t>C</w:t>
      </w:r>
      <w:r w:rsidR="001A0AA6">
        <w:rPr>
          <w:rFonts w:cs="Times New Roman"/>
        </w:rPr>
        <w:t>AR</w:t>
      </w:r>
      <w:r w:rsidRPr="00F46B34">
        <w:rPr>
          <w:rFonts w:cs="Times New Roman"/>
        </w:rPr>
        <w:t xml:space="preserve"> de tipo Leroux a escala municipal y </w:t>
      </w:r>
      <w:r w:rsidR="001A0AA6">
        <w:rPr>
          <w:rFonts w:cs="Times New Roman"/>
        </w:rPr>
        <w:t>GP</w:t>
      </w:r>
      <w:r w:rsidRPr="00F46B34">
        <w:rPr>
          <w:rFonts w:cs="Times New Roman"/>
        </w:rPr>
        <w:t xml:space="preserve"> de clasificación, con el propósito de analizar la influencia de los factores geomorfológicos, la dependencia espacial y las relaciones no lineales en la ocurrencia de inundaciones, y generar una representación departamental de la susceptibilidad y su incertidumbre asociada.</w:t>
      </w:r>
    </w:p>
    <w:p w14:paraId="010675BB" w14:textId="5FEDA755" w:rsidR="00E0769C" w:rsidRDefault="004E0CD6" w:rsidP="004E0CD6">
      <w:pPr>
        <w:pStyle w:val="Prrafodelista"/>
        <w:numPr>
          <w:ilvl w:val="0"/>
          <w:numId w:val="31"/>
        </w:numPr>
        <w:rPr>
          <w:rFonts w:cs="Times New Roman"/>
          <w:b/>
        </w:rPr>
      </w:pPr>
      <w:r w:rsidRPr="004E0CD6">
        <w:rPr>
          <w:rFonts w:cs="Times New Roman"/>
          <w:b/>
        </w:rPr>
        <w:t>Métodos</w:t>
      </w:r>
    </w:p>
    <w:p w14:paraId="1DFAE864" w14:textId="3851576C" w:rsidR="004E0CD6" w:rsidRPr="004E0CD6" w:rsidRDefault="004E0CD6" w:rsidP="004E0CD6">
      <w:pPr>
        <w:pStyle w:val="Prrafodelista"/>
        <w:numPr>
          <w:ilvl w:val="1"/>
          <w:numId w:val="31"/>
        </w:numPr>
        <w:rPr>
          <w:rFonts w:cs="Times New Roman"/>
          <w:b/>
          <w:i/>
          <w:iCs/>
        </w:rPr>
      </w:pPr>
      <w:r w:rsidRPr="004E0CD6">
        <w:rPr>
          <w:rFonts w:cs="Times New Roman"/>
          <w:b/>
          <w:i/>
          <w:iCs/>
        </w:rPr>
        <w:t>Área de estudio</w:t>
      </w:r>
    </w:p>
    <w:p w14:paraId="11A25306" w14:textId="38E09E9B" w:rsidR="005D0D5A" w:rsidRDefault="00842344" w:rsidP="005D0D5A">
      <w:pPr>
        <w:ind w:firstLine="0"/>
        <w:rPr>
          <w:rFonts w:cs="Times New Roman"/>
        </w:rPr>
      </w:pPr>
      <w:r w:rsidRPr="00842344">
        <w:rPr>
          <w:rFonts w:cs="Times New Roman"/>
        </w:rPr>
        <w:t>El área de estudio corresponde al departamento de Antioquia, Colombia, definido a partir de la cobertura espacial de los inventarios</w:t>
      </w:r>
      <w:r>
        <w:rPr>
          <w:rFonts w:cs="Times New Roman"/>
        </w:rPr>
        <w:t>.</w:t>
      </w:r>
    </w:p>
    <w:p w14:paraId="66A5A206" w14:textId="4A44533C" w:rsidR="005D0D5A" w:rsidRPr="005D0D5A" w:rsidRDefault="005D0D5A" w:rsidP="005D0D5A">
      <w:pPr>
        <w:pStyle w:val="Prrafodelista"/>
        <w:numPr>
          <w:ilvl w:val="1"/>
          <w:numId w:val="31"/>
        </w:numPr>
        <w:rPr>
          <w:rFonts w:cs="Times New Roman"/>
          <w:b/>
          <w:bCs/>
          <w:i/>
          <w:iCs/>
        </w:rPr>
      </w:pPr>
      <w:r w:rsidRPr="005D0D5A">
        <w:rPr>
          <w:rFonts w:cs="Times New Roman"/>
          <w:b/>
          <w:bCs/>
          <w:i/>
          <w:iCs/>
        </w:rPr>
        <w:t>Datos</w:t>
      </w:r>
    </w:p>
    <w:p w14:paraId="5D6C0A93" w14:textId="1ED91598" w:rsidR="005D0D5A" w:rsidRDefault="005D0D5A" w:rsidP="005D0D5A">
      <w:pPr>
        <w:ind w:firstLine="0"/>
        <w:rPr>
          <w:rFonts w:cs="Times New Roman"/>
        </w:rPr>
      </w:pPr>
      <w:r>
        <w:rPr>
          <w:rFonts w:cs="Times New Roman"/>
        </w:rPr>
        <w:t>La información empleada en el presente estudio se describe a continuación:</w:t>
      </w:r>
    </w:p>
    <w:p w14:paraId="62B4B1DC" w14:textId="01C647F3" w:rsidR="005D0D5A" w:rsidRDefault="005D0D5A" w:rsidP="005D0D5A">
      <w:pPr>
        <w:pStyle w:val="Prrafodelista"/>
        <w:numPr>
          <w:ilvl w:val="2"/>
          <w:numId w:val="31"/>
        </w:numPr>
        <w:rPr>
          <w:rFonts w:cs="Times New Roman"/>
          <w:b/>
          <w:bCs/>
          <w:i/>
          <w:iCs/>
        </w:rPr>
      </w:pPr>
      <w:r w:rsidRPr="005D0D5A">
        <w:rPr>
          <w:rFonts w:cs="Times New Roman"/>
          <w:b/>
          <w:bCs/>
          <w:i/>
          <w:iCs/>
        </w:rPr>
        <w:t>Eventos de Inundación</w:t>
      </w:r>
    </w:p>
    <w:p w14:paraId="08AFC6BC" w14:textId="18E79A9E" w:rsidR="007349C8" w:rsidRDefault="005D0D5A" w:rsidP="005D0D5A">
      <w:pPr>
        <w:ind w:firstLine="0"/>
        <w:rPr>
          <w:rFonts w:cs="Times New Roman"/>
        </w:rPr>
      </w:pPr>
      <w:r>
        <w:rPr>
          <w:rFonts w:cs="Times New Roman"/>
        </w:rPr>
        <w:t>El inventario de eventos de inundación se construyó con la base de datos perteneciente al DAGRAN</w:t>
      </w:r>
      <w:r w:rsidR="00BD329E">
        <w:rPr>
          <w:rFonts w:cs="Times New Roman"/>
        </w:rPr>
        <w:t xml:space="preserve"> </w:t>
      </w:r>
      <w:sdt>
        <w:sdtPr>
          <w:rPr>
            <w:rFonts w:cs="Times New Roman"/>
          </w:rPr>
          <w:id w:val="-1260974788"/>
          <w:citation/>
        </w:sdtPr>
        <w:sdtContent>
          <w:r w:rsidR="00BD329E">
            <w:rPr>
              <w:rFonts w:cs="Times New Roman"/>
            </w:rPr>
            <w:fldChar w:fldCharType="begin"/>
          </w:r>
          <w:r w:rsidR="00BD329E">
            <w:rPr>
              <w:rFonts w:cs="Times New Roman"/>
            </w:rPr>
            <w:instrText xml:space="preserve"> CITATION Dep21 \l 9226 </w:instrText>
          </w:r>
          <w:r w:rsidR="00BD329E">
            <w:rPr>
              <w:rFonts w:cs="Times New Roman"/>
            </w:rPr>
            <w:fldChar w:fldCharType="separate"/>
          </w:r>
          <w:r w:rsidR="00BD329E" w:rsidRPr="00BD329E">
            <w:rPr>
              <w:rFonts w:cs="Times New Roman"/>
              <w:noProof/>
            </w:rPr>
            <w:t xml:space="preserve">(Departamento Administrativo de Gestión del Riesgo de </w:t>
          </w:r>
          <w:r w:rsidR="00BD329E" w:rsidRPr="00BD329E">
            <w:rPr>
              <w:rFonts w:cs="Times New Roman"/>
              <w:noProof/>
            </w:rPr>
            <w:t>Desastres de Antioquia (DAGRAN), 2021)</w:t>
          </w:r>
          <w:r w:rsidR="00BD329E">
            <w:rPr>
              <w:rFonts w:cs="Times New Roman"/>
            </w:rPr>
            <w:fldChar w:fldCharType="end"/>
          </w:r>
        </w:sdtContent>
      </w:sdt>
      <w:r>
        <w:rPr>
          <w:rFonts w:cs="Times New Roman"/>
        </w:rPr>
        <w:t>, el cual cuenta con registros desde el año 1922 hasta el año 2021</w:t>
      </w:r>
      <w:r w:rsidR="002B20CE">
        <w:rPr>
          <w:rFonts w:cs="Times New Roman"/>
        </w:rPr>
        <w:t>.  Por otro lado, se accedió a la base de datos de eventos de inundación publicados por el grupo GEOHAZARD</w:t>
      </w:r>
      <w:r w:rsidR="00BD329E">
        <w:rPr>
          <w:rFonts w:cs="Times New Roman"/>
        </w:rPr>
        <w:t xml:space="preserve"> </w:t>
      </w:r>
      <w:sdt>
        <w:sdtPr>
          <w:rPr>
            <w:rFonts w:cs="Times New Roman"/>
          </w:rPr>
          <w:id w:val="1136915904"/>
          <w:citation/>
        </w:sdtPr>
        <w:sdtContent>
          <w:r w:rsidR="00BD329E">
            <w:rPr>
              <w:rFonts w:cs="Times New Roman"/>
            </w:rPr>
            <w:fldChar w:fldCharType="begin"/>
          </w:r>
          <w:r w:rsidR="00BD329E">
            <w:rPr>
              <w:rFonts w:cs="Times New Roman"/>
            </w:rPr>
            <w:instrText xml:space="preserve"> CITATION GEO26 \l 9226 </w:instrText>
          </w:r>
          <w:r w:rsidR="00BD329E">
            <w:rPr>
              <w:rFonts w:cs="Times New Roman"/>
            </w:rPr>
            <w:fldChar w:fldCharType="separate"/>
          </w:r>
          <w:r w:rsidR="00BD329E" w:rsidRPr="00BD329E">
            <w:rPr>
              <w:rFonts w:cs="Times New Roman"/>
              <w:noProof/>
            </w:rPr>
            <w:t>(GEOHAZARD UNAL, 2026)</w:t>
          </w:r>
          <w:r w:rsidR="00BD329E">
            <w:rPr>
              <w:rFonts w:cs="Times New Roman"/>
            </w:rPr>
            <w:fldChar w:fldCharType="end"/>
          </w:r>
        </w:sdtContent>
      </w:sdt>
      <w:r w:rsidR="002B20CE">
        <w:rPr>
          <w:rFonts w:cs="Times New Roman"/>
        </w:rPr>
        <w:t xml:space="preserve">, de la cual se extrajeron únicamente aquellos eventos asociados a inundaciones.  </w:t>
      </w:r>
      <w:r w:rsidR="00956C46">
        <w:rPr>
          <w:rFonts w:cs="Times New Roman"/>
        </w:rPr>
        <w:t>S</w:t>
      </w:r>
      <w:r w:rsidR="002B20CE">
        <w:rPr>
          <w:rFonts w:cs="Times New Roman"/>
        </w:rPr>
        <w:t xml:space="preserve">e </w:t>
      </w:r>
      <w:r w:rsidR="00842344">
        <w:rPr>
          <w:rFonts w:cs="Times New Roman"/>
        </w:rPr>
        <w:t>realizó</w:t>
      </w:r>
      <w:r w:rsidR="002B20CE">
        <w:rPr>
          <w:rFonts w:cs="Times New Roman"/>
        </w:rPr>
        <w:t xml:space="preserve"> un filtrado de información, considerando datos posteriores al año 2002 debido a la disponibilidad de los demás insumos,</w:t>
      </w:r>
      <w:r w:rsidR="00842344">
        <w:rPr>
          <w:rFonts w:cs="Times New Roman"/>
        </w:rPr>
        <w:t xml:space="preserve"> </w:t>
      </w:r>
      <w:r w:rsidR="00842344" w:rsidRPr="00842344">
        <w:rPr>
          <w:rFonts w:cs="Times New Roman"/>
        </w:rPr>
        <w:t>se verificaron las coordenadas y se eliminaron posibles registros duplicados entre las fuentes</w:t>
      </w:r>
      <w:r w:rsidR="007349C8">
        <w:rPr>
          <w:rFonts w:cs="Times New Roman"/>
        </w:rPr>
        <w:t xml:space="preserve">.  Este proceso arrojó un total de 1073 eventos en total </w:t>
      </w:r>
      <w:r w:rsidR="00842344">
        <w:rPr>
          <w:rFonts w:cs="Times New Roman"/>
        </w:rPr>
        <w:t>provenientes</w:t>
      </w:r>
      <w:r w:rsidR="007349C8">
        <w:rPr>
          <w:rFonts w:cs="Times New Roman"/>
        </w:rPr>
        <w:t xml:space="preserve"> a la base del DAGRAN y 197 eventos registrados por GEOHAZARD.</w:t>
      </w:r>
    </w:p>
    <w:p w14:paraId="5F83EB09" w14:textId="77777777" w:rsidR="007349C8" w:rsidRDefault="007349C8" w:rsidP="00956C46">
      <w:pPr>
        <w:keepNext/>
        <w:ind w:firstLine="0"/>
        <w:jc w:val="center"/>
      </w:pPr>
      <w:r>
        <w:rPr>
          <w:noProof/>
        </w:rPr>
        <w:drawing>
          <wp:inline distT="0" distB="0" distL="0" distR="0" wp14:anchorId="4D377F47" wp14:editId="43D2838B">
            <wp:extent cx="2527078" cy="2499360"/>
            <wp:effectExtent l="0" t="0" r="6985" b="0"/>
            <wp:docPr id="7199707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406"/>
                    <a:stretch>
                      <a:fillRect/>
                    </a:stretch>
                  </pic:blipFill>
                  <pic:spPr bwMode="auto">
                    <a:xfrm>
                      <a:off x="0" y="0"/>
                      <a:ext cx="2535732" cy="2507919"/>
                    </a:xfrm>
                    <a:prstGeom prst="rect">
                      <a:avLst/>
                    </a:prstGeom>
                    <a:noFill/>
                    <a:ln>
                      <a:noFill/>
                    </a:ln>
                    <a:extLst>
                      <a:ext uri="{53640926-AAD7-44D8-BBD7-CCE9431645EC}">
                        <a14:shadowObscured xmlns:a14="http://schemas.microsoft.com/office/drawing/2010/main"/>
                      </a:ext>
                    </a:extLst>
                  </pic:spPr>
                </pic:pic>
              </a:graphicData>
            </a:graphic>
          </wp:inline>
        </w:drawing>
      </w:r>
    </w:p>
    <w:p w14:paraId="6D99EEFF" w14:textId="3D47DCA1" w:rsidR="007349C8" w:rsidRDefault="007349C8" w:rsidP="007349C8">
      <w:pPr>
        <w:pStyle w:val="Cita"/>
      </w:pPr>
      <w:r>
        <w:t>Figura </w:t>
      </w:r>
      <w:fldSimple w:instr=" SEQ Figura \* ARABIC ">
        <w:r w:rsidR="003A6A3C">
          <w:rPr>
            <w:noProof/>
          </w:rPr>
          <w:t>1</w:t>
        </w:r>
      </w:fldSimple>
      <w:r>
        <w:t>.  Eventos de inundación en Antioquia.</w:t>
      </w:r>
    </w:p>
    <w:p w14:paraId="5D70A3E2" w14:textId="77EC9AE6" w:rsidR="00956C46" w:rsidRDefault="00956C46" w:rsidP="00956C46">
      <w:pPr>
        <w:pStyle w:val="Prrafodelista"/>
        <w:numPr>
          <w:ilvl w:val="2"/>
          <w:numId w:val="31"/>
        </w:numPr>
        <w:rPr>
          <w:rFonts w:cs="Times New Roman"/>
          <w:b/>
          <w:bCs/>
          <w:i/>
          <w:iCs/>
        </w:rPr>
      </w:pPr>
      <w:r>
        <w:rPr>
          <w:rFonts w:cs="Times New Roman"/>
          <w:b/>
          <w:bCs/>
          <w:i/>
          <w:iCs/>
        </w:rPr>
        <w:t>Municipios</w:t>
      </w:r>
    </w:p>
    <w:p w14:paraId="4374EA0E" w14:textId="723A7938" w:rsidR="00956C46" w:rsidRDefault="00660DA2" w:rsidP="00956C46">
      <w:pPr>
        <w:ind w:firstLine="0"/>
      </w:pPr>
      <w:r>
        <w:t>Se</w:t>
      </w:r>
      <w:r w:rsidR="00956C46">
        <w:t xml:space="preserve"> estudiaron las correlaciones entre los eventos de inundaciones y los municipios de Antioquia</w:t>
      </w:r>
    </w:p>
    <w:p w14:paraId="1F1CE67B" w14:textId="77777777" w:rsidR="00AD6289" w:rsidRDefault="00AD6289" w:rsidP="00AD6289">
      <w:pPr>
        <w:ind w:firstLine="0"/>
        <w:jc w:val="center"/>
      </w:pPr>
      <w:r w:rsidRPr="00956C46">
        <w:rPr>
          <w:noProof/>
        </w:rPr>
        <w:drawing>
          <wp:inline distT="0" distB="0" distL="0" distR="0" wp14:anchorId="716E6C41" wp14:editId="3069D863">
            <wp:extent cx="2368904" cy="2341880"/>
            <wp:effectExtent l="0" t="0" r="0" b="1270"/>
            <wp:docPr id="532051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51110" name=""/>
                    <pic:cNvPicPr/>
                  </pic:nvPicPr>
                  <pic:blipFill rotWithShape="1">
                    <a:blip r:embed="rId15"/>
                    <a:srcRect t="3407"/>
                    <a:stretch>
                      <a:fillRect/>
                    </a:stretch>
                  </pic:blipFill>
                  <pic:spPr bwMode="auto">
                    <a:xfrm>
                      <a:off x="0" y="0"/>
                      <a:ext cx="2378192" cy="2351062"/>
                    </a:xfrm>
                    <a:prstGeom prst="rect">
                      <a:avLst/>
                    </a:prstGeom>
                    <a:ln>
                      <a:noFill/>
                    </a:ln>
                    <a:extLst>
                      <a:ext uri="{53640926-AAD7-44D8-BBD7-CCE9431645EC}">
                        <a14:shadowObscured xmlns:a14="http://schemas.microsoft.com/office/drawing/2010/main"/>
                      </a:ext>
                    </a:extLst>
                  </pic:spPr>
                </pic:pic>
              </a:graphicData>
            </a:graphic>
          </wp:inline>
        </w:drawing>
      </w:r>
    </w:p>
    <w:p w14:paraId="32C2ACDD" w14:textId="19899591" w:rsidR="00AD6289" w:rsidRDefault="00AD6289" w:rsidP="00AD6289">
      <w:pPr>
        <w:pStyle w:val="Cita"/>
      </w:pPr>
      <w:r>
        <w:t>Figura </w:t>
      </w:r>
      <w:fldSimple w:instr=" SEQ Figura \* ARABIC ">
        <w:r w:rsidR="003A6A3C">
          <w:rPr>
            <w:noProof/>
          </w:rPr>
          <w:t>2</w:t>
        </w:r>
      </w:fldSimple>
      <w:r>
        <w:t>.  Municipios de Antioquia.</w:t>
      </w:r>
    </w:p>
    <w:p w14:paraId="7D040ABD" w14:textId="77777777" w:rsidR="00AD6289" w:rsidRDefault="00AD6289" w:rsidP="00AD6289">
      <w:pPr>
        <w:ind w:firstLine="0"/>
      </w:pPr>
    </w:p>
    <w:p w14:paraId="2739BC85" w14:textId="2093AAC6" w:rsidR="00B21BA4" w:rsidRPr="00B21BA4" w:rsidRDefault="00B21BA4" w:rsidP="00B21BA4">
      <w:pPr>
        <w:pStyle w:val="Prrafodelista"/>
        <w:numPr>
          <w:ilvl w:val="2"/>
          <w:numId w:val="31"/>
        </w:numPr>
        <w:rPr>
          <w:rFonts w:cs="Times New Roman"/>
          <w:b/>
          <w:bCs/>
          <w:i/>
          <w:iCs/>
        </w:rPr>
      </w:pPr>
      <w:r w:rsidRPr="00B21BA4">
        <w:rPr>
          <w:rFonts w:cs="Times New Roman"/>
          <w:b/>
          <w:bCs/>
          <w:i/>
          <w:iCs/>
        </w:rPr>
        <w:lastRenderedPageBreak/>
        <w:t>Modelo Digital de Elevación (MDE)</w:t>
      </w:r>
    </w:p>
    <w:p w14:paraId="6D01EF83" w14:textId="206A4B50" w:rsidR="00B21BA4" w:rsidRDefault="00B21BA4" w:rsidP="00B21BA4">
      <w:pPr>
        <w:ind w:firstLine="0"/>
      </w:pPr>
      <w:r w:rsidRPr="00660DA2">
        <w:t xml:space="preserve">La </w:t>
      </w:r>
      <w:proofErr w:type="spellStart"/>
      <w:r w:rsidRPr="00660DA2">
        <w:t>Agência</w:t>
      </w:r>
      <w:proofErr w:type="spellEnd"/>
      <w:r w:rsidRPr="00660DA2">
        <w:t xml:space="preserve"> Nacional de Águas DEM (ANADEM) desarroll</w:t>
      </w:r>
      <w:r>
        <w:t>ó</w:t>
      </w:r>
      <w:r w:rsidRPr="00660DA2">
        <w:t xml:space="preserve"> para </w:t>
      </w:r>
      <w:r w:rsidR="00842344" w:rsidRPr="00660DA2">
        <w:t>América</w:t>
      </w:r>
      <w:r w:rsidRPr="00660DA2">
        <w:t xml:space="preserve"> del Sur</w:t>
      </w:r>
      <w:r>
        <w:t xml:space="preserve"> un producto satelital</w:t>
      </w:r>
      <w:r w:rsidRPr="00660DA2">
        <w:t xml:space="preserve"> </w:t>
      </w:r>
      <w:r>
        <w:t>mediante</w:t>
      </w:r>
      <w:r w:rsidRPr="00660DA2">
        <w:t xml:space="preserve"> el Instituto de Pesquisas Hidráulicas de la Universidad Federal do Río Grando do Sul en 2024</w:t>
      </w:r>
      <w:r>
        <w:t>.  Se basó</w:t>
      </w:r>
      <w:r w:rsidRPr="00660DA2">
        <w:t xml:space="preserve"> en el sensor Copernicus DEM GLO-30</w:t>
      </w:r>
      <w:r>
        <w:t>, al cual se aplicaron</w:t>
      </w:r>
      <w:r w:rsidRPr="00660DA2">
        <w:t xml:space="preserve"> corrección de sesgos por vegetación empleando Machine </w:t>
      </w:r>
      <w:proofErr w:type="spellStart"/>
      <w:r w:rsidRPr="00660DA2">
        <w:t>Learning</w:t>
      </w:r>
      <w:proofErr w:type="spellEnd"/>
      <w:r w:rsidRPr="00660DA2">
        <w:t xml:space="preserve">, datos del GEDI y </w:t>
      </w:r>
      <w:r w:rsidR="00842344">
        <w:t xml:space="preserve">derivado de datos satelitales </w:t>
      </w:r>
      <w:r w:rsidRPr="00660DA2">
        <w:t>de sensores remotos multiespectrales</w:t>
      </w:r>
      <w:r>
        <w:t>. Este producto cuenta con una resolución espacial de aproximadamente 30 m</w:t>
      </w:r>
      <w:r w:rsidRPr="00660DA2">
        <w:t xml:space="preserve"> </w:t>
      </w:r>
      <w:r w:rsidR="00BD329E">
        <w:rPr>
          <w:noProof/>
        </w:rPr>
        <w:t>(Laipelt et. al., 2024)</w:t>
      </w:r>
    </w:p>
    <w:p w14:paraId="6BB762EB" w14:textId="77777777" w:rsidR="00B21BA4" w:rsidRDefault="00B21BA4" w:rsidP="00B21BA4">
      <w:pPr>
        <w:keepNext/>
        <w:ind w:firstLine="0"/>
      </w:pPr>
      <w:r w:rsidRPr="00AD6289">
        <w:rPr>
          <w:noProof/>
        </w:rPr>
        <w:drawing>
          <wp:inline distT="0" distB="0" distL="0" distR="0" wp14:anchorId="35440776" wp14:editId="4A9F1D69">
            <wp:extent cx="2895600" cy="2614658"/>
            <wp:effectExtent l="0" t="0" r="0" b="0"/>
            <wp:docPr id="502790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90437" name="Imagen 1"/>
                    <pic:cNvPicPr/>
                  </pic:nvPicPr>
                  <pic:blipFill rotWithShape="1">
                    <a:blip r:embed="rId16" cstate="print">
                      <a:extLst>
                        <a:ext uri="{28A0092B-C50C-407E-A947-70E740481C1C}">
                          <a14:useLocalDpi xmlns:a14="http://schemas.microsoft.com/office/drawing/2010/main" val="0"/>
                        </a:ext>
                      </a:extLst>
                    </a:blip>
                    <a:srcRect l="718" t="2865" r="-718" b="689"/>
                    <a:stretch>
                      <a:fillRect/>
                    </a:stretch>
                  </pic:blipFill>
                  <pic:spPr bwMode="auto">
                    <a:xfrm>
                      <a:off x="0" y="0"/>
                      <a:ext cx="2895600" cy="2614658"/>
                    </a:xfrm>
                    <a:prstGeom prst="rect">
                      <a:avLst/>
                    </a:prstGeom>
                    <a:ln>
                      <a:noFill/>
                    </a:ln>
                    <a:extLst>
                      <a:ext uri="{53640926-AAD7-44D8-BBD7-CCE9431645EC}">
                        <a14:shadowObscured xmlns:a14="http://schemas.microsoft.com/office/drawing/2010/main"/>
                      </a:ext>
                    </a:extLst>
                  </pic:spPr>
                </pic:pic>
              </a:graphicData>
            </a:graphic>
          </wp:inline>
        </w:drawing>
      </w:r>
    </w:p>
    <w:p w14:paraId="755ABE50" w14:textId="24AD4E62" w:rsidR="00B21BA4" w:rsidRDefault="00B21BA4" w:rsidP="00B21BA4">
      <w:pPr>
        <w:pStyle w:val="Cita"/>
      </w:pPr>
      <w:r>
        <w:t>Figura </w:t>
      </w:r>
      <w:fldSimple w:instr=" SEQ Figura \* ARABIC ">
        <w:r w:rsidR="003A6A3C">
          <w:rPr>
            <w:noProof/>
          </w:rPr>
          <w:t>3</w:t>
        </w:r>
      </w:fldSimple>
      <w:r>
        <w:t xml:space="preserve">. Modelo Digital de Elevación para el departamento de Antioquia </w:t>
      </w:r>
    </w:p>
    <w:p w14:paraId="7E4E7371" w14:textId="1DAC5FAF" w:rsidR="00B21BA4" w:rsidRDefault="00B21BA4" w:rsidP="00B21BA4">
      <w:pPr>
        <w:pStyle w:val="Prrafodelista"/>
        <w:numPr>
          <w:ilvl w:val="2"/>
          <w:numId w:val="31"/>
        </w:numPr>
        <w:rPr>
          <w:rFonts w:cs="Times New Roman"/>
          <w:b/>
          <w:bCs/>
          <w:i/>
          <w:iCs/>
        </w:rPr>
      </w:pPr>
      <w:r w:rsidRPr="00B21BA4">
        <w:rPr>
          <w:rFonts w:cs="Times New Roman"/>
          <w:b/>
          <w:bCs/>
          <w:i/>
          <w:iCs/>
        </w:rPr>
        <w:t>Índice de Área Foliar (LAI)</w:t>
      </w:r>
    </w:p>
    <w:p w14:paraId="22AFA3D3" w14:textId="096F7B81" w:rsidR="00B21BA4" w:rsidRDefault="00B21BA4" w:rsidP="00B21BA4">
      <w:pPr>
        <w:ind w:firstLine="0"/>
      </w:pPr>
      <w:r w:rsidRPr="00AD6289">
        <w:t>El Índice de Área Foliar (LAI) corresponde a una variable biofísica que expresa la cantidad de superficie foliar presente por unidad de área del terreno</w:t>
      </w:r>
      <w:r>
        <w:t>. S</w:t>
      </w:r>
      <w:r w:rsidRPr="00AD6289">
        <w:t xml:space="preserve">e obtuvo del producto satelital MCD15A3H de MODIS, derivado de observaciones de sensores </w:t>
      </w:r>
      <w:r>
        <w:t xml:space="preserve">de los </w:t>
      </w:r>
      <w:r w:rsidRPr="00AD6289">
        <w:t xml:space="preserve">satélites Terra y Aqua. Este producto presenta una resolución espacial de 500 m </w:t>
      </w:r>
      <w:r>
        <w:t>con imágenes recolectadas aproximadamente cada</w:t>
      </w:r>
      <w:r w:rsidRPr="00AD6289">
        <w:t xml:space="preserve"> </w:t>
      </w:r>
      <w:r>
        <w:t>7</w:t>
      </w:r>
      <w:r w:rsidRPr="00AD6289">
        <w:t xml:space="preserve"> días, y permite representar la densidad de la cobertura vegetal</w:t>
      </w:r>
      <w:r>
        <w:t xml:space="preserve">, siendo usado frecuentemente en la </w:t>
      </w:r>
      <w:r w:rsidRPr="00AD6289">
        <w:t>regulación hidrológica de la cuenca.</w:t>
      </w:r>
      <w:r>
        <w:t xml:space="preserve"> Esta información está disponible desde </w:t>
      </w:r>
      <w:r w:rsidR="006E6F64">
        <w:t>el</w:t>
      </w:r>
      <w:r>
        <w:t xml:space="preserve"> año 2002 hasta la actualidad, por lo que se descargó una </w:t>
      </w:r>
      <w:proofErr w:type="spellStart"/>
      <w:r>
        <w:t>una</w:t>
      </w:r>
      <w:proofErr w:type="spellEnd"/>
      <w:r>
        <w:t xml:space="preserve"> imagen por mes y finalmente se construyó un mapa medio multianual entre el año 2002 </w:t>
      </w:r>
      <w:r w:rsidR="006E6F64">
        <w:t>y</w:t>
      </w:r>
      <w:r>
        <w:t xml:space="preserve"> 2026</w:t>
      </w:r>
      <w:r w:rsidR="002205AD">
        <w:t xml:space="preserve"> </w:t>
      </w:r>
      <w:sdt>
        <w:sdtPr>
          <w:id w:val="-157239714"/>
          <w:citation/>
        </w:sdtPr>
        <w:sdtContent>
          <w:r w:rsidR="002205AD">
            <w:fldChar w:fldCharType="begin"/>
          </w:r>
          <w:r w:rsidR="002205AD">
            <w:instrText xml:space="preserve"> CITATION Nat26 \l 9226 </w:instrText>
          </w:r>
          <w:r w:rsidR="002205AD">
            <w:fldChar w:fldCharType="separate"/>
          </w:r>
          <w:r w:rsidR="002205AD">
            <w:rPr>
              <w:noProof/>
            </w:rPr>
            <w:t>(National Aeronautics and Space Administration (NASA), 2026)</w:t>
          </w:r>
          <w:r w:rsidR="002205AD">
            <w:fldChar w:fldCharType="end"/>
          </w:r>
        </w:sdtContent>
      </w:sdt>
    </w:p>
    <w:p w14:paraId="28F92B3B" w14:textId="27EEE1A1" w:rsidR="001E6D9E" w:rsidRPr="001E6D9E" w:rsidRDefault="001E6D9E" w:rsidP="001E6D9E">
      <w:pPr>
        <w:pStyle w:val="Prrafodelista"/>
        <w:numPr>
          <w:ilvl w:val="2"/>
          <w:numId w:val="31"/>
        </w:numPr>
        <w:rPr>
          <w:rFonts w:cs="Times New Roman"/>
          <w:b/>
          <w:bCs/>
          <w:i/>
          <w:iCs/>
        </w:rPr>
      </w:pPr>
      <w:r w:rsidRPr="001E6D9E">
        <w:rPr>
          <w:rFonts w:cs="Times New Roman"/>
          <w:b/>
          <w:bCs/>
          <w:i/>
          <w:iCs/>
        </w:rPr>
        <w:t>Eventos de no inundación</w:t>
      </w:r>
    </w:p>
    <w:p w14:paraId="073C46A0" w14:textId="58DCA878" w:rsidR="001E6D9E" w:rsidRDefault="001E6D9E" w:rsidP="001E6D9E">
      <w:pPr>
        <w:ind w:firstLine="0"/>
      </w:pPr>
      <w:r>
        <w:t>Se</w:t>
      </w:r>
      <w:r w:rsidR="006E6F64">
        <w:t xml:space="preserve"> generó</w:t>
      </w:r>
      <w:r>
        <w:t xml:space="preserve"> una segunda base de datos </w:t>
      </w:r>
      <w:r w:rsidR="006E6F64">
        <w:t xml:space="preserve">conformada por </w:t>
      </w:r>
      <w:r>
        <w:t>1270 puntos</w:t>
      </w:r>
      <w:r w:rsidR="006E6F64">
        <w:t xml:space="preserve"> de no ocurrencia</w:t>
      </w:r>
      <w:r>
        <w:t>,</w:t>
      </w:r>
      <w:r w:rsidR="006E6F64">
        <w:t xml:space="preserve"> mediante</w:t>
      </w:r>
      <w:r>
        <w:t xml:space="preserve"> la c</w:t>
      </w:r>
      <w:r w:rsidR="006E6F64">
        <w:t>reación de</w:t>
      </w:r>
      <w:r>
        <w:t xml:space="preserve"> puntos de forma aleatoria.  Para ello, se garantizó que cada punto tuviera una separación mínima de 1 km a </w:t>
      </w:r>
      <w:r w:rsidR="006E6F64">
        <w:t>respecto a cualquier evento de inundación registrado</w:t>
      </w:r>
      <w:r>
        <w:t>.</w:t>
      </w:r>
    </w:p>
    <w:p w14:paraId="595183CA" w14:textId="77777777" w:rsidR="00B21BA4" w:rsidRDefault="00B21BA4" w:rsidP="00AD6289">
      <w:pPr>
        <w:keepNext/>
        <w:ind w:firstLine="0"/>
      </w:pPr>
    </w:p>
    <w:p w14:paraId="00CD2E9C" w14:textId="77777777" w:rsidR="00B21BA4" w:rsidRDefault="00AD6289" w:rsidP="00B21BA4">
      <w:pPr>
        <w:keepNext/>
        <w:ind w:firstLine="0"/>
        <w:jc w:val="center"/>
      </w:pPr>
      <w:r w:rsidRPr="00AD6289">
        <w:rPr>
          <w:noProof/>
        </w:rPr>
        <w:drawing>
          <wp:inline distT="0" distB="0" distL="0" distR="0" wp14:anchorId="517CC0B7" wp14:editId="021AF048">
            <wp:extent cx="2895600" cy="2684145"/>
            <wp:effectExtent l="0" t="0" r="0" b="1905"/>
            <wp:docPr id="1868295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95695" name=""/>
                    <pic:cNvPicPr/>
                  </pic:nvPicPr>
                  <pic:blipFill>
                    <a:blip r:embed="rId17"/>
                    <a:stretch>
                      <a:fillRect/>
                    </a:stretch>
                  </pic:blipFill>
                  <pic:spPr>
                    <a:xfrm>
                      <a:off x="0" y="0"/>
                      <a:ext cx="2895600" cy="2684145"/>
                    </a:xfrm>
                    <a:prstGeom prst="rect">
                      <a:avLst/>
                    </a:prstGeom>
                  </pic:spPr>
                </pic:pic>
              </a:graphicData>
            </a:graphic>
          </wp:inline>
        </w:drawing>
      </w:r>
    </w:p>
    <w:p w14:paraId="35B3949F" w14:textId="026A743E" w:rsidR="00AD6289" w:rsidRDefault="00B21BA4" w:rsidP="00B21BA4">
      <w:pPr>
        <w:pStyle w:val="Cita"/>
      </w:pPr>
      <w:r>
        <w:t>Figura </w:t>
      </w:r>
      <w:fldSimple w:instr=" SEQ Figura \* ARABIC ">
        <w:r w:rsidR="003A6A3C">
          <w:rPr>
            <w:noProof/>
          </w:rPr>
          <w:t>4</w:t>
        </w:r>
      </w:fldSimple>
      <w:r>
        <w:t xml:space="preserve">. </w:t>
      </w:r>
      <w:r w:rsidR="00242B5D">
        <w:t xml:space="preserve">Índice </w:t>
      </w:r>
      <w:r>
        <w:t xml:space="preserve">de </w:t>
      </w:r>
      <w:r w:rsidR="00242B5D">
        <w:t>Área</w:t>
      </w:r>
      <w:r>
        <w:t xml:space="preserve"> Foliar (LAI) medio para el departamento de Antioquia</w:t>
      </w:r>
    </w:p>
    <w:p w14:paraId="1283F0CB" w14:textId="3DD4EBED" w:rsidR="00CC1E74" w:rsidRDefault="00CC1E74" w:rsidP="00CC1E74">
      <w:pPr>
        <w:pStyle w:val="Prrafodelista"/>
        <w:numPr>
          <w:ilvl w:val="2"/>
          <w:numId w:val="31"/>
        </w:numPr>
        <w:rPr>
          <w:rFonts w:cs="Times New Roman"/>
          <w:b/>
          <w:bCs/>
          <w:i/>
          <w:iCs/>
        </w:rPr>
      </w:pPr>
      <w:r w:rsidRPr="00CC1E74">
        <w:rPr>
          <w:rFonts w:cs="Times New Roman"/>
          <w:b/>
          <w:bCs/>
          <w:i/>
          <w:iCs/>
        </w:rPr>
        <w:t>Variables derivadas</w:t>
      </w:r>
    </w:p>
    <w:p w14:paraId="736B8DF2" w14:textId="1195A25A" w:rsidR="00CC1E74" w:rsidRDefault="00CC1E74" w:rsidP="00CC1E74">
      <w:pPr>
        <w:ind w:firstLine="0"/>
      </w:pPr>
      <w:r>
        <w:t xml:space="preserve">A partir de los datos presentados anteriormente, se derivaron algunas variables adicionales que permitan representar las condiciones morfométricas del terreno.  Entre las variables derivadas, </w:t>
      </w:r>
      <w:r w:rsidR="00A417CC">
        <w:t>se encuentran:</w:t>
      </w:r>
    </w:p>
    <w:p w14:paraId="7F7061C0" w14:textId="2B9A3251" w:rsidR="00A417CC" w:rsidRDefault="00A417CC" w:rsidP="00A417CC">
      <w:pPr>
        <w:pStyle w:val="Prrafodelista"/>
        <w:numPr>
          <w:ilvl w:val="0"/>
          <w:numId w:val="35"/>
        </w:numPr>
      </w:pPr>
      <w:r>
        <w:t>Área de la cuenca asociada a cada evento de inundación</w:t>
      </w:r>
    </w:p>
    <w:p w14:paraId="0544C076" w14:textId="419F323C" w:rsidR="00A417CC" w:rsidRDefault="00A417CC" w:rsidP="00A417CC">
      <w:pPr>
        <w:pStyle w:val="Prrafodelista"/>
        <w:numPr>
          <w:ilvl w:val="0"/>
          <w:numId w:val="35"/>
        </w:numPr>
      </w:pPr>
      <w:r>
        <w:t>Pendiente media de la cuenca asociada a cada evento de inundación</w:t>
      </w:r>
    </w:p>
    <w:p w14:paraId="0A822BED" w14:textId="71BC3DC7" w:rsidR="00A417CC" w:rsidRDefault="00A417CC" w:rsidP="00A417CC">
      <w:pPr>
        <w:pStyle w:val="Prrafodelista"/>
        <w:numPr>
          <w:ilvl w:val="0"/>
          <w:numId w:val="35"/>
        </w:numPr>
      </w:pPr>
      <w:r>
        <w:t>LAI medio de la cuenca asociada a cada evento de inundación</w:t>
      </w:r>
    </w:p>
    <w:p w14:paraId="1DC607DA" w14:textId="03B7D358" w:rsidR="00A417CC" w:rsidRDefault="00A417CC" w:rsidP="00A417CC">
      <w:pPr>
        <w:pStyle w:val="Prrafodelista"/>
        <w:numPr>
          <w:ilvl w:val="0"/>
          <w:numId w:val="35"/>
        </w:numPr>
      </w:pPr>
      <w:r>
        <w:t>Curvatura: definid</w:t>
      </w:r>
      <w:r w:rsidR="006E6F64">
        <w:t>a</w:t>
      </w:r>
      <w:r>
        <w:t xml:space="preserve"> como la segunda derivada </w:t>
      </w:r>
      <w:r w:rsidR="006E6F64">
        <w:t xml:space="preserve">de </w:t>
      </w:r>
      <w:r>
        <w:t>una sección perpendicular al perfil de pendientes:</w:t>
      </w:r>
    </w:p>
    <w:p w14:paraId="69DDF3E1" w14:textId="13E156F5" w:rsidR="00A417CC" w:rsidRPr="00A417CC" w:rsidRDefault="00A417CC" w:rsidP="00A417CC">
      <w:pPr>
        <w:pStyle w:val="Prrafodelista"/>
        <w:ind w:firstLine="0"/>
        <w:rPr>
          <w:rFonts w:eastAsiaTheme="minorEastAsia"/>
        </w:rPr>
      </w:pPr>
      <m:oMathPara>
        <m:oMath>
          <m:r>
            <w:rPr>
              <w:rFonts w:ascii="Cambria Math" w:hAnsi="Cambria Math"/>
            </w:rPr>
            <m:t>Curv=-</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xx</m:t>
                  </m:r>
                </m:sub>
              </m:sSub>
              <m:sSubSup>
                <m:sSubSupPr>
                  <m:ctrlPr>
                    <w:rPr>
                      <w:rFonts w:ascii="Cambria Math" w:hAnsi="Cambria Math"/>
                      <w:i/>
                    </w:rPr>
                  </m:ctrlPr>
                </m:sSubSupPr>
                <m:e>
                  <m:r>
                    <w:rPr>
                      <w:rFonts w:ascii="Cambria Math" w:hAnsi="Cambria Math"/>
                    </w:rPr>
                    <m:t>z</m:t>
                  </m:r>
                </m:e>
                <m:sub>
                  <m:r>
                    <w:rPr>
                      <w:rFonts w:ascii="Cambria Math" w:hAnsi="Cambria Math"/>
                    </w:rPr>
                    <m:t>x</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xy</m:t>
                  </m:r>
                </m:sub>
              </m:sSub>
              <m:sSub>
                <m:sSubPr>
                  <m:ctrlPr>
                    <w:rPr>
                      <w:rFonts w:ascii="Cambria Math" w:hAnsi="Cambria Math"/>
                      <w:i/>
                    </w:rPr>
                  </m:ctrlPr>
                </m:sSubPr>
                <m:e>
                  <m:r>
                    <w:rPr>
                      <w:rFonts w:ascii="Cambria Math" w:hAnsi="Cambria Math"/>
                    </w:rPr>
                    <m:t>z</m:t>
                  </m:r>
                </m:e>
                <m:sub>
                  <m:r>
                    <w:rPr>
                      <w:rFonts w:ascii="Cambria Math" w:hAnsi="Cambria Math"/>
                    </w:rPr>
                    <m:t>x</m:t>
                  </m:r>
                </m:sub>
              </m:sSub>
              <m:sSub>
                <m:sSubPr>
                  <m:ctrlPr>
                    <w:rPr>
                      <w:rFonts w:ascii="Cambria Math" w:hAnsi="Cambria Math"/>
                      <w:i/>
                    </w:rPr>
                  </m:ctrlPr>
                </m:sSubPr>
                <m:e>
                  <m:r>
                    <w:rPr>
                      <w:rFonts w:ascii="Cambria Math" w:hAnsi="Cambria Math"/>
                    </w:rPr>
                    <m:t>z</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yy</m:t>
                  </m:r>
                </m:sub>
              </m:sSub>
              <m:sSubSup>
                <m:sSubSupPr>
                  <m:ctrlPr>
                    <w:rPr>
                      <w:rFonts w:ascii="Cambria Math" w:hAnsi="Cambria Math"/>
                      <w:i/>
                    </w:rPr>
                  </m:ctrlPr>
                </m:sSubSupPr>
                <m:e>
                  <m:r>
                    <w:rPr>
                      <w:rFonts w:ascii="Cambria Math" w:hAnsi="Cambria Math"/>
                    </w:rPr>
                    <m:t>z</m:t>
                  </m:r>
                </m:e>
                <m:sub>
                  <m:r>
                    <w:rPr>
                      <w:rFonts w:ascii="Cambria Math" w:hAnsi="Cambria Math"/>
                    </w:rPr>
                    <m:t>y</m:t>
                  </m:r>
                </m:sub>
                <m:sup>
                  <m:r>
                    <w:rPr>
                      <w:rFonts w:ascii="Cambria Math" w:hAnsi="Cambria Math"/>
                    </w:rPr>
                    <m:t>2</m:t>
                  </m:r>
                </m:sup>
              </m:sSubSup>
            </m:num>
            <m:den>
              <m:d>
                <m:dPr>
                  <m:ctrlPr>
                    <w:rPr>
                      <w:rFonts w:ascii="Cambria Math" w:hAnsi="Cambria Math"/>
                      <w:i/>
                    </w:rPr>
                  </m:ctrlPr>
                </m:dPr>
                <m:e>
                  <m:sSubSup>
                    <m:sSubSupPr>
                      <m:ctrlPr>
                        <w:rPr>
                          <w:rFonts w:ascii="Cambria Math" w:hAnsi="Cambria Math"/>
                          <w:i/>
                          <w:lang w:val="es-ES"/>
                        </w:rPr>
                      </m:ctrlPr>
                    </m:sSubSupPr>
                    <m:e>
                      <m:r>
                        <w:rPr>
                          <w:rFonts w:ascii="Cambria Math" w:hAnsi="Cambria Math"/>
                        </w:rPr>
                        <m:t>z</m:t>
                      </m:r>
                      <m:ctrlPr>
                        <w:rPr>
                          <w:rFonts w:ascii="Cambria Math" w:hAnsi="Cambria Math"/>
                          <w:i/>
                        </w:rPr>
                      </m:ctrlPr>
                    </m:e>
                    <m:sub>
                      <m:r>
                        <w:rPr>
                          <w:rFonts w:ascii="Cambria Math" w:hAnsi="Cambria Math"/>
                        </w:rPr>
                        <m:t>x</m:t>
                      </m:r>
                      <m:ctrlPr>
                        <w:rPr>
                          <w:rFonts w:ascii="Cambria Math" w:hAnsi="Cambria Math"/>
                          <w:i/>
                        </w:rPr>
                      </m:ctrlPr>
                    </m:sub>
                    <m:sup>
                      <m:r>
                        <w:rPr>
                          <w:rFonts w:ascii="Cambria Math" w:hAnsi="Cambria Math"/>
                          <w:lang w:val="es-ES"/>
                        </w:rPr>
                        <m:t>2</m:t>
                      </m:r>
                    </m:sup>
                  </m:sSubSup>
                  <m:r>
                    <w:rPr>
                      <w:rFonts w:ascii="Cambria Math" w:hAnsi="Cambria Math"/>
                    </w:rPr>
                    <m:t>+</m:t>
                  </m:r>
                  <m:sSubSup>
                    <m:sSubSupPr>
                      <m:ctrlPr>
                        <w:rPr>
                          <w:rFonts w:ascii="Cambria Math" w:hAnsi="Cambria Math"/>
                          <w:i/>
                          <w:lang w:val="es-ES"/>
                        </w:rPr>
                      </m:ctrlPr>
                    </m:sSubSupPr>
                    <m:e>
                      <m:r>
                        <w:rPr>
                          <w:rFonts w:ascii="Cambria Math" w:hAnsi="Cambria Math"/>
                        </w:rPr>
                        <m:t>z</m:t>
                      </m:r>
                      <m:ctrlPr>
                        <w:rPr>
                          <w:rFonts w:ascii="Cambria Math" w:hAnsi="Cambria Math"/>
                          <w:i/>
                        </w:rPr>
                      </m:ctrlPr>
                    </m:e>
                    <m:sub>
                      <m:r>
                        <w:rPr>
                          <w:rFonts w:ascii="Cambria Math" w:hAnsi="Cambria Math"/>
                        </w:rPr>
                        <m:t>y</m:t>
                      </m:r>
                      <m:ctrlPr>
                        <w:rPr>
                          <w:rFonts w:ascii="Cambria Math" w:hAnsi="Cambria Math"/>
                          <w:i/>
                        </w:rPr>
                      </m:ctrlPr>
                    </m:sub>
                    <m:sup>
                      <m:r>
                        <w:rPr>
                          <w:rFonts w:ascii="Cambria Math" w:hAnsi="Cambria Math"/>
                          <w:lang w:val="es-ES"/>
                        </w:rPr>
                        <m:t>2</m:t>
                      </m:r>
                    </m:sup>
                  </m:sSubSup>
                </m:e>
              </m:d>
              <m:sSup>
                <m:sSupPr>
                  <m:ctrlPr>
                    <w:rPr>
                      <w:rFonts w:ascii="Cambria Math" w:hAnsi="Cambria Math"/>
                      <w:i/>
                    </w:rPr>
                  </m:ctrlPr>
                </m:sSupPr>
                <m:e>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z</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lang w:val="es-ES"/>
                            </w:rPr>
                          </m:ctrlPr>
                        </m:sSubSupPr>
                        <m:e>
                          <m:r>
                            <w:rPr>
                              <w:rFonts w:ascii="Cambria Math" w:hAnsi="Cambria Math"/>
                            </w:rPr>
                            <m:t>z</m:t>
                          </m:r>
                          <m:ctrlPr>
                            <w:rPr>
                              <w:rFonts w:ascii="Cambria Math" w:hAnsi="Cambria Math"/>
                              <w:i/>
                            </w:rPr>
                          </m:ctrlPr>
                        </m:e>
                        <m:sub>
                          <m:r>
                            <w:rPr>
                              <w:rFonts w:ascii="Cambria Math" w:hAnsi="Cambria Math"/>
                            </w:rPr>
                            <m:t>y</m:t>
                          </m:r>
                          <m:ctrlPr>
                            <w:rPr>
                              <w:rFonts w:ascii="Cambria Math" w:hAnsi="Cambria Math"/>
                              <w:i/>
                            </w:rPr>
                          </m:ctrlPr>
                        </m:sub>
                        <m:sup>
                          <m:r>
                            <w:rPr>
                              <w:rFonts w:ascii="Cambria Math" w:hAnsi="Cambria Math"/>
                              <w:lang w:val="es-ES"/>
                            </w:rPr>
                            <m:t>2</m:t>
                          </m:r>
                        </m:sup>
                      </m:sSubSup>
                    </m:e>
                  </m:rad>
                </m:e>
                <m:sup>
                  <m:r>
                    <w:rPr>
                      <w:rFonts w:ascii="Cambria Math" w:hAnsi="Cambria Math"/>
                    </w:rPr>
                    <m:t>3</m:t>
                  </m:r>
                </m:sup>
              </m:sSup>
            </m:den>
          </m:f>
        </m:oMath>
      </m:oMathPara>
    </w:p>
    <w:p w14:paraId="444A7DFA" w14:textId="6A593161" w:rsidR="00A417CC" w:rsidRDefault="00A417CC" w:rsidP="00A417CC">
      <w:pPr>
        <w:pStyle w:val="Prrafodelista"/>
        <w:ind w:firstLine="0"/>
      </w:pPr>
      <w:r>
        <w:t>Donde cada subíndice representa la derivada con respecto a x o y de la altura del MDE.</w:t>
      </w:r>
    </w:p>
    <w:p w14:paraId="2110BC0C" w14:textId="3BD5CB29" w:rsidR="00A417CC" w:rsidRDefault="00A417CC" w:rsidP="00A417CC">
      <w:pPr>
        <w:pStyle w:val="Prrafodelista"/>
        <w:numPr>
          <w:ilvl w:val="0"/>
          <w:numId w:val="35"/>
        </w:numPr>
      </w:pPr>
      <w:r>
        <w:t xml:space="preserve">Índice de posición topográfica (TPI): </w:t>
      </w:r>
      <w:r w:rsidR="001E6D9E">
        <w:t>representa la diferencia entre la elevación de un punto y la media de sus vecinos:</w:t>
      </w:r>
    </w:p>
    <w:p w14:paraId="069BE836" w14:textId="476C6353" w:rsidR="001E6D9E" w:rsidRDefault="001E6D9E" w:rsidP="001E6D9E">
      <w:pPr>
        <w:pStyle w:val="Prrafodelista"/>
        <w:ind w:firstLine="0"/>
      </w:pPr>
      <m:oMathPara>
        <m:oMath>
          <m:r>
            <w:rPr>
              <w:rFonts w:ascii="Cambria Math" w:hAnsi="Cambria Math"/>
            </w:rPr>
            <m:t>TPI=</m:t>
          </m:r>
          <m:sSub>
            <m:sSubPr>
              <m:ctrlPr>
                <w:rPr>
                  <w:rFonts w:ascii="Cambria Math" w:hAnsi="Cambria Math"/>
                  <w:i/>
                </w:rPr>
              </m:ctrlPr>
            </m:sSubPr>
            <m:e>
              <m:r>
                <w:rPr>
                  <w:rFonts w:ascii="Cambria Math" w:hAnsi="Cambria Math"/>
                </w:rPr>
                <m:t>z</m:t>
              </m:r>
            </m:e>
            <m:sub>
              <m:r>
                <w:rPr>
                  <w:rFonts w:ascii="Cambria Math" w:hAnsi="Cambria Math"/>
                </w:rPr>
                <m:t>00</m:t>
              </m:r>
            </m:sub>
          </m:sSub>
          <m:r>
            <w:rPr>
              <w:rFonts w:ascii="Cambria Math" w:hAnsi="Cambria Math"/>
            </w:rPr>
            <m:t>-mea</m:t>
          </m:r>
          <m:sSub>
            <m:sSubPr>
              <m:ctrlPr>
                <w:rPr>
                  <w:rFonts w:ascii="Cambria Math" w:hAnsi="Cambria Math"/>
                  <w:i/>
                </w:rPr>
              </m:ctrlPr>
            </m:sSubPr>
            <m:e>
              <m:r>
                <w:rPr>
                  <w:rFonts w:ascii="Cambria Math" w:hAnsi="Cambria Math"/>
                </w:rPr>
                <m:t>n</m:t>
              </m:r>
            </m:e>
            <m:sub>
              <m:r>
                <w:rPr>
                  <w:rFonts w:ascii="Cambria Math" w:hAnsi="Cambria Math"/>
                </w:rPr>
                <m:t>i≠0, i≠0</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oMath>
      </m:oMathPara>
    </w:p>
    <w:p w14:paraId="3E5E073B" w14:textId="6A7400AA" w:rsidR="00A417CC" w:rsidRDefault="00A417CC" w:rsidP="00A417CC">
      <w:pPr>
        <w:pStyle w:val="Prrafodelista"/>
        <w:numPr>
          <w:ilvl w:val="0"/>
          <w:numId w:val="35"/>
        </w:numPr>
      </w:pPr>
      <w:r>
        <w:t xml:space="preserve">Índice de rugosidad topográfica (TRI): </w:t>
      </w:r>
      <w:r w:rsidR="001E6D9E">
        <w:t>representa la rugosidad del terreno basado en las diferencias acumulativas de sus vecinos:</w:t>
      </w:r>
    </w:p>
    <w:p w14:paraId="6732C42B" w14:textId="7E2581D7" w:rsidR="001E6D9E" w:rsidRPr="00CC1E74" w:rsidRDefault="001E6D9E" w:rsidP="001E6D9E">
      <w:pPr>
        <w:pStyle w:val="Prrafodelista"/>
        <w:ind w:firstLine="0"/>
      </w:pPr>
      <m:oMathPara>
        <m:oMath>
          <m:r>
            <w:rPr>
              <w:rFonts w:ascii="Cambria Math" w:hAnsi="Cambria Math"/>
            </w:rPr>
            <m:t>TRI=</m:t>
          </m:r>
          <m:rad>
            <m:radPr>
              <m:degHide m:val="1"/>
              <m:ctrlPr>
                <w:rPr>
                  <w:rFonts w:ascii="Cambria Math" w:hAnsi="Cambria Math"/>
                  <w:i/>
                </w:rPr>
              </m:ctrlPr>
            </m:radPr>
            <m:deg/>
            <m:e>
              <m:nary>
                <m:naryPr>
                  <m:chr m:val="∑"/>
                  <m:supHide m:val="1"/>
                  <m:ctrlPr>
                    <w:rPr>
                      <w:rFonts w:ascii="Cambria Math" w:hAnsi="Cambria Math"/>
                      <w:i/>
                    </w:rPr>
                  </m:ctrlPr>
                </m:naryPr>
                <m:sub>
                  <m:r>
                    <w:rPr>
                      <w:rFonts w:ascii="Cambria Math" w:hAnsi="Cambria Math"/>
                    </w:rPr>
                    <m:t>ij</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ij</m:t>
                              </m:r>
                            </m:sub>
                          </m:sSub>
                        </m:e>
                      </m:d>
                    </m:e>
                    <m:sup>
                      <m:r>
                        <w:rPr>
                          <w:rFonts w:ascii="Cambria Math" w:hAnsi="Cambria Math"/>
                        </w:rPr>
                        <m:t>2</m:t>
                      </m:r>
                    </m:sup>
                  </m:sSup>
                </m:e>
              </m:nary>
              <m:r>
                <w:rPr>
                  <w:rFonts w:ascii="Cambria Math" w:hAnsi="Cambria Math"/>
                </w:rPr>
                <m:t xml:space="preserve"> </m:t>
              </m:r>
            </m:e>
          </m:rad>
        </m:oMath>
      </m:oMathPara>
    </w:p>
    <w:p w14:paraId="40624D84" w14:textId="17E5C7E6" w:rsidR="00AD6289" w:rsidRDefault="00063ECE" w:rsidP="00063ECE">
      <w:pPr>
        <w:pStyle w:val="Prrafodelista"/>
        <w:numPr>
          <w:ilvl w:val="1"/>
          <w:numId w:val="31"/>
        </w:numPr>
        <w:rPr>
          <w:rFonts w:cs="Times New Roman"/>
          <w:b/>
          <w:bCs/>
          <w:i/>
          <w:iCs/>
        </w:rPr>
      </w:pPr>
      <w:r>
        <w:rPr>
          <w:rFonts w:cs="Times New Roman"/>
          <w:b/>
          <w:bCs/>
          <w:i/>
          <w:iCs/>
        </w:rPr>
        <w:t>Modelos</w:t>
      </w:r>
    </w:p>
    <w:p w14:paraId="21784DF4" w14:textId="6936D607" w:rsidR="00063ECE" w:rsidRDefault="00863DF8" w:rsidP="00063ECE">
      <w:pPr>
        <w:ind w:firstLine="0"/>
      </w:pPr>
      <w:r w:rsidRPr="00863DF8">
        <w:lastRenderedPageBreak/>
        <w:t>La construcción de los modelos se llevó a cabo mediante los lenguajes de programación Python y R. A continuación, se describen los enfoques metodológicos empleados.</w:t>
      </w:r>
    </w:p>
    <w:p w14:paraId="1CFB027C" w14:textId="1517ED09" w:rsidR="00863DF8" w:rsidRDefault="00CC1E74" w:rsidP="00CC1E74">
      <w:pPr>
        <w:pStyle w:val="Prrafodelista"/>
        <w:numPr>
          <w:ilvl w:val="2"/>
          <w:numId w:val="31"/>
        </w:numPr>
        <w:rPr>
          <w:rFonts w:cs="Times New Roman"/>
          <w:b/>
          <w:bCs/>
          <w:i/>
          <w:iCs/>
        </w:rPr>
      </w:pPr>
      <w:r>
        <w:rPr>
          <w:rFonts w:cs="Times New Roman"/>
          <w:b/>
          <w:bCs/>
          <w:i/>
          <w:iCs/>
        </w:rPr>
        <w:t>GLM Binomial</w:t>
      </w:r>
    </w:p>
    <w:p w14:paraId="53B0DD2D" w14:textId="62FC5662" w:rsidR="00CC1E74" w:rsidRDefault="00CC1E74" w:rsidP="00CC1E74">
      <w:pPr>
        <w:ind w:firstLine="0"/>
      </w:pPr>
      <w:r>
        <w:t>Como línea base, se empleó como</w:t>
      </w:r>
      <w:r w:rsidR="001E6D9E">
        <w:t xml:space="preserve"> </w:t>
      </w:r>
      <w:r>
        <w:t xml:space="preserve">referencia </w:t>
      </w:r>
      <w:r w:rsidR="001E6D9E">
        <w:t>un Modelo Lineal Generalizado</w:t>
      </w:r>
      <w:r w:rsidR="009258EC">
        <w:t xml:space="preserve"> (GLM)</w:t>
      </w:r>
      <w:r w:rsidR="001E6D9E">
        <w:t xml:space="preserve"> perteneciente a la familia Binomial </w:t>
      </w:r>
      <w:r>
        <w:t xml:space="preserve">con enlace </w:t>
      </w:r>
      <w:proofErr w:type="spellStart"/>
      <w:r w:rsidR="002440B8">
        <w:t>logit</w:t>
      </w:r>
      <w:proofErr w:type="spellEnd"/>
      <w:r w:rsidR="001E6D9E">
        <w:t>, el cual permite la estimación de la influencia de las variables en la ocurrencia o no ocurrencia de un evento de inundación.</w:t>
      </w:r>
      <w:r w:rsidR="002440B8">
        <w:t xml:space="preserve">  Un modelo GLM Binomial general es de la siguiente forma:</w:t>
      </w:r>
    </w:p>
    <w:p w14:paraId="328A8AB9" w14:textId="0EFB0261" w:rsidR="002440B8" w:rsidRPr="002440B8" w:rsidRDefault="00000000" w:rsidP="00CC1E74">
      <w:pPr>
        <w:ind w:firstLine="0"/>
        <w:rPr>
          <w:rFonts w:eastAsiaTheme="minorEastAsia"/>
        </w:rPr>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den>
                  </m:f>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0F341546" w14:textId="229AAEE6" w:rsidR="002440B8" w:rsidRDefault="002440B8" w:rsidP="00CC1E74">
      <w:pPr>
        <w:ind w:firstLine="0"/>
      </w:pPr>
      <w:r>
        <w:rPr>
          <w:rFonts w:eastAsiaTheme="minorEastAsia"/>
        </w:rPr>
        <w:t xml:space="preserve">Donde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corresponde a la probabilidad de ocurrencia,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oMath>
      <w:r>
        <w:rPr>
          <w:rFonts w:eastAsiaTheme="minorEastAsia"/>
        </w:rPr>
        <w:t xml:space="preserve"> la constante del modelo,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m:t>
            </m:r>
          </m:sub>
        </m:sSub>
      </m:oMath>
      <w:r>
        <w:rPr>
          <w:rFonts w:eastAsiaTheme="minorEastAsia"/>
        </w:rPr>
        <w:t xml:space="preserve"> l</w:t>
      </w:r>
      <w:r w:rsidR="006E6F64">
        <w:rPr>
          <w:rFonts w:eastAsiaTheme="minorEastAsia"/>
        </w:rPr>
        <w:t>os coeficientes asociados a</w:t>
      </w:r>
      <w:r>
        <w:rPr>
          <w:rFonts w:eastAsiaTheme="minorEastAsia"/>
        </w:rPr>
        <w:t xml:space="preserve"> las covariables y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las covariables.</w:t>
      </w:r>
      <w:r w:rsidR="004C3427">
        <w:rPr>
          <w:rFonts w:eastAsiaTheme="minorEastAsia"/>
        </w:rPr>
        <w:t xml:space="preserve"> </w:t>
      </w:r>
    </w:p>
    <w:p w14:paraId="2B85ABCA" w14:textId="421C3AB3" w:rsidR="00863DF8" w:rsidRDefault="00863DF8" w:rsidP="00CC1E74">
      <w:pPr>
        <w:pStyle w:val="Prrafodelista"/>
        <w:numPr>
          <w:ilvl w:val="2"/>
          <w:numId w:val="31"/>
        </w:numPr>
        <w:rPr>
          <w:rFonts w:cs="Times New Roman"/>
          <w:b/>
          <w:bCs/>
          <w:i/>
          <w:iCs/>
        </w:rPr>
      </w:pPr>
      <w:r w:rsidRPr="00863DF8">
        <w:rPr>
          <w:rFonts w:cs="Times New Roman"/>
          <w:b/>
          <w:bCs/>
          <w:i/>
          <w:iCs/>
        </w:rPr>
        <w:t>Condicional Autorregresivo (CAR)</w:t>
      </w:r>
    </w:p>
    <w:p w14:paraId="1C320AEE" w14:textId="2C41C27D" w:rsidR="00BE1EE7" w:rsidRDefault="00BE1EE7" w:rsidP="001B359E">
      <w:pPr>
        <w:ind w:firstLine="0"/>
      </w:pPr>
      <w:r>
        <w:t xml:space="preserve">Debido a las complejas estructuras en los datos, </w:t>
      </w:r>
      <w:r w:rsidR="006E6F64" w:rsidRPr="006E6F64">
        <w:t>se implementó un modelo que incorporara explícitamente la estructura de vecindad</w:t>
      </w:r>
      <w:r>
        <w:t xml:space="preserve">.  El modelo CAR permite capturar </w:t>
      </w:r>
      <w:r w:rsidR="001D5858">
        <w:t xml:space="preserve">los posibles efectos </w:t>
      </w:r>
      <w:r>
        <w:t>aleatorios espaciales estructurados</w:t>
      </w:r>
      <w:r w:rsidR="001D5858">
        <w:t xml:space="preserve"> en los datos,</w:t>
      </w:r>
      <w:r>
        <w:t xml:space="preserve"> sin embargo, para permitir representar los efectos aleatorios no estructurados, el modelo CAR de tipo Leroux introduce el parámetro </w:t>
      </w:r>
      <m:oMath>
        <m:r>
          <w:rPr>
            <w:rFonts w:ascii="Cambria Math" w:hAnsi="Cambria Math"/>
          </w:rPr>
          <m:t>ρ</m:t>
        </m:r>
      </m:oMath>
      <w:r>
        <w:t xml:space="preserve"> que mide el nivel de correlación espacial.  La f</w:t>
      </w:r>
      <w:proofErr w:type="spellStart"/>
      <w:r w:rsidR="006E6F64">
        <w:t>ó</w:t>
      </w:r>
      <w:r>
        <w:t>rmula</w:t>
      </w:r>
      <w:proofErr w:type="spellEnd"/>
      <w:r>
        <w:t xml:space="preserve"> general de los modelos CAR de tipo Leroux </w:t>
      </w:r>
      <w:r w:rsidR="00203812">
        <w:t xml:space="preserve">empleando distribución Binomial Negativa, </w:t>
      </w:r>
      <w:r>
        <w:t>se presenta a continuación:</w:t>
      </w:r>
    </w:p>
    <w:p w14:paraId="59629594" w14:textId="429583CC" w:rsidR="00FF31E7" w:rsidRPr="00203812" w:rsidRDefault="00000000" w:rsidP="001B359E">
      <w:pPr>
        <w:ind w:firstLine="0"/>
        <w:rPr>
          <w:i/>
        </w:rPr>
      </w:pPr>
      <m:oMathPara>
        <m:oMath>
          <m:func>
            <m:funcPr>
              <m:ctrlPr>
                <w:rPr>
                  <w:rFonts w:ascii="Cambria Math" w:hAnsi="Cambria Math"/>
                  <w:i/>
                </w:rPr>
              </m:ctrlPr>
            </m:funcPr>
            <m:fName>
              <m: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func>
          <m:r>
            <w:rPr>
              <w:rFonts w:ascii="Cambria Math" w:hAnsi="Cambria Math"/>
            </w:rPr>
            <m:t>=</m:t>
          </m:r>
          <m:func>
            <m:funcPr>
              <m:ctrlPr>
                <w:rPr>
                  <w:rFonts w:ascii="Cambria Math" w:hAnsi="Cambria Math"/>
                  <w:i/>
                </w:rPr>
              </m:ctrlPr>
            </m:funcPr>
            <m:fName>
              <m: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oMath>
      </m:oMathPara>
    </w:p>
    <w:p w14:paraId="145F4F84" w14:textId="7FB148AC" w:rsidR="001B359E" w:rsidRPr="00FF31E7" w:rsidRDefault="00000000" w:rsidP="001B359E">
      <w:pPr>
        <w:ind w:firstLine="0"/>
        <w:rPr>
          <w:rFonts w:eastAsiaTheme="minor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e>
          </m:d>
          <m:r>
            <m:rPr>
              <m:scr m:val="script"/>
            </m:rPr>
            <w:rPr>
              <w:rFonts w:ascii="Cambria Math" w:hAnsi="Cambria Math"/>
            </w:rPr>
            <m:t xml:space="preserve"> ~ N</m:t>
          </m:r>
          <m:d>
            <m:dPr>
              <m:ctrlPr>
                <w:rPr>
                  <w:rFonts w:ascii="Cambria Math" w:hAnsi="Cambria Math"/>
                  <w:i/>
                </w:rPr>
              </m:ctrlPr>
            </m:dPr>
            <m:e>
              <m:f>
                <m:fPr>
                  <m:ctrlPr>
                    <w:rPr>
                      <w:rFonts w:ascii="Cambria Math" w:hAnsi="Cambria Math"/>
                      <w:i/>
                    </w:rPr>
                  </m:ctrlPr>
                </m:fPr>
                <m:num>
                  <m:r>
                    <w:rPr>
                      <w:rFonts w:ascii="Cambria Math" w:hAnsi="Cambria Math"/>
                    </w:rPr>
                    <m:t>ρ</m:t>
                  </m:r>
                  <m:nary>
                    <m:naryPr>
                      <m:chr m:val="∑"/>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ω</m:t>
                          </m:r>
                        </m:e>
                        <m:sub>
                          <m:r>
                            <w:rPr>
                              <w:rFonts w:ascii="Cambria Math" w:hAnsi="Cambria Math"/>
                            </w:rPr>
                            <m:t>ij</m:t>
                          </m:r>
                        </m:sub>
                      </m:sSub>
                      <m:sSub>
                        <m:sSubPr>
                          <m:ctrlPr>
                            <w:rPr>
                              <w:rFonts w:ascii="Cambria Math" w:hAnsi="Cambria Math"/>
                              <w:i/>
                            </w:rPr>
                          </m:ctrlPr>
                        </m:sSubPr>
                        <m:e>
                          <m:r>
                            <w:rPr>
                              <w:rFonts w:ascii="Cambria Math" w:hAnsi="Cambria Math"/>
                            </w:rPr>
                            <m:t>ϕ</m:t>
                          </m:r>
                        </m:e>
                        <m:sub>
                          <m:r>
                            <w:rPr>
                              <w:rFonts w:ascii="Cambria Math" w:hAnsi="Cambria Math"/>
                            </w:rPr>
                            <m:t>j</m:t>
                          </m:r>
                        </m:sub>
                      </m:sSub>
                    </m:e>
                  </m:nary>
                </m:num>
                <m:den>
                  <m:r>
                    <w:rPr>
                      <w:rFonts w:ascii="Cambria Math" w:hAnsi="Cambria Math"/>
                    </w:rPr>
                    <m:t>ρ</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1-ρ</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ρ</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1-ρ</m:t>
                      </m:r>
                    </m:e>
                  </m:d>
                </m:den>
              </m:f>
            </m:e>
          </m:d>
        </m:oMath>
      </m:oMathPara>
    </w:p>
    <w:p w14:paraId="4019F81F" w14:textId="1E3372F8" w:rsidR="00FF31E7" w:rsidRPr="001B359E" w:rsidRDefault="00FF31E7" w:rsidP="001B359E">
      <w:pPr>
        <w:ind w:firstLine="0"/>
      </w:pPr>
      <w:r>
        <w:rPr>
          <w:rFonts w:eastAsiaTheme="minorEastAsia"/>
        </w:rPr>
        <w:t xml:space="preserve">Donde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ij</m:t>
            </m:r>
          </m:sub>
        </m:sSub>
      </m:oMath>
      <w:r>
        <w:rPr>
          <w:rFonts w:eastAsiaTheme="minorEastAsia"/>
        </w:rPr>
        <w:t xml:space="preserve"> representa la matriz de vecindad, </w:t>
      </w:r>
      <m:oMath>
        <m:r>
          <w:rPr>
            <w:rFonts w:ascii="Cambria Math" w:eastAsiaTheme="minorEastAsia" w:hAnsi="Cambria Math"/>
          </w:rPr>
          <m:t>ϕ</m:t>
        </m:r>
      </m:oMath>
      <w:r>
        <w:rPr>
          <w:rFonts w:eastAsiaTheme="minorEastAsia"/>
        </w:rPr>
        <w:t xml:space="preserve"> el efecto aleatorio espacial,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Pr>
          <w:rFonts w:eastAsiaTheme="minorEastAsia"/>
        </w:rPr>
        <w:t xml:space="preserve"> el número de vecinos, </w:t>
      </w:r>
      <m:oMath>
        <m:r>
          <w:rPr>
            <w:rFonts w:ascii="Cambria Math" w:eastAsiaTheme="minorEastAsia" w:hAnsi="Cambria Math"/>
          </w:rPr>
          <m:t>ρ</m:t>
        </m:r>
      </m:oMath>
      <w:r>
        <w:rPr>
          <w:rFonts w:eastAsiaTheme="minorEastAsia"/>
        </w:rPr>
        <w:t xml:space="preserve"> el peso de la estructura espacial</w:t>
      </w:r>
      <w:r w:rsidR="00203812">
        <w:rPr>
          <w:rFonts w:eastAsiaTheme="minorEastAsia"/>
        </w:rPr>
        <w:t>.  Es importante aclarar que el</w:t>
      </w:r>
      <w:r w:rsidR="006E6F64">
        <w:rPr>
          <w:rFonts w:eastAsiaTheme="minorEastAsia"/>
        </w:rPr>
        <w:t xml:space="preserve"> termino offset </w:t>
      </w:r>
      <w:r w:rsidR="00203812">
        <w:rPr>
          <w:rFonts w:eastAsiaTheme="minorEastAsia"/>
        </w:rPr>
        <w:t>log(A) permite la normalización de la variable a predecir con respecto al área en función de la densidad de eventos para poder comparar municipios de diferentes tamaños.</w:t>
      </w:r>
    </w:p>
    <w:p w14:paraId="4A86CA4F" w14:textId="649B0E6F" w:rsidR="00063ECE" w:rsidRPr="00863DF8" w:rsidRDefault="00063ECE" w:rsidP="00CC1E74">
      <w:pPr>
        <w:pStyle w:val="Prrafodelista"/>
        <w:numPr>
          <w:ilvl w:val="2"/>
          <w:numId w:val="31"/>
        </w:numPr>
        <w:rPr>
          <w:rFonts w:cs="Times New Roman"/>
          <w:b/>
          <w:bCs/>
          <w:i/>
          <w:iCs/>
        </w:rPr>
      </w:pPr>
      <w:r w:rsidRPr="00863DF8">
        <w:rPr>
          <w:rFonts w:cs="Times New Roman"/>
          <w:b/>
          <w:bCs/>
          <w:i/>
          <w:iCs/>
        </w:rPr>
        <w:t>Procesos Gaussianos (GP) de clasificación</w:t>
      </w:r>
    </w:p>
    <w:p w14:paraId="2C71FDA9" w14:textId="308D43E8" w:rsidR="00063ECE" w:rsidRPr="00063ECE" w:rsidRDefault="00D20271" w:rsidP="00203812">
      <w:pPr>
        <w:ind w:firstLine="0"/>
      </w:pPr>
      <w:r>
        <w:t xml:space="preserve">Para representar relaciones no lineales entre las variables </w:t>
      </w:r>
      <w:r w:rsidR="009258EC">
        <w:t>morfológicas</w:t>
      </w:r>
      <w:r>
        <w:t>,</w:t>
      </w:r>
      <w:r w:rsidRPr="00D20271">
        <w:t xml:space="preserve"> se implementaron Procesos Gaussianos (GP) para clasificación</w:t>
      </w:r>
      <w:r>
        <w:t xml:space="preserve"> de eventos</w:t>
      </w:r>
      <w:r w:rsidRPr="00D20271">
        <w:t xml:space="preserve">. Este enfoque representa la susceptibilidad mediante una función latente continua </w:t>
      </w:r>
      <m:oMath>
        <m:r>
          <w:rPr>
            <w:rFonts w:ascii="Cambria Math" w:hAnsi="Cambria Math"/>
          </w:rPr>
          <m:t>f</m:t>
        </m:r>
        <m:d>
          <m:dPr>
            <m:ctrlPr>
              <w:rPr>
                <w:rFonts w:ascii="Cambria Math" w:hAnsi="Cambria Math"/>
                <w:i/>
              </w:rPr>
            </m:ctrlPr>
          </m:dPr>
          <m:e>
            <m:r>
              <w:rPr>
                <w:rFonts w:ascii="Cambria Math" w:hAnsi="Cambria Math"/>
              </w:rPr>
              <m:t>x</m:t>
            </m:r>
          </m:e>
        </m:d>
      </m:oMath>
      <w:r w:rsidRPr="00D20271">
        <w:t>, definida por una función media y una función de covarianza</w:t>
      </w:r>
      <w:r>
        <w:t xml:space="preserve">, </w:t>
      </w:r>
      <w:r w:rsidR="006E6F64">
        <w:t>denominada</w:t>
      </w:r>
      <w:r w:rsidRPr="00D20271">
        <w:t xml:space="preserve"> </w:t>
      </w:r>
      <w:proofErr w:type="spellStart"/>
      <w:r w:rsidRPr="00D20271">
        <w:t>kernel</w:t>
      </w:r>
      <w:proofErr w:type="spellEnd"/>
      <w:r w:rsidRPr="00D20271">
        <w:t>:</w:t>
      </w:r>
    </w:p>
    <w:p w14:paraId="5D754B23" w14:textId="30893C3C" w:rsidR="00AD6289" w:rsidRPr="00D20271" w:rsidRDefault="00D20271" w:rsidP="00AD6289">
      <w:pPr>
        <w:ind w:firstLine="0"/>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GP</m:t>
          </m:r>
          <m:d>
            <m:dPr>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 k</m:t>
              </m:r>
              <m:d>
                <m:dPr>
                  <m:ctrlPr>
                    <w:rPr>
                      <w:rFonts w:ascii="Cambria Math" w:hAnsi="Cambria Math"/>
                      <w:i/>
                    </w:rPr>
                  </m:ctrlPr>
                </m:dPr>
                <m:e>
                  <m:r>
                    <w:rPr>
                      <w:rFonts w:ascii="Cambria Math" w:hAnsi="Cambria Math"/>
                    </w:rPr>
                    <m:t>x,x'</m:t>
                  </m:r>
                </m:e>
              </m:d>
            </m:e>
          </m:d>
        </m:oMath>
      </m:oMathPara>
    </w:p>
    <w:p w14:paraId="5DA37D12" w14:textId="055EB795" w:rsidR="00D20271" w:rsidRDefault="00D20271" w:rsidP="00AD6289">
      <w:pPr>
        <w:ind w:firstLine="0"/>
        <w:rPr>
          <w:rFonts w:eastAsiaTheme="minorEastAsia"/>
        </w:rPr>
      </w:pPr>
      <w:r>
        <w:rPr>
          <w:rFonts w:eastAsiaTheme="minorEastAsia"/>
        </w:rPr>
        <w:t xml:space="preserve">Donde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es la función media, </w:t>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x,x'</m:t>
            </m:r>
          </m:e>
        </m:d>
      </m:oMath>
      <w:r>
        <w:rPr>
          <w:rFonts w:eastAsiaTheme="minorEastAsia"/>
        </w:rPr>
        <w:t xml:space="preserve"> es la función kernel, y </w:t>
      </w:r>
      <m:oMath>
        <m:r>
          <w:rPr>
            <w:rFonts w:ascii="Cambria Math" w:eastAsiaTheme="minorEastAsia" w:hAnsi="Cambria Math"/>
          </w:rPr>
          <m:t>x</m:t>
        </m:r>
      </m:oMath>
      <w:r>
        <w:rPr>
          <w:rFonts w:eastAsiaTheme="minorEastAsia"/>
        </w:rPr>
        <w:t xml:space="preserve"> el vector de variables predictoras.  </w:t>
      </w:r>
      <w:r w:rsidR="006E6F64" w:rsidRPr="006E6F64">
        <w:rPr>
          <w:rFonts w:eastAsiaTheme="minorEastAsia"/>
        </w:rPr>
        <w:t xml:space="preserve">Como función de covarianza se empleó un </w:t>
      </w:r>
      <w:proofErr w:type="spellStart"/>
      <w:r w:rsidR="006E6F64" w:rsidRPr="006E6F64">
        <w:rPr>
          <w:rFonts w:eastAsiaTheme="minorEastAsia"/>
        </w:rPr>
        <w:t>kernel</w:t>
      </w:r>
      <w:proofErr w:type="spellEnd"/>
      <w:r w:rsidR="006E6F64" w:rsidRPr="006E6F64">
        <w:rPr>
          <w:rFonts w:eastAsiaTheme="minorEastAsia"/>
        </w:rPr>
        <w:t xml:space="preserve"> </w:t>
      </w:r>
      <w:proofErr w:type="spellStart"/>
      <w:r w:rsidR="006E6F64" w:rsidRPr="006E6F64">
        <w:rPr>
          <w:rFonts w:eastAsiaTheme="minorEastAsia"/>
        </w:rPr>
        <w:t>Matérn</w:t>
      </w:r>
      <w:proofErr w:type="spellEnd"/>
      <w:r w:rsidR="006E6F64" w:rsidRPr="006E6F64">
        <w:rPr>
          <w:rFonts w:eastAsiaTheme="minorEastAsia"/>
        </w:rPr>
        <w:t xml:space="preserve"> con parámetro de suavidad</w:t>
      </w:r>
      <w:r>
        <w:rPr>
          <w:rFonts w:eastAsiaTheme="minorEastAsia"/>
        </w:rPr>
        <w:t xml:space="preserve"> </w:t>
      </w:r>
      <m:oMath>
        <m:r>
          <w:rPr>
            <w:rFonts w:ascii="Cambria Math" w:eastAsiaTheme="minorEastAsia" w:hAnsi="Cambria Math"/>
          </w:rPr>
          <m:t>ν=1.5</m:t>
        </m:r>
      </m:oMath>
      <w:r>
        <w:rPr>
          <w:rFonts w:eastAsiaTheme="minorEastAsia"/>
        </w:rPr>
        <w:t>, el cual permite representar efectos locales y tener un grado de suavidad en las predicciones del modelo.</w:t>
      </w:r>
    </w:p>
    <w:p w14:paraId="5BD59778" w14:textId="5E6FC1B5" w:rsidR="00D20271" w:rsidRPr="00D20271" w:rsidRDefault="00D20271" w:rsidP="00D20271">
      <w:pPr>
        <w:pStyle w:val="Prrafodelista"/>
        <w:numPr>
          <w:ilvl w:val="2"/>
          <w:numId w:val="31"/>
        </w:numPr>
        <w:rPr>
          <w:rFonts w:cs="Times New Roman"/>
          <w:b/>
          <w:bCs/>
          <w:i/>
          <w:iCs/>
        </w:rPr>
      </w:pPr>
      <w:r w:rsidRPr="00D20271">
        <w:rPr>
          <w:rFonts w:cs="Times New Roman"/>
          <w:b/>
          <w:bCs/>
          <w:i/>
          <w:iCs/>
        </w:rPr>
        <w:t>Desempeño del modelo</w:t>
      </w:r>
    </w:p>
    <w:p w14:paraId="12416433" w14:textId="7E95B00A" w:rsidR="00D20271" w:rsidRDefault="00D20271" w:rsidP="00D20271">
      <w:pPr>
        <w:ind w:firstLine="0"/>
        <w:rPr>
          <w:rFonts w:eastAsiaTheme="minorEastAsia"/>
          <w:lang w:val="es-ES"/>
        </w:rPr>
      </w:pPr>
      <w:r>
        <w:rPr>
          <w:lang w:val="es-ES"/>
        </w:rPr>
        <w:t xml:space="preserve">Para evaluar el desempeño de los modelos, se emplearon parámetros </w:t>
      </w:r>
      <w:r w:rsidR="006E6F64">
        <w:rPr>
          <w:lang w:val="es-ES"/>
        </w:rPr>
        <w:t xml:space="preserve">como </w:t>
      </w:r>
      <w:r w:rsidR="00AF2BE7">
        <w:rPr>
          <w:lang w:val="es-ES"/>
        </w:rPr>
        <w:t xml:space="preserve">el parámetro </w:t>
      </w:r>
      <m:oMath>
        <m:sSup>
          <m:sSupPr>
            <m:ctrlPr>
              <w:rPr>
                <w:rFonts w:ascii="Cambria Math" w:hAnsi="Cambria Math"/>
                <w:i/>
                <w:lang w:val="es-ES"/>
              </w:rPr>
            </m:ctrlPr>
          </m:sSupPr>
          <m:e>
            <m:r>
              <w:rPr>
                <w:rFonts w:ascii="Cambria Math" w:hAnsi="Cambria Math"/>
                <w:lang w:val="es-ES"/>
              </w:rPr>
              <m:t>R</m:t>
            </m:r>
          </m:e>
          <m:sup>
            <m:r>
              <w:rPr>
                <w:rFonts w:ascii="Cambria Math" w:hAnsi="Cambria Math"/>
                <w:lang w:val="es-ES"/>
              </w:rPr>
              <m:t>2</m:t>
            </m:r>
          </m:sup>
        </m:sSup>
      </m:oMath>
      <w:r w:rsidR="00AF2BE7">
        <w:rPr>
          <w:rFonts w:eastAsiaTheme="minorEastAsia"/>
          <w:lang w:val="es-ES"/>
        </w:rPr>
        <w:t xml:space="preserve"> y  </w:t>
      </w:r>
      <m:oMath>
        <m:sSup>
          <m:sSupPr>
            <m:ctrlPr>
              <w:rPr>
                <w:rFonts w:ascii="Cambria Math" w:hAnsi="Cambria Math"/>
                <w:i/>
                <w:lang w:val="es-ES"/>
              </w:rPr>
            </m:ctrlPr>
          </m:sSupPr>
          <m:e>
            <m:r>
              <w:rPr>
                <w:rFonts w:ascii="Cambria Math" w:hAnsi="Cambria Math"/>
                <w:lang w:val="es-ES"/>
              </w:rPr>
              <m:t>R</m:t>
            </m:r>
          </m:e>
          <m:sup>
            <m:r>
              <w:rPr>
                <w:rFonts w:ascii="Cambria Math" w:hAnsi="Cambria Math"/>
                <w:lang w:val="es-ES"/>
              </w:rPr>
              <m:t>2</m:t>
            </m:r>
          </m:sup>
        </m:sSup>
      </m:oMath>
      <w:r w:rsidR="00AF2BE7">
        <w:rPr>
          <w:rFonts w:eastAsiaTheme="minorEastAsia"/>
          <w:lang w:val="es-ES"/>
        </w:rPr>
        <w:t xml:space="preserve"> ajustado, AUC-ROC,</w:t>
      </w:r>
      <w:r w:rsidR="006E6F64">
        <w:rPr>
          <w:rFonts w:eastAsiaTheme="minorEastAsia"/>
          <w:lang w:val="es-ES"/>
        </w:rPr>
        <w:t xml:space="preserve"> log-</w:t>
      </w:r>
      <w:r w:rsidR="005E33DD">
        <w:rPr>
          <w:rFonts w:eastAsiaTheme="minorEastAsia"/>
          <w:lang w:val="es-ES"/>
        </w:rPr>
        <w:t>verosimilitud</w:t>
      </w:r>
      <w:r w:rsidR="006E6F64">
        <w:rPr>
          <w:rFonts w:eastAsiaTheme="minorEastAsia"/>
          <w:lang w:val="es-ES"/>
        </w:rPr>
        <w:t>, o</w:t>
      </w:r>
      <w:r w:rsidR="00AF2BE7">
        <w:rPr>
          <w:rFonts w:eastAsiaTheme="minorEastAsia"/>
          <w:lang w:val="es-ES"/>
        </w:rPr>
        <w:t xml:space="preserve"> Brier</w:t>
      </w:r>
      <w:r w:rsidR="006E6F64">
        <w:rPr>
          <w:rFonts w:eastAsiaTheme="minorEastAsia"/>
          <w:lang w:val="es-ES"/>
        </w:rPr>
        <w:t xml:space="preserve"> en el caso de los GP</w:t>
      </w:r>
      <w:r w:rsidR="00AF2BE7">
        <w:rPr>
          <w:rFonts w:eastAsiaTheme="minorEastAsia"/>
          <w:lang w:val="es-ES"/>
        </w:rPr>
        <w:t xml:space="preserve">. </w:t>
      </w:r>
    </w:p>
    <w:p w14:paraId="1226F52A" w14:textId="3AB2CB40" w:rsidR="009D299B" w:rsidRDefault="009D299B" w:rsidP="009D299B">
      <w:pPr>
        <w:pStyle w:val="Prrafodelista"/>
        <w:numPr>
          <w:ilvl w:val="0"/>
          <w:numId w:val="31"/>
        </w:numPr>
        <w:rPr>
          <w:rFonts w:cs="Times New Roman"/>
          <w:b/>
        </w:rPr>
      </w:pPr>
      <w:r w:rsidRPr="009D299B">
        <w:rPr>
          <w:rFonts w:cs="Times New Roman"/>
          <w:b/>
        </w:rPr>
        <w:t>Resultados</w:t>
      </w:r>
    </w:p>
    <w:p w14:paraId="298948BB" w14:textId="7DA17AA0" w:rsidR="009D299B" w:rsidRDefault="005E33DD" w:rsidP="009D299B">
      <w:pPr>
        <w:ind w:firstLine="0"/>
        <w:rPr>
          <w:rFonts w:eastAsiaTheme="minorEastAsia"/>
        </w:rPr>
      </w:pPr>
      <w:r w:rsidRPr="005E33DD">
        <w:t>El modelo GLM Binomial, que no incorpora explícitamente dependencia espacial, alcanzó</w:t>
      </w:r>
      <w:r>
        <w:t xml:space="preserve"> </w:t>
      </w:r>
      <w:r w:rsidR="00275397">
        <w:t xml:space="preserve">un ajuste AUC – ROC de 0.912, un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275397">
        <w:rPr>
          <w:rFonts w:eastAsiaTheme="minorEastAsia"/>
        </w:rPr>
        <w:t xml:space="preserve"> de 0.5320</w:t>
      </w:r>
      <w:r>
        <w:rPr>
          <w:rFonts w:eastAsiaTheme="minorEastAsia"/>
        </w:rPr>
        <w:t>,</w:t>
      </w:r>
      <w:r w:rsidR="00275397">
        <w:rPr>
          <w:rFonts w:eastAsiaTheme="minorEastAsia"/>
        </w:rPr>
        <w:t xml:space="preserve"> un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275397">
        <w:rPr>
          <w:rFonts w:eastAsiaTheme="minorEastAsia"/>
        </w:rPr>
        <w:t xml:space="preserve"> ajustado de 0.5307, y un log-</w:t>
      </w:r>
      <w:r>
        <w:rPr>
          <w:rFonts w:eastAsiaTheme="minorEastAsia"/>
        </w:rPr>
        <w:t>verosimilitud</w:t>
      </w:r>
      <w:r w:rsidR="00275397">
        <w:rPr>
          <w:rFonts w:eastAsiaTheme="minorEastAsia"/>
        </w:rPr>
        <w:t xml:space="preserve"> de -957.25.</w:t>
      </w:r>
      <w:r w:rsidR="00BE31EF">
        <w:rPr>
          <w:rFonts w:eastAsiaTheme="minorEastAsia"/>
        </w:rPr>
        <w:t xml:space="preserve"> Los coeficientes de ajuste se muestran en la siguiente tabla:</w:t>
      </w:r>
    </w:p>
    <w:tbl>
      <w:tblPr>
        <w:tblStyle w:val="Tablaconcuadrcula"/>
        <w:tblW w:w="0" w:type="auto"/>
        <w:jc w:val="center"/>
        <w:tblLook w:val="04A0" w:firstRow="1" w:lastRow="0" w:firstColumn="1" w:lastColumn="0" w:noHBand="0" w:noVBand="1"/>
      </w:tblPr>
      <w:tblGrid>
        <w:gridCol w:w="1508"/>
        <w:gridCol w:w="1509"/>
        <w:gridCol w:w="1509"/>
      </w:tblGrid>
      <w:tr w:rsidR="00BE31EF" w:rsidRPr="00BE31EF" w14:paraId="12CB1F48" w14:textId="77777777" w:rsidTr="00BE31EF">
        <w:trPr>
          <w:trHeight w:val="41"/>
          <w:jc w:val="center"/>
        </w:trPr>
        <w:tc>
          <w:tcPr>
            <w:tcW w:w="4526" w:type="dxa"/>
            <w:gridSpan w:val="3"/>
            <w:tcBorders>
              <w:top w:val="nil"/>
              <w:left w:val="nil"/>
              <w:bottom w:val="single" w:sz="4" w:space="0" w:color="auto"/>
              <w:right w:val="nil"/>
            </w:tcBorders>
            <w:vAlign w:val="center"/>
          </w:tcPr>
          <w:p w14:paraId="1D52F699" w14:textId="01D85B6A" w:rsidR="00BE31EF" w:rsidRPr="00BE31EF" w:rsidRDefault="00BE31EF" w:rsidP="00BE31EF">
            <w:pPr>
              <w:pStyle w:val="Cita"/>
              <w:rPr>
                <w:b/>
                <w:bCs/>
                <w:szCs w:val="18"/>
              </w:rPr>
            </w:pPr>
            <w:bookmarkStart w:id="1" w:name="_Ref236778692"/>
            <w:r>
              <w:t xml:space="preserve">Tabla </w:t>
            </w:r>
            <w:r>
              <w:fldChar w:fldCharType="begin"/>
            </w:r>
            <w:r>
              <w:instrText xml:space="preserve"> SEQ Tabla \* ARABIC </w:instrText>
            </w:r>
            <w:r>
              <w:fldChar w:fldCharType="separate"/>
            </w:r>
            <w:r w:rsidR="003A6A3C">
              <w:rPr>
                <w:noProof/>
              </w:rPr>
              <w:t>1</w:t>
            </w:r>
            <w:r>
              <w:fldChar w:fldCharType="end"/>
            </w:r>
            <w:bookmarkEnd w:id="1"/>
            <w:r>
              <w:t>.  Parámetros de ajuste del modelo GLM Binomial</w:t>
            </w:r>
          </w:p>
        </w:tc>
      </w:tr>
      <w:tr w:rsidR="00BE31EF" w:rsidRPr="00BE31EF" w14:paraId="5D88AC6B" w14:textId="77777777" w:rsidTr="00795CA3">
        <w:trPr>
          <w:trHeight w:val="41"/>
          <w:jc w:val="center"/>
        </w:trPr>
        <w:tc>
          <w:tcPr>
            <w:tcW w:w="1508" w:type="dxa"/>
            <w:tcBorders>
              <w:top w:val="single" w:sz="4" w:space="0" w:color="auto"/>
            </w:tcBorders>
            <w:shd w:val="clear" w:color="auto" w:fill="BFBFBF" w:themeFill="background1" w:themeFillShade="BF"/>
            <w:vAlign w:val="center"/>
          </w:tcPr>
          <w:p w14:paraId="0B71E230" w14:textId="0A5BDB2E" w:rsidR="00BE31EF" w:rsidRPr="00BE31EF" w:rsidRDefault="00BE31EF" w:rsidP="00BE31EF">
            <w:pPr>
              <w:ind w:firstLine="0"/>
              <w:jc w:val="center"/>
              <w:rPr>
                <w:b/>
                <w:bCs/>
                <w:sz w:val="16"/>
                <w:szCs w:val="18"/>
              </w:rPr>
            </w:pPr>
            <w:r w:rsidRPr="00BE31EF">
              <w:rPr>
                <w:b/>
                <w:bCs/>
                <w:sz w:val="16"/>
                <w:szCs w:val="18"/>
              </w:rPr>
              <w:t>Variable</w:t>
            </w:r>
          </w:p>
        </w:tc>
        <w:tc>
          <w:tcPr>
            <w:tcW w:w="1509" w:type="dxa"/>
            <w:tcBorders>
              <w:top w:val="single" w:sz="4" w:space="0" w:color="auto"/>
            </w:tcBorders>
            <w:shd w:val="clear" w:color="auto" w:fill="BFBFBF" w:themeFill="background1" w:themeFillShade="BF"/>
            <w:vAlign w:val="center"/>
          </w:tcPr>
          <w:p w14:paraId="2AFF0A01" w14:textId="069277AF" w:rsidR="00BE31EF" w:rsidRPr="00BE31EF" w:rsidRDefault="00BE31EF" w:rsidP="00BE31EF">
            <w:pPr>
              <w:ind w:firstLine="0"/>
              <w:jc w:val="center"/>
              <w:rPr>
                <w:b/>
                <w:bCs/>
                <w:sz w:val="16"/>
                <w:szCs w:val="18"/>
              </w:rPr>
            </w:pPr>
            <w:r w:rsidRPr="00BE31EF">
              <w:rPr>
                <w:b/>
                <w:bCs/>
                <w:sz w:val="16"/>
                <w:szCs w:val="18"/>
              </w:rPr>
              <w:t>Valor</w:t>
            </w:r>
          </w:p>
        </w:tc>
        <w:tc>
          <w:tcPr>
            <w:tcW w:w="1509" w:type="dxa"/>
            <w:tcBorders>
              <w:top w:val="single" w:sz="4" w:space="0" w:color="auto"/>
            </w:tcBorders>
            <w:shd w:val="clear" w:color="auto" w:fill="BFBFBF" w:themeFill="background1" w:themeFillShade="BF"/>
            <w:vAlign w:val="center"/>
          </w:tcPr>
          <w:p w14:paraId="152F958B" w14:textId="3F5FAB10" w:rsidR="00BE31EF" w:rsidRPr="00BE31EF" w:rsidRDefault="00BE31EF" w:rsidP="00BE31EF">
            <w:pPr>
              <w:ind w:firstLine="0"/>
              <w:jc w:val="center"/>
              <w:rPr>
                <w:b/>
                <w:bCs/>
                <w:sz w:val="16"/>
                <w:szCs w:val="18"/>
              </w:rPr>
            </w:pPr>
            <w:r w:rsidRPr="00BE31EF">
              <w:rPr>
                <w:b/>
                <w:bCs/>
                <w:sz w:val="16"/>
                <w:szCs w:val="18"/>
              </w:rPr>
              <w:t>p-</w:t>
            </w:r>
            <w:proofErr w:type="spellStart"/>
            <w:r w:rsidRPr="00BE31EF">
              <w:rPr>
                <w:b/>
                <w:bCs/>
                <w:sz w:val="16"/>
                <w:szCs w:val="18"/>
              </w:rPr>
              <w:t>value</w:t>
            </w:r>
            <w:proofErr w:type="spellEnd"/>
          </w:p>
        </w:tc>
      </w:tr>
      <w:tr w:rsidR="00BE31EF" w:rsidRPr="00BE31EF" w14:paraId="1D6923F6" w14:textId="77777777" w:rsidTr="00BE31EF">
        <w:trPr>
          <w:jc w:val="center"/>
        </w:trPr>
        <w:tc>
          <w:tcPr>
            <w:tcW w:w="1508" w:type="dxa"/>
            <w:vAlign w:val="center"/>
          </w:tcPr>
          <w:p w14:paraId="5F4B642E" w14:textId="07C6F559" w:rsidR="00BE31EF" w:rsidRPr="00BE31EF" w:rsidRDefault="00BE31EF" w:rsidP="00BE31EF">
            <w:pPr>
              <w:ind w:firstLine="0"/>
              <w:jc w:val="center"/>
              <w:rPr>
                <w:sz w:val="16"/>
                <w:szCs w:val="18"/>
              </w:rPr>
            </w:pPr>
            <w:r w:rsidRPr="00BE31EF">
              <w:rPr>
                <w:sz w:val="16"/>
                <w:szCs w:val="18"/>
              </w:rPr>
              <w:t>Constante</w:t>
            </w:r>
          </w:p>
        </w:tc>
        <w:tc>
          <w:tcPr>
            <w:tcW w:w="1509" w:type="dxa"/>
            <w:vAlign w:val="center"/>
          </w:tcPr>
          <w:p w14:paraId="6A4F1459" w14:textId="6ADA0939" w:rsidR="00BE31EF" w:rsidRPr="00BE31EF" w:rsidRDefault="00BE31EF" w:rsidP="00BE31EF">
            <w:pPr>
              <w:ind w:firstLine="0"/>
              <w:jc w:val="center"/>
              <w:rPr>
                <w:sz w:val="16"/>
                <w:szCs w:val="18"/>
              </w:rPr>
            </w:pPr>
            <w:r w:rsidRPr="00BE31EF">
              <w:rPr>
                <w:sz w:val="16"/>
                <w:szCs w:val="18"/>
              </w:rPr>
              <w:t>-0.1288</w:t>
            </w:r>
          </w:p>
        </w:tc>
        <w:tc>
          <w:tcPr>
            <w:tcW w:w="1509" w:type="dxa"/>
            <w:vAlign w:val="center"/>
          </w:tcPr>
          <w:p w14:paraId="76CC79CA" w14:textId="601643EB" w:rsidR="00BE31EF" w:rsidRPr="00BE31EF" w:rsidRDefault="00BE31EF" w:rsidP="00BE31EF">
            <w:pPr>
              <w:ind w:firstLine="0"/>
              <w:jc w:val="center"/>
              <w:rPr>
                <w:sz w:val="16"/>
                <w:szCs w:val="18"/>
              </w:rPr>
            </w:pPr>
            <w:r w:rsidRPr="00BE31EF">
              <w:rPr>
                <w:sz w:val="16"/>
                <w:szCs w:val="18"/>
              </w:rPr>
              <w:t>0.034</w:t>
            </w:r>
          </w:p>
        </w:tc>
      </w:tr>
      <w:tr w:rsidR="00BE31EF" w:rsidRPr="00BE31EF" w14:paraId="591DBBEC" w14:textId="77777777" w:rsidTr="00BE31EF">
        <w:trPr>
          <w:jc w:val="center"/>
        </w:trPr>
        <w:tc>
          <w:tcPr>
            <w:tcW w:w="1508" w:type="dxa"/>
            <w:vAlign w:val="center"/>
          </w:tcPr>
          <w:p w14:paraId="6595454B" w14:textId="10C281B8" w:rsidR="00BE31EF" w:rsidRPr="00BE31EF" w:rsidRDefault="00BE31EF" w:rsidP="00BE31EF">
            <w:pPr>
              <w:ind w:firstLine="0"/>
              <w:jc w:val="center"/>
              <w:rPr>
                <w:sz w:val="16"/>
                <w:szCs w:val="18"/>
              </w:rPr>
            </w:pPr>
            <w:r w:rsidRPr="00BE31EF">
              <w:rPr>
                <w:sz w:val="16"/>
                <w:szCs w:val="18"/>
              </w:rPr>
              <w:t>Área</w:t>
            </w:r>
          </w:p>
        </w:tc>
        <w:tc>
          <w:tcPr>
            <w:tcW w:w="1509" w:type="dxa"/>
            <w:vAlign w:val="center"/>
          </w:tcPr>
          <w:p w14:paraId="2A903F8A" w14:textId="7824A058" w:rsidR="00BE31EF" w:rsidRPr="00BE31EF" w:rsidRDefault="00BE31EF" w:rsidP="00BE31EF">
            <w:pPr>
              <w:ind w:firstLine="0"/>
              <w:jc w:val="center"/>
              <w:rPr>
                <w:sz w:val="16"/>
                <w:szCs w:val="18"/>
              </w:rPr>
            </w:pPr>
            <w:r w:rsidRPr="00BE31EF">
              <w:rPr>
                <w:sz w:val="16"/>
                <w:szCs w:val="18"/>
              </w:rPr>
              <w:t>0.6638</w:t>
            </w:r>
          </w:p>
        </w:tc>
        <w:tc>
          <w:tcPr>
            <w:tcW w:w="1509" w:type="dxa"/>
            <w:vAlign w:val="center"/>
          </w:tcPr>
          <w:p w14:paraId="7AE25D2F" w14:textId="5B78E193" w:rsidR="00BE31EF" w:rsidRPr="00BE31EF" w:rsidRDefault="00BE31EF" w:rsidP="00BE31EF">
            <w:pPr>
              <w:ind w:firstLine="0"/>
              <w:jc w:val="center"/>
              <w:rPr>
                <w:sz w:val="16"/>
                <w:szCs w:val="18"/>
              </w:rPr>
            </w:pPr>
            <w:r w:rsidRPr="00BE31EF">
              <w:rPr>
                <w:sz w:val="16"/>
                <w:szCs w:val="18"/>
              </w:rPr>
              <w:t>0.000</w:t>
            </w:r>
          </w:p>
        </w:tc>
      </w:tr>
      <w:tr w:rsidR="00BE31EF" w:rsidRPr="00BE31EF" w14:paraId="52DE6325" w14:textId="77777777" w:rsidTr="00BE31EF">
        <w:trPr>
          <w:jc w:val="center"/>
        </w:trPr>
        <w:tc>
          <w:tcPr>
            <w:tcW w:w="1508" w:type="dxa"/>
            <w:vAlign w:val="center"/>
          </w:tcPr>
          <w:p w14:paraId="64BF43A5" w14:textId="619E00AE" w:rsidR="00BE31EF" w:rsidRPr="00BE31EF" w:rsidRDefault="00BE31EF" w:rsidP="00BE31EF">
            <w:pPr>
              <w:ind w:firstLine="0"/>
              <w:jc w:val="center"/>
              <w:rPr>
                <w:sz w:val="16"/>
                <w:szCs w:val="18"/>
              </w:rPr>
            </w:pPr>
            <w:r w:rsidRPr="00BE31EF">
              <w:rPr>
                <w:sz w:val="16"/>
                <w:szCs w:val="18"/>
              </w:rPr>
              <w:t>Pendiente</w:t>
            </w:r>
          </w:p>
        </w:tc>
        <w:tc>
          <w:tcPr>
            <w:tcW w:w="1509" w:type="dxa"/>
            <w:vAlign w:val="center"/>
          </w:tcPr>
          <w:p w14:paraId="1892F4E6" w14:textId="1C46D217" w:rsidR="00BE31EF" w:rsidRPr="00BE31EF" w:rsidRDefault="00BE31EF" w:rsidP="00BE31EF">
            <w:pPr>
              <w:ind w:firstLine="0"/>
              <w:jc w:val="center"/>
              <w:rPr>
                <w:sz w:val="16"/>
                <w:szCs w:val="18"/>
              </w:rPr>
            </w:pPr>
            <w:r w:rsidRPr="00BE31EF">
              <w:rPr>
                <w:sz w:val="16"/>
                <w:szCs w:val="18"/>
              </w:rPr>
              <w:t>0.9090</w:t>
            </w:r>
          </w:p>
        </w:tc>
        <w:tc>
          <w:tcPr>
            <w:tcW w:w="1509" w:type="dxa"/>
            <w:vAlign w:val="center"/>
          </w:tcPr>
          <w:p w14:paraId="58C9DADE" w14:textId="23326277" w:rsidR="00BE31EF" w:rsidRPr="00BE31EF" w:rsidRDefault="00BE31EF" w:rsidP="00BE31EF">
            <w:pPr>
              <w:ind w:firstLine="0"/>
              <w:jc w:val="center"/>
              <w:rPr>
                <w:sz w:val="16"/>
                <w:szCs w:val="18"/>
              </w:rPr>
            </w:pPr>
            <w:r w:rsidRPr="00BE31EF">
              <w:rPr>
                <w:sz w:val="16"/>
                <w:szCs w:val="18"/>
              </w:rPr>
              <w:t>0.000</w:t>
            </w:r>
          </w:p>
        </w:tc>
      </w:tr>
      <w:tr w:rsidR="00BE31EF" w:rsidRPr="00BE31EF" w14:paraId="32C7CAA1" w14:textId="77777777" w:rsidTr="00BE31EF">
        <w:trPr>
          <w:jc w:val="center"/>
        </w:trPr>
        <w:tc>
          <w:tcPr>
            <w:tcW w:w="1508" w:type="dxa"/>
            <w:vAlign w:val="center"/>
          </w:tcPr>
          <w:p w14:paraId="388E5CE1" w14:textId="5AC1DF98" w:rsidR="00BE31EF" w:rsidRPr="00BE31EF" w:rsidRDefault="00BE31EF" w:rsidP="00BE31EF">
            <w:pPr>
              <w:ind w:firstLine="0"/>
              <w:jc w:val="center"/>
              <w:rPr>
                <w:sz w:val="16"/>
                <w:szCs w:val="18"/>
              </w:rPr>
            </w:pPr>
            <w:r w:rsidRPr="00BE31EF">
              <w:rPr>
                <w:sz w:val="16"/>
                <w:szCs w:val="18"/>
              </w:rPr>
              <w:t>Elevación</w:t>
            </w:r>
          </w:p>
        </w:tc>
        <w:tc>
          <w:tcPr>
            <w:tcW w:w="1509" w:type="dxa"/>
            <w:vAlign w:val="center"/>
          </w:tcPr>
          <w:p w14:paraId="488E06CB" w14:textId="624D0474" w:rsidR="00BE31EF" w:rsidRPr="00BE31EF" w:rsidRDefault="00BE31EF" w:rsidP="00BE31EF">
            <w:pPr>
              <w:ind w:firstLine="0"/>
              <w:jc w:val="center"/>
              <w:rPr>
                <w:sz w:val="16"/>
                <w:szCs w:val="18"/>
              </w:rPr>
            </w:pPr>
            <w:r w:rsidRPr="00BE31EF">
              <w:rPr>
                <w:sz w:val="16"/>
                <w:szCs w:val="18"/>
              </w:rPr>
              <w:t>0.8254</w:t>
            </w:r>
          </w:p>
        </w:tc>
        <w:tc>
          <w:tcPr>
            <w:tcW w:w="1509" w:type="dxa"/>
            <w:vAlign w:val="center"/>
          </w:tcPr>
          <w:p w14:paraId="0BA77889" w14:textId="5EF82507" w:rsidR="00BE31EF" w:rsidRPr="00BE31EF" w:rsidRDefault="00BE31EF" w:rsidP="00BE31EF">
            <w:pPr>
              <w:ind w:firstLine="0"/>
              <w:jc w:val="center"/>
              <w:rPr>
                <w:sz w:val="16"/>
                <w:szCs w:val="18"/>
              </w:rPr>
            </w:pPr>
            <w:r w:rsidRPr="00BE31EF">
              <w:rPr>
                <w:sz w:val="16"/>
                <w:szCs w:val="18"/>
              </w:rPr>
              <w:t>0.000</w:t>
            </w:r>
          </w:p>
        </w:tc>
      </w:tr>
      <w:tr w:rsidR="00BE31EF" w:rsidRPr="00BE31EF" w14:paraId="70955EB2" w14:textId="77777777" w:rsidTr="00BE31EF">
        <w:trPr>
          <w:jc w:val="center"/>
        </w:trPr>
        <w:tc>
          <w:tcPr>
            <w:tcW w:w="1508" w:type="dxa"/>
            <w:vAlign w:val="center"/>
          </w:tcPr>
          <w:p w14:paraId="35B5586F" w14:textId="5B03BA18" w:rsidR="00BE31EF" w:rsidRPr="00BE31EF" w:rsidRDefault="00BE31EF" w:rsidP="00BE31EF">
            <w:pPr>
              <w:ind w:firstLine="0"/>
              <w:jc w:val="center"/>
              <w:rPr>
                <w:sz w:val="16"/>
                <w:szCs w:val="18"/>
              </w:rPr>
            </w:pPr>
            <w:r w:rsidRPr="00BE31EF">
              <w:rPr>
                <w:sz w:val="16"/>
                <w:szCs w:val="18"/>
              </w:rPr>
              <w:t>LAI</w:t>
            </w:r>
          </w:p>
        </w:tc>
        <w:tc>
          <w:tcPr>
            <w:tcW w:w="1509" w:type="dxa"/>
            <w:vAlign w:val="center"/>
          </w:tcPr>
          <w:p w14:paraId="090E5AEB" w14:textId="44F04464" w:rsidR="00BE31EF" w:rsidRPr="00BE31EF" w:rsidRDefault="00BE31EF" w:rsidP="00BE31EF">
            <w:pPr>
              <w:ind w:firstLine="0"/>
              <w:jc w:val="center"/>
              <w:rPr>
                <w:sz w:val="16"/>
                <w:szCs w:val="18"/>
              </w:rPr>
            </w:pPr>
            <w:r w:rsidRPr="00BE31EF">
              <w:rPr>
                <w:sz w:val="16"/>
                <w:szCs w:val="18"/>
              </w:rPr>
              <w:t>-0.6323</w:t>
            </w:r>
          </w:p>
        </w:tc>
        <w:tc>
          <w:tcPr>
            <w:tcW w:w="1509" w:type="dxa"/>
            <w:vAlign w:val="center"/>
          </w:tcPr>
          <w:p w14:paraId="06C28C84" w14:textId="68D4D240" w:rsidR="00BE31EF" w:rsidRPr="00BE31EF" w:rsidRDefault="00BE31EF" w:rsidP="00BE31EF">
            <w:pPr>
              <w:ind w:firstLine="0"/>
              <w:jc w:val="center"/>
              <w:rPr>
                <w:sz w:val="16"/>
                <w:szCs w:val="18"/>
              </w:rPr>
            </w:pPr>
            <w:r w:rsidRPr="00BE31EF">
              <w:rPr>
                <w:sz w:val="16"/>
                <w:szCs w:val="18"/>
              </w:rPr>
              <w:t>0.000</w:t>
            </w:r>
          </w:p>
        </w:tc>
      </w:tr>
      <w:tr w:rsidR="00BE31EF" w:rsidRPr="00BE31EF" w14:paraId="2AB262F4" w14:textId="77777777" w:rsidTr="00BE31EF">
        <w:trPr>
          <w:jc w:val="center"/>
        </w:trPr>
        <w:tc>
          <w:tcPr>
            <w:tcW w:w="1508" w:type="dxa"/>
            <w:vAlign w:val="center"/>
          </w:tcPr>
          <w:p w14:paraId="49BA50DD" w14:textId="27605589" w:rsidR="00BE31EF" w:rsidRPr="00BE31EF" w:rsidRDefault="00BE31EF" w:rsidP="00BE31EF">
            <w:pPr>
              <w:ind w:firstLine="0"/>
              <w:jc w:val="center"/>
              <w:rPr>
                <w:sz w:val="16"/>
                <w:szCs w:val="18"/>
              </w:rPr>
            </w:pPr>
            <w:r w:rsidRPr="00BE31EF">
              <w:rPr>
                <w:sz w:val="16"/>
                <w:szCs w:val="18"/>
              </w:rPr>
              <w:t>TPI</w:t>
            </w:r>
          </w:p>
        </w:tc>
        <w:tc>
          <w:tcPr>
            <w:tcW w:w="1509" w:type="dxa"/>
            <w:vAlign w:val="center"/>
          </w:tcPr>
          <w:p w14:paraId="0BBD061B" w14:textId="5B473F14" w:rsidR="00BE31EF" w:rsidRPr="00BE31EF" w:rsidRDefault="00BE31EF" w:rsidP="00BE31EF">
            <w:pPr>
              <w:ind w:firstLine="0"/>
              <w:jc w:val="center"/>
              <w:rPr>
                <w:sz w:val="16"/>
                <w:szCs w:val="18"/>
              </w:rPr>
            </w:pPr>
            <w:r w:rsidRPr="00BE31EF">
              <w:rPr>
                <w:sz w:val="16"/>
                <w:szCs w:val="18"/>
              </w:rPr>
              <w:t>1.1801</w:t>
            </w:r>
          </w:p>
        </w:tc>
        <w:tc>
          <w:tcPr>
            <w:tcW w:w="1509" w:type="dxa"/>
            <w:vAlign w:val="center"/>
          </w:tcPr>
          <w:p w14:paraId="6D9FE8C9" w14:textId="7374E7BC" w:rsidR="00BE31EF" w:rsidRPr="00BE31EF" w:rsidRDefault="00BE31EF" w:rsidP="00BE31EF">
            <w:pPr>
              <w:ind w:firstLine="0"/>
              <w:jc w:val="center"/>
              <w:rPr>
                <w:sz w:val="16"/>
                <w:szCs w:val="18"/>
              </w:rPr>
            </w:pPr>
            <w:r w:rsidRPr="00BE31EF">
              <w:rPr>
                <w:sz w:val="16"/>
                <w:szCs w:val="18"/>
              </w:rPr>
              <w:t>0.000</w:t>
            </w:r>
          </w:p>
        </w:tc>
      </w:tr>
      <w:tr w:rsidR="00BE31EF" w:rsidRPr="00BE31EF" w14:paraId="65993BEC" w14:textId="77777777" w:rsidTr="00BE31EF">
        <w:trPr>
          <w:jc w:val="center"/>
        </w:trPr>
        <w:tc>
          <w:tcPr>
            <w:tcW w:w="1508" w:type="dxa"/>
            <w:vAlign w:val="center"/>
          </w:tcPr>
          <w:p w14:paraId="2BEB2F9B" w14:textId="12D04FBB" w:rsidR="00BE31EF" w:rsidRPr="00BE31EF" w:rsidRDefault="00BE31EF" w:rsidP="00BE31EF">
            <w:pPr>
              <w:ind w:firstLine="0"/>
              <w:jc w:val="center"/>
              <w:rPr>
                <w:sz w:val="16"/>
                <w:szCs w:val="18"/>
              </w:rPr>
            </w:pPr>
            <w:r w:rsidRPr="00BE31EF">
              <w:rPr>
                <w:sz w:val="16"/>
                <w:szCs w:val="18"/>
              </w:rPr>
              <w:t>Curvatura</w:t>
            </w:r>
          </w:p>
        </w:tc>
        <w:tc>
          <w:tcPr>
            <w:tcW w:w="1509" w:type="dxa"/>
            <w:vAlign w:val="center"/>
          </w:tcPr>
          <w:p w14:paraId="788E29D8" w14:textId="7502330E" w:rsidR="00BE31EF" w:rsidRPr="00BE31EF" w:rsidRDefault="00BE31EF" w:rsidP="00BE31EF">
            <w:pPr>
              <w:ind w:firstLine="0"/>
              <w:jc w:val="center"/>
              <w:rPr>
                <w:sz w:val="16"/>
                <w:szCs w:val="18"/>
              </w:rPr>
            </w:pPr>
            <w:r w:rsidRPr="00BE31EF">
              <w:rPr>
                <w:sz w:val="16"/>
                <w:szCs w:val="18"/>
              </w:rPr>
              <w:t>1.4656</w:t>
            </w:r>
          </w:p>
        </w:tc>
        <w:tc>
          <w:tcPr>
            <w:tcW w:w="1509" w:type="dxa"/>
            <w:vAlign w:val="center"/>
          </w:tcPr>
          <w:p w14:paraId="00E829D3" w14:textId="75D0617F" w:rsidR="00BE31EF" w:rsidRPr="00BE31EF" w:rsidRDefault="00BE31EF" w:rsidP="00BE31EF">
            <w:pPr>
              <w:ind w:firstLine="0"/>
              <w:jc w:val="center"/>
              <w:rPr>
                <w:sz w:val="16"/>
                <w:szCs w:val="18"/>
              </w:rPr>
            </w:pPr>
            <w:r w:rsidRPr="00BE31EF">
              <w:rPr>
                <w:sz w:val="16"/>
                <w:szCs w:val="18"/>
              </w:rPr>
              <w:t>0.000</w:t>
            </w:r>
          </w:p>
        </w:tc>
      </w:tr>
      <w:tr w:rsidR="00BE31EF" w:rsidRPr="00BE31EF" w14:paraId="1B0F8B8F" w14:textId="77777777" w:rsidTr="00BE31EF">
        <w:trPr>
          <w:jc w:val="center"/>
        </w:trPr>
        <w:tc>
          <w:tcPr>
            <w:tcW w:w="1508" w:type="dxa"/>
            <w:vAlign w:val="center"/>
          </w:tcPr>
          <w:p w14:paraId="1A7177D1" w14:textId="6FEE1DA2" w:rsidR="00BE31EF" w:rsidRPr="00BE31EF" w:rsidRDefault="00BE31EF" w:rsidP="00BE31EF">
            <w:pPr>
              <w:ind w:firstLine="0"/>
              <w:jc w:val="center"/>
              <w:rPr>
                <w:sz w:val="16"/>
                <w:szCs w:val="18"/>
              </w:rPr>
            </w:pPr>
            <w:r w:rsidRPr="00BE31EF">
              <w:rPr>
                <w:sz w:val="16"/>
                <w:szCs w:val="18"/>
              </w:rPr>
              <w:t>TRI</w:t>
            </w:r>
          </w:p>
        </w:tc>
        <w:tc>
          <w:tcPr>
            <w:tcW w:w="1509" w:type="dxa"/>
            <w:vAlign w:val="center"/>
          </w:tcPr>
          <w:p w14:paraId="0E0E5E00" w14:textId="02A85F0C" w:rsidR="00BE31EF" w:rsidRPr="00BE31EF" w:rsidRDefault="00BE31EF" w:rsidP="00BE31EF">
            <w:pPr>
              <w:ind w:firstLine="0"/>
              <w:jc w:val="center"/>
              <w:rPr>
                <w:sz w:val="16"/>
                <w:szCs w:val="18"/>
              </w:rPr>
            </w:pPr>
            <w:r w:rsidRPr="00BE31EF">
              <w:rPr>
                <w:sz w:val="16"/>
                <w:szCs w:val="18"/>
              </w:rPr>
              <w:t>-0.2701</w:t>
            </w:r>
          </w:p>
        </w:tc>
        <w:tc>
          <w:tcPr>
            <w:tcW w:w="1509" w:type="dxa"/>
            <w:vAlign w:val="center"/>
          </w:tcPr>
          <w:p w14:paraId="5838EE01" w14:textId="4274411B" w:rsidR="00BE31EF" w:rsidRPr="00BE31EF" w:rsidRDefault="00BE31EF" w:rsidP="00BE31EF">
            <w:pPr>
              <w:ind w:firstLine="0"/>
              <w:jc w:val="center"/>
              <w:rPr>
                <w:sz w:val="16"/>
                <w:szCs w:val="18"/>
              </w:rPr>
            </w:pPr>
            <w:r w:rsidRPr="00BE31EF">
              <w:rPr>
                <w:sz w:val="16"/>
                <w:szCs w:val="18"/>
              </w:rPr>
              <w:t>0.020</w:t>
            </w:r>
          </w:p>
        </w:tc>
      </w:tr>
    </w:tbl>
    <w:p w14:paraId="703C19FC" w14:textId="6C75F707" w:rsidR="00BE31EF" w:rsidRDefault="00BE31EF" w:rsidP="009D299B">
      <w:pPr>
        <w:ind w:firstLine="0"/>
      </w:pPr>
      <w:r>
        <w:t>Este modelo</w:t>
      </w:r>
      <w:r w:rsidR="003F33DC">
        <w:t xml:space="preserve"> </w:t>
      </w:r>
      <w:r w:rsidR="00A11A05">
        <w:t>de clasificación permitió identificar aquellas variables que cuenta con una significancia en la descripción de las ocurrencias de los eventos</w:t>
      </w:r>
      <w:r w:rsidR="00577981">
        <w:t xml:space="preserve"> y su influencia general en la estimación</w:t>
      </w:r>
      <w:r w:rsidR="00D53E69">
        <w:t xml:space="preserve"> de la ocurrencia de eventos</w:t>
      </w:r>
      <w:r w:rsidR="00A11A05">
        <w:t xml:space="preserve">, mostrando que el </w:t>
      </w:r>
      <w:r w:rsidR="00577981">
        <w:t xml:space="preserve">LAI cuenta con significancia estadística, donde el coeficiente describe un proceso inverso: </w:t>
      </w:r>
      <w:r w:rsidR="005E33DD" w:rsidRPr="005E33DD">
        <w:t>menores valores de LAI se asociaron con una mayor probabilidad estimada de inundación</w:t>
      </w:r>
      <w:r w:rsidR="00577981">
        <w:t>.</w:t>
      </w:r>
    </w:p>
    <w:p w14:paraId="656D0682" w14:textId="5AE3B936" w:rsidR="001B69AD" w:rsidRDefault="001B69AD" w:rsidP="009D299B">
      <w:pPr>
        <w:ind w:firstLine="0"/>
      </w:pPr>
      <w:r w:rsidRPr="001B69AD">
        <w:t xml:space="preserve">A escala municipal, </w:t>
      </w:r>
      <w:r>
        <w:t>múltiples variables evidenciaron dependencia espacial, por lo que la</w:t>
      </w:r>
      <w:r w:rsidRPr="001B69AD">
        <w:t xml:space="preserve"> distribución de los eventos de inundación presentó una estructura espacial que justificó la incorporación de la dependencia entre municipios vecinos</w:t>
      </w:r>
      <w:r>
        <w:t>.</w:t>
      </w:r>
      <w:r w:rsidRPr="001B69AD">
        <w:t xml:space="preserve"> </w:t>
      </w:r>
    </w:p>
    <w:tbl>
      <w:tblPr>
        <w:tblStyle w:val="Tablaconcuadrcula"/>
        <w:tblW w:w="0" w:type="auto"/>
        <w:tblLook w:val="04A0" w:firstRow="1" w:lastRow="0" w:firstColumn="1" w:lastColumn="0" w:noHBand="0" w:noVBand="1"/>
      </w:tblPr>
      <w:tblGrid>
        <w:gridCol w:w="1508"/>
        <w:gridCol w:w="1509"/>
        <w:gridCol w:w="1509"/>
      </w:tblGrid>
      <w:tr w:rsidR="00795CA3" w:rsidRPr="00795CA3" w14:paraId="70937C17" w14:textId="77777777" w:rsidTr="00795CA3">
        <w:trPr>
          <w:tblHeader/>
        </w:trPr>
        <w:tc>
          <w:tcPr>
            <w:tcW w:w="4526" w:type="dxa"/>
            <w:gridSpan w:val="3"/>
            <w:tcBorders>
              <w:top w:val="nil"/>
              <w:left w:val="nil"/>
              <w:bottom w:val="single" w:sz="4" w:space="0" w:color="auto"/>
              <w:right w:val="nil"/>
            </w:tcBorders>
            <w:vAlign w:val="center"/>
          </w:tcPr>
          <w:p w14:paraId="327FEC28" w14:textId="78896D28" w:rsidR="00795CA3" w:rsidRPr="00795CA3" w:rsidRDefault="00795CA3" w:rsidP="00795CA3">
            <w:pPr>
              <w:pStyle w:val="Cita"/>
              <w:rPr>
                <w:b/>
                <w:bCs/>
                <w:szCs w:val="18"/>
              </w:rPr>
            </w:pPr>
            <w:r>
              <w:t>Tabla </w:t>
            </w:r>
            <w:r>
              <w:fldChar w:fldCharType="begin"/>
            </w:r>
            <w:r>
              <w:instrText xml:space="preserve"> SEQ Tabla \* ARABIC </w:instrText>
            </w:r>
            <w:r>
              <w:fldChar w:fldCharType="separate"/>
            </w:r>
            <w:r w:rsidR="003A6A3C">
              <w:rPr>
                <w:noProof/>
              </w:rPr>
              <w:t>2</w:t>
            </w:r>
            <w:r>
              <w:fldChar w:fldCharType="end"/>
            </w:r>
            <w:r>
              <w:t>.  Índice de Moran para las diferentes variables</w:t>
            </w:r>
          </w:p>
        </w:tc>
      </w:tr>
      <w:tr w:rsidR="00795CA3" w:rsidRPr="00795CA3" w14:paraId="10F70F78" w14:textId="77777777" w:rsidTr="00795CA3">
        <w:trPr>
          <w:tblHeader/>
        </w:trPr>
        <w:tc>
          <w:tcPr>
            <w:tcW w:w="1508" w:type="dxa"/>
            <w:tcBorders>
              <w:top w:val="single" w:sz="4" w:space="0" w:color="auto"/>
            </w:tcBorders>
            <w:shd w:val="clear" w:color="auto" w:fill="BFBFBF" w:themeFill="background1" w:themeFillShade="BF"/>
            <w:vAlign w:val="center"/>
          </w:tcPr>
          <w:p w14:paraId="438985C6" w14:textId="43BF0C38" w:rsidR="00795CA3" w:rsidRPr="00795CA3" w:rsidRDefault="00795CA3" w:rsidP="00795CA3">
            <w:pPr>
              <w:ind w:firstLine="0"/>
              <w:jc w:val="center"/>
              <w:rPr>
                <w:b/>
                <w:bCs/>
                <w:sz w:val="16"/>
                <w:szCs w:val="18"/>
              </w:rPr>
            </w:pPr>
            <w:r w:rsidRPr="00795CA3">
              <w:rPr>
                <w:b/>
                <w:bCs/>
                <w:sz w:val="16"/>
                <w:szCs w:val="18"/>
              </w:rPr>
              <w:t>Variable</w:t>
            </w:r>
          </w:p>
        </w:tc>
        <w:tc>
          <w:tcPr>
            <w:tcW w:w="1509" w:type="dxa"/>
            <w:tcBorders>
              <w:top w:val="single" w:sz="4" w:space="0" w:color="auto"/>
            </w:tcBorders>
            <w:shd w:val="clear" w:color="auto" w:fill="BFBFBF" w:themeFill="background1" w:themeFillShade="BF"/>
            <w:vAlign w:val="center"/>
          </w:tcPr>
          <w:p w14:paraId="0DDDC9CF" w14:textId="5329A53D" w:rsidR="00795CA3" w:rsidRPr="00795CA3" w:rsidRDefault="00795CA3" w:rsidP="00795CA3">
            <w:pPr>
              <w:ind w:firstLine="0"/>
              <w:jc w:val="center"/>
              <w:rPr>
                <w:b/>
                <w:bCs/>
                <w:sz w:val="16"/>
                <w:szCs w:val="18"/>
              </w:rPr>
            </w:pPr>
            <w:r w:rsidRPr="00795CA3">
              <w:rPr>
                <w:b/>
                <w:bCs/>
                <w:sz w:val="16"/>
                <w:szCs w:val="18"/>
              </w:rPr>
              <w:t>Índice Moran</w:t>
            </w:r>
          </w:p>
        </w:tc>
        <w:tc>
          <w:tcPr>
            <w:tcW w:w="1509" w:type="dxa"/>
            <w:tcBorders>
              <w:top w:val="single" w:sz="4" w:space="0" w:color="auto"/>
            </w:tcBorders>
            <w:shd w:val="clear" w:color="auto" w:fill="BFBFBF" w:themeFill="background1" w:themeFillShade="BF"/>
            <w:vAlign w:val="center"/>
          </w:tcPr>
          <w:p w14:paraId="1093CB9D" w14:textId="2B758397" w:rsidR="00795CA3" w:rsidRPr="00795CA3" w:rsidRDefault="00795CA3" w:rsidP="00795CA3">
            <w:pPr>
              <w:ind w:firstLine="0"/>
              <w:jc w:val="center"/>
              <w:rPr>
                <w:b/>
                <w:bCs/>
                <w:sz w:val="16"/>
                <w:szCs w:val="18"/>
              </w:rPr>
            </w:pPr>
            <w:r w:rsidRPr="00795CA3">
              <w:rPr>
                <w:b/>
                <w:bCs/>
                <w:sz w:val="16"/>
                <w:szCs w:val="18"/>
              </w:rPr>
              <w:t>p-</w:t>
            </w:r>
            <w:proofErr w:type="spellStart"/>
            <w:r w:rsidRPr="00795CA3">
              <w:rPr>
                <w:b/>
                <w:bCs/>
                <w:sz w:val="16"/>
                <w:szCs w:val="18"/>
              </w:rPr>
              <w:t>value</w:t>
            </w:r>
            <w:proofErr w:type="spellEnd"/>
          </w:p>
        </w:tc>
      </w:tr>
      <w:tr w:rsidR="00795CA3" w:rsidRPr="00795CA3" w14:paraId="2855F695" w14:textId="77777777" w:rsidTr="00795CA3">
        <w:tc>
          <w:tcPr>
            <w:tcW w:w="1508" w:type="dxa"/>
            <w:vAlign w:val="center"/>
          </w:tcPr>
          <w:p w14:paraId="7119225E" w14:textId="43D5FE77" w:rsidR="00795CA3" w:rsidRPr="00795CA3" w:rsidRDefault="00795CA3" w:rsidP="00795CA3">
            <w:pPr>
              <w:ind w:firstLine="0"/>
              <w:jc w:val="center"/>
              <w:rPr>
                <w:sz w:val="16"/>
                <w:szCs w:val="18"/>
              </w:rPr>
            </w:pPr>
            <w:proofErr w:type="gramStart"/>
            <w:r w:rsidRPr="00795CA3">
              <w:rPr>
                <w:sz w:val="16"/>
                <w:szCs w:val="18"/>
              </w:rPr>
              <w:t>Total</w:t>
            </w:r>
            <w:proofErr w:type="gramEnd"/>
            <w:r w:rsidRPr="00795CA3">
              <w:rPr>
                <w:sz w:val="16"/>
                <w:szCs w:val="18"/>
              </w:rPr>
              <w:t xml:space="preserve"> eventos</w:t>
            </w:r>
          </w:p>
        </w:tc>
        <w:tc>
          <w:tcPr>
            <w:tcW w:w="1509" w:type="dxa"/>
            <w:vAlign w:val="center"/>
          </w:tcPr>
          <w:p w14:paraId="6C485DB1" w14:textId="09B48B6A" w:rsidR="00795CA3" w:rsidRPr="00795CA3" w:rsidRDefault="00795CA3" w:rsidP="00795CA3">
            <w:pPr>
              <w:ind w:firstLine="0"/>
              <w:jc w:val="center"/>
              <w:rPr>
                <w:sz w:val="16"/>
                <w:szCs w:val="18"/>
              </w:rPr>
            </w:pPr>
            <w:r w:rsidRPr="00795CA3">
              <w:rPr>
                <w:sz w:val="16"/>
                <w:szCs w:val="18"/>
              </w:rPr>
              <w:t>0.304</w:t>
            </w:r>
          </w:p>
        </w:tc>
        <w:tc>
          <w:tcPr>
            <w:tcW w:w="1509" w:type="dxa"/>
            <w:vAlign w:val="center"/>
          </w:tcPr>
          <w:p w14:paraId="2F3F3EB8" w14:textId="1D1DE995" w:rsidR="00795CA3" w:rsidRPr="00795CA3" w:rsidRDefault="00795CA3" w:rsidP="00795CA3">
            <w:pPr>
              <w:ind w:firstLine="0"/>
              <w:jc w:val="center"/>
              <w:rPr>
                <w:sz w:val="16"/>
                <w:szCs w:val="18"/>
              </w:rPr>
            </w:pPr>
            <w:r w:rsidRPr="00795CA3">
              <w:rPr>
                <w:sz w:val="16"/>
                <w:szCs w:val="18"/>
              </w:rPr>
              <w:t>0.001</w:t>
            </w:r>
          </w:p>
        </w:tc>
      </w:tr>
      <w:tr w:rsidR="00795CA3" w:rsidRPr="00795CA3" w14:paraId="112F97C3" w14:textId="77777777" w:rsidTr="00795CA3">
        <w:tc>
          <w:tcPr>
            <w:tcW w:w="1508" w:type="dxa"/>
            <w:vAlign w:val="center"/>
          </w:tcPr>
          <w:p w14:paraId="04E16E86" w14:textId="11FEDDDC" w:rsidR="00795CA3" w:rsidRPr="00795CA3" w:rsidRDefault="00795CA3" w:rsidP="00795CA3">
            <w:pPr>
              <w:ind w:firstLine="0"/>
              <w:jc w:val="center"/>
              <w:rPr>
                <w:sz w:val="16"/>
                <w:szCs w:val="18"/>
              </w:rPr>
            </w:pPr>
            <w:r w:rsidRPr="00795CA3">
              <w:rPr>
                <w:sz w:val="16"/>
                <w:szCs w:val="18"/>
              </w:rPr>
              <w:t>Pendiente</w:t>
            </w:r>
          </w:p>
        </w:tc>
        <w:tc>
          <w:tcPr>
            <w:tcW w:w="1509" w:type="dxa"/>
            <w:vAlign w:val="center"/>
          </w:tcPr>
          <w:p w14:paraId="5759CD97" w14:textId="179FD822" w:rsidR="00795CA3" w:rsidRPr="00795CA3" w:rsidRDefault="00795CA3" w:rsidP="00795CA3">
            <w:pPr>
              <w:ind w:firstLine="0"/>
              <w:jc w:val="center"/>
              <w:rPr>
                <w:sz w:val="16"/>
                <w:szCs w:val="18"/>
              </w:rPr>
            </w:pPr>
            <w:r w:rsidRPr="00795CA3">
              <w:rPr>
                <w:sz w:val="16"/>
                <w:szCs w:val="18"/>
              </w:rPr>
              <w:t>0.653</w:t>
            </w:r>
          </w:p>
        </w:tc>
        <w:tc>
          <w:tcPr>
            <w:tcW w:w="1509" w:type="dxa"/>
            <w:vAlign w:val="center"/>
          </w:tcPr>
          <w:p w14:paraId="2B30FB90" w14:textId="24C7150E" w:rsidR="00795CA3" w:rsidRPr="00795CA3" w:rsidRDefault="00795CA3" w:rsidP="00795CA3">
            <w:pPr>
              <w:ind w:firstLine="0"/>
              <w:jc w:val="center"/>
              <w:rPr>
                <w:sz w:val="16"/>
                <w:szCs w:val="18"/>
              </w:rPr>
            </w:pPr>
            <w:r w:rsidRPr="00795CA3">
              <w:rPr>
                <w:sz w:val="16"/>
                <w:szCs w:val="18"/>
              </w:rPr>
              <w:t>0.001</w:t>
            </w:r>
          </w:p>
        </w:tc>
      </w:tr>
      <w:tr w:rsidR="00795CA3" w:rsidRPr="00795CA3" w14:paraId="5391B9F8" w14:textId="77777777" w:rsidTr="00795CA3">
        <w:tc>
          <w:tcPr>
            <w:tcW w:w="1508" w:type="dxa"/>
            <w:vAlign w:val="center"/>
          </w:tcPr>
          <w:p w14:paraId="69DDBC26" w14:textId="70A3B63A" w:rsidR="00795CA3" w:rsidRPr="00795CA3" w:rsidRDefault="00795CA3" w:rsidP="00795CA3">
            <w:pPr>
              <w:ind w:firstLine="0"/>
              <w:jc w:val="center"/>
              <w:rPr>
                <w:sz w:val="16"/>
                <w:szCs w:val="18"/>
              </w:rPr>
            </w:pPr>
            <w:r w:rsidRPr="00795CA3">
              <w:rPr>
                <w:sz w:val="16"/>
                <w:szCs w:val="18"/>
              </w:rPr>
              <w:t>LAI</w:t>
            </w:r>
          </w:p>
        </w:tc>
        <w:tc>
          <w:tcPr>
            <w:tcW w:w="1509" w:type="dxa"/>
            <w:vAlign w:val="center"/>
          </w:tcPr>
          <w:p w14:paraId="7A87F35D" w14:textId="66EE12F5" w:rsidR="00795CA3" w:rsidRPr="00795CA3" w:rsidRDefault="00795CA3" w:rsidP="00795CA3">
            <w:pPr>
              <w:ind w:firstLine="0"/>
              <w:jc w:val="center"/>
              <w:rPr>
                <w:sz w:val="16"/>
                <w:szCs w:val="18"/>
              </w:rPr>
            </w:pPr>
            <w:r w:rsidRPr="00795CA3">
              <w:rPr>
                <w:sz w:val="16"/>
                <w:szCs w:val="18"/>
              </w:rPr>
              <w:t>0.497</w:t>
            </w:r>
          </w:p>
        </w:tc>
        <w:tc>
          <w:tcPr>
            <w:tcW w:w="1509" w:type="dxa"/>
            <w:vAlign w:val="center"/>
          </w:tcPr>
          <w:p w14:paraId="4C9036C3" w14:textId="6417EFDC" w:rsidR="00795CA3" w:rsidRPr="00795CA3" w:rsidRDefault="00795CA3" w:rsidP="00795CA3">
            <w:pPr>
              <w:ind w:firstLine="0"/>
              <w:jc w:val="center"/>
              <w:rPr>
                <w:sz w:val="16"/>
                <w:szCs w:val="18"/>
              </w:rPr>
            </w:pPr>
            <w:r w:rsidRPr="00795CA3">
              <w:rPr>
                <w:sz w:val="16"/>
                <w:szCs w:val="18"/>
              </w:rPr>
              <w:t>0.001</w:t>
            </w:r>
          </w:p>
        </w:tc>
      </w:tr>
      <w:tr w:rsidR="00795CA3" w:rsidRPr="00795CA3" w14:paraId="6B03E081" w14:textId="77777777" w:rsidTr="00795CA3">
        <w:tc>
          <w:tcPr>
            <w:tcW w:w="1508" w:type="dxa"/>
            <w:vAlign w:val="center"/>
          </w:tcPr>
          <w:p w14:paraId="189844D9" w14:textId="1F80CD3E" w:rsidR="00795CA3" w:rsidRPr="00795CA3" w:rsidRDefault="00795CA3" w:rsidP="00795CA3">
            <w:pPr>
              <w:ind w:firstLine="0"/>
              <w:jc w:val="center"/>
              <w:rPr>
                <w:sz w:val="16"/>
                <w:szCs w:val="18"/>
              </w:rPr>
            </w:pPr>
            <w:r w:rsidRPr="00795CA3">
              <w:rPr>
                <w:sz w:val="16"/>
                <w:szCs w:val="18"/>
              </w:rPr>
              <w:t>Elevación</w:t>
            </w:r>
          </w:p>
        </w:tc>
        <w:tc>
          <w:tcPr>
            <w:tcW w:w="1509" w:type="dxa"/>
            <w:vAlign w:val="center"/>
          </w:tcPr>
          <w:p w14:paraId="249605EF" w14:textId="51BE96F2" w:rsidR="00795CA3" w:rsidRPr="00795CA3" w:rsidRDefault="00795CA3" w:rsidP="00795CA3">
            <w:pPr>
              <w:ind w:firstLine="0"/>
              <w:jc w:val="center"/>
              <w:rPr>
                <w:sz w:val="16"/>
                <w:szCs w:val="18"/>
              </w:rPr>
            </w:pPr>
            <w:r w:rsidRPr="00795CA3">
              <w:rPr>
                <w:sz w:val="16"/>
                <w:szCs w:val="18"/>
              </w:rPr>
              <w:t>0.751</w:t>
            </w:r>
          </w:p>
        </w:tc>
        <w:tc>
          <w:tcPr>
            <w:tcW w:w="1509" w:type="dxa"/>
            <w:vAlign w:val="center"/>
          </w:tcPr>
          <w:p w14:paraId="2A6E7825" w14:textId="43446335" w:rsidR="00795CA3" w:rsidRPr="00795CA3" w:rsidRDefault="00795CA3" w:rsidP="00795CA3">
            <w:pPr>
              <w:ind w:firstLine="0"/>
              <w:jc w:val="center"/>
              <w:rPr>
                <w:sz w:val="16"/>
                <w:szCs w:val="18"/>
              </w:rPr>
            </w:pPr>
            <w:r w:rsidRPr="00795CA3">
              <w:rPr>
                <w:sz w:val="16"/>
                <w:szCs w:val="18"/>
              </w:rPr>
              <w:t>0.001</w:t>
            </w:r>
          </w:p>
        </w:tc>
      </w:tr>
      <w:tr w:rsidR="00795CA3" w:rsidRPr="00795CA3" w14:paraId="11C7D492" w14:textId="77777777" w:rsidTr="00795CA3">
        <w:tc>
          <w:tcPr>
            <w:tcW w:w="1508" w:type="dxa"/>
            <w:vAlign w:val="center"/>
          </w:tcPr>
          <w:p w14:paraId="0EC8B67E" w14:textId="590549C4" w:rsidR="00795CA3" w:rsidRPr="00795CA3" w:rsidRDefault="00795CA3" w:rsidP="00795CA3">
            <w:pPr>
              <w:ind w:firstLine="0"/>
              <w:jc w:val="center"/>
              <w:rPr>
                <w:sz w:val="16"/>
                <w:szCs w:val="18"/>
              </w:rPr>
            </w:pPr>
            <w:r w:rsidRPr="00795CA3">
              <w:rPr>
                <w:sz w:val="16"/>
                <w:szCs w:val="18"/>
              </w:rPr>
              <w:t>Curvatura</w:t>
            </w:r>
          </w:p>
        </w:tc>
        <w:tc>
          <w:tcPr>
            <w:tcW w:w="1509" w:type="dxa"/>
            <w:vAlign w:val="center"/>
          </w:tcPr>
          <w:p w14:paraId="450DBC8A" w14:textId="1A8BC567" w:rsidR="00795CA3" w:rsidRPr="00795CA3" w:rsidRDefault="00795CA3" w:rsidP="00795CA3">
            <w:pPr>
              <w:ind w:firstLine="0"/>
              <w:jc w:val="center"/>
              <w:rPr>
                <w:sz w:val="16"/>
                <w:szCs w:val="18"/>
              </w:rPr>
            </w:pPr>
            <w:r w:rsidRPr="00795CA3">
              <w:rPr>
                <w:sz w:val="16"/>
                <w:szCs w:val="18"/>
              </w:rPr>
              <w:t>-0.093</w:t>
            </w:r>
          </w:p>
        </w:tc>
        <w:tc>
          <w:tcPr>
            <w:tcW w:w="1509" w:type="dxa"/>
            <w:vAlign w:val="center"/>
          </w:tcPr>
          <w:p w14:paraId="3B06DFE3" w14:textId="5C26B914" w:rsidR="00795CA3" w:rsidRPr="00795CA3" w:rsidRDefault="00795CA3" w:rsidP="00795CA3">
            <w:pPr>
              <w:ind w:firstLine="0"/>
              <w:jc w:val="center"/>
              <w:rPr>
                <w:sz w:val="16"/>
                <w:szCs w:val="18"/>
              </w:rPr>
            </w:pPr>
            <w:r w:rsidRPr="00795CA3">
              <w:rPr>
                <w:sz w:val="16"/>
                <w:szCs w:val="18"/>
              </w:rPr>
              <w:t>0.066</w:t>
            </w:r>
          </w:p>
        </w:tc>
      </w:tr>
      <w:tr w:rsidR="00795CA3" w:rsidRPr="00795CA3" w14:paraId="471518ED" w14:textId="77777777" w:rsidTr="00795CA3">
        <w:tc>
          <w:tcPr>
            <w:tcW w:w="1508" w:type="dxa"/>
            <w:vAlign w:val="center"/>
          </w:tcPr>
          <w:p w14:paraId="764E6B1A" w14:textId="32E1B080" w:rsidR="00795CA3" w:rsidRPr="00795CA3" w:rsidRDefault="00795CA3" w:rsidP="00795CA3">
            <w:pPr>
              <w:ind w:firstLine="0"/>
              <w:jc w:val="center"/>
              <w:rPr>
                <w:sz w:val="16"/>
                <w:szCs w:val="18"/>
              </w:rPr>
            </w:pPr>
            <w:r w:rsidRPr="00795CA3">
              <w:rPr>
                <w:sz w:val="16"/>
                <w:szCs w:val="18"/>
              </w:rPr>
              <w:t>TRI</w:t>
            </w:r>
          </w:p>
        </w:tc>
        <w:tc>
          <w:tcPr>
            <w:tcW w:w="1509" w:type="dxa"/>
            <w:vAlign w:val="center"/>
          </w:tcPr>
          <w:p w14:paraId="396FC77F" w14:textId="076CA1D1" w:rsidR="00795CA3" w:rsidRPr="00795CA3" w:rsidRDefault="00795CA3" w:rsidP="00795CA3">
            <w:pPr>
              <w:ind w:firstLine="0"/>
              <w:jc w:val="center"/>
              <w:rPr>
                <w:sz w:val="16"/>
                <w:szCs w:val="18"/>
              </w:rPr>
            </w:pPr>
            <w:r w:rsidRPr="00795CA3">
              <w:rPr>
                <w:sz w:val="16"/>
                <w:szCs w:val="18"/>
              </w:rPr>
              <w:t>0.649</w:t>
            </w:r>
          </w:p>
        </w:tc>
        <w:tc>
          <w:tcPr>
            <w:tcW w:w="1509" w:type="dxa"/>
            <w:vAlign w:val="center"/>
          </w:tcPr>
          <w:p w14:paraId="10452124" w14:textId="4CC6E23E" w:rsidR="00795CA3" w:rsidRPr="00795CA3" w:rsidRDefault="00795CA3" w:rsidP="00795CA3">
            <w:pPr>
              <w:ind w:firstLine="0"/>
              <w:jc w:val="center"/>
              <w:rPr>
                <w:sz w:val="16"/>
                <w:szCs w:val="18"/>
              </w:rPr>
            </w:pPr>
            <w:r w:rsidRPr="00795CA3">
              <w:rPr>
                <w:sz w:val="16"/>
                <w:szCs w:val="18"/>
              </w:rPr>
              <w:t>0.001</w:t>
            </w:r>
          </w:p>
        </w:tc>
      </w:tr>
      <w:tr w:rsidR="00795CA3" w:rsidRPr="00795CA3" w14:paraId="352A5183" w14:textId="77777777" w:rsidTr="00795CA3">
        <w:tc>
          <w:tcPr>
            <w:tcW w:w="1508" w:type="dxa"/>
            <w:vAlign w:val="center"/>
          </w:tcPr>
          <w:p w14:paraId="6A5F79CB" w14:textId="521298DB" w:rsidR="00795CA3" w:rsidRPr="00795CA3" w:rsidRDefault="00795CA3" w:rsidP="00795CA3">
            <w:pPr>
              <w:ind w:firstLine="0"/>
              <w:jc w:val="center"/>
              <w:rPr>
                <w:sz w:val="16"/>
                <w:szCs w:val="18"/>
              </w:rPr>
            </w:pPr>
            <w:r w:rsidRPr="00795CA3">
              <w:rPr>
                <w:sz w:val="16"/>
                <w:szCs w:val="18"/>
              </w:rPr>
              <w:t>TPI</w:t>
            </w:r>
          </w:p>
        </w:tc>
        <w:tc>
          <w:tcPr>
            <w:tcW w:w="1509" w:type="dxa"/>
            <w:vAlign w:val="center"/>
          </w:tcPr>
          <w:p w14:paraId="6BD05EFF" w14:textId="2FA9B733" w:rsidR="00795CA3" w:rsidRPr="00795CA3" w:rsidRDefault="00795CA3" w:rsidP="00795CA3">
            <w:pPr>
              <w:ind w:firstLine="0"/>
              <w:jc w:val="center"/>
              <w:rPr>
                <w:sz w:val="16"/>
                <w:szCs w:val="18"/>
              </w:rPr>
            </w:pPr>
            <w:r w:rsidRPr="00795CA3">
              <w:rPr>
                <w:sz w:val="16"/>
                <w:szCs w:val="18"/>
              </w:rPr>
              <w:t>-0.049</w:t>
            </w:r>
          </w:p>
        </w:tc>
        <w:tc>
          <w:tcPr>
            <w:tcW w:w="1509" w:type="dxa"/>
            <w:vAlign w:val="center"/>
          </w:tcPr>
          <w:p w14:paraId="33D95F50" w14:textId="3155A73D" w:rsidR="00795CA3" w:rsidRPr="00795CA3" w:rsidRDefault="00795CA3" w:rsidP="00795CA3">
            <w:pPr>
              <w:ind w:firstLine="0"/>
              <w:jc w:val="center"/>
              <w:rPr>
                <w:sz w:val="16"/>
                <w:szCs w:val="18"/>
              </w:rPr>
            </w:pPr>
            <w:r w:rsidRPr="00795CA3">
              <w:rPr>
                <w:sz w:val="16"/>
                <w:szCs w:val="18"/>
              </w:rPr>
              <w:t>0.243</w:t>
            </w:r>
          </w:p>
        </w:tc>
      </w:tr>
    </w:tbl>
    <w:p w14:paraId="294273AD" w14:textId="0C6CC5A6" w:rsidR="00BC14BC" w:rsidRDefault="00BC14BC" w:rsidP="009D299B">
      <w:pPr>
        <w:ind w:firstLine="0"/>
      </w:pPr>
      <w:r w:rsidRPr="00BC14BC">
        <w:rPr>
          <w:noProof/>
        </w:rPr>
        <w:lastRenderedPageBreak/>
        <w:drawing>
          <wp:inline distT="0" distB="0" distL="0" distR="0" wp14:anchorId="43E71964" wp14:editId="371D8524">
            <wp:extent cx="2880360" cy="2736850"/>
            <wp:effectExtent l="0" t="0" r="0" b="6350"/>
            <wp:docPr id="632450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0307" name=""/>
                    <pic:cNvPicPr/>
                  </pic:nvPicPr>
                  <pic:blipFill rotWithShape="1">
                    <a:blip r:embed="rId18"/>
                    <a:srcRect t="3752"/>
                    <a:stretch>
                      <a:fillRect/>
                    </a:stretch>
                  </pic:blipFill>
                  <pic:spPr bwMode="auto">
                    <a:xfrm>
                      <a:off x="0" y="0"/>
                      <a:ext cx="2880360" cy="2736850"/>
                    </a:xfrm>
                    <a:prstGeom prst="rect">
                      <a:avLst/>
                    </a:prstGeom>
                    <a:ln>
                      <a:noFill/>
                    </a:ln>
                    <a:extLst>
                      <a:ext uri="{53640926-AAD7-44D8-BBD7-CCE9431645EC}">
                        <a14:shadowObscured xmlns:a14="http://schemas.microsoft.com/office/drawing/2010/main"/>
                      </a:ext>
                    </a:extLst>
                  </pic:spPr>
                </pic:pic>
              </a:graphicData>
            </a:graphic>
          </wp:inline>
        </w:drawing>
      </w:r>
    </w:p>
    <w:p w14:paraId="0443521A" w14:textId="0A7F24BF" w:rsidR="00BC14BC" w:rsidRPr="00BC14BC" w:rsidRDefault="00BC14BC" w:rsidP="00BC14BC">
      <w:pPr>
        <w:pStyle w:val="Cita"/>
        <w:rPr>
          <w:rFonts w:eastAsiaTheme="minorEastAsia"/>
        </w:rPr>
      </w:pPr>
      <w:r>
        <w:t>Figura </w:t>
      </w:r>
      <w:fldSimple w:instr=" SEQ Figura \* ARABIC ">
        <w:r w:rsidR="003A6A3C">
          <w:rPr>
            <w:noProof/>
          </w:rPr>
          <w:t>5</w:t>
        </w:r>
      </w:fldSimple>
      <w:r>
        <w:t xml:space="preserve">.  </w:t>
      </w:r>
      <w:r w:rsidR="005E33DD">
        <w:t>Número</w:t>
      </w:r>
      <w:r>
        <w:t xml:space="preserve"> total de eventos por municipio en Antioquia</w:t>
      </w:r>
    </w:p>
    <w:p w14:paraId="09FAF9D6" w14:textId="499FFEB9" w:rsidR="009D23E7" w:rsidRDefault="001B69AD" w:rsidP="009D299B">
      <w:pPr>
        <w:ind w:firstLine="0"/>
        <w:rPr>
          <w:rFonts w:eastAsiaTheme="minorEastAsia"/>
        </w:rPr>
      </w:pPr>
      <w:r w:rsidRPr="001B69AD">
        <w:t>El modelo CAR de Leroux</w:t>
      </w:r>
      <w:r w:rsidR="009D23E7">
        <w:t xml:space="preserve"> se implementó con una distribución binomial negativa</w:t>
      </w:r>
      <w:r w:rsidR="00EB4A42">
        <w:t xml:space="preserve"> y una matriz de vecindad tipo </w:t>
      </w:r>
      <w:proofErr w:type="spellStart"/>
      <w:r w:rsidR="00EB4A42">
        <w:t>queen</w:t>
      </w:r>
      <w:proofErr w:type="spellEnd"/>
      <w:r w:rsidR="009D23E7">
        <w:t>, lo que</w:t>
      </w:r>
      <w:r w:rsidRPr="001B69AD">
        <w:t xml:space="preserve"> permitió representar simultáneamente el efecto de las variables explicativas y la componente espacial no capturada por estas, considerando además las diferencias en el área de los municipios mediante el término offset</w:t>
      </w:r>
      <w:r w:rsidR="00795CA3">
        <w:t xml:space="preserve"> del área</w:t>
      </w:r>
      <w:r w:rsidRPr="001B69AD">
        <w:t>.</w:t>
      </w:r>
      <w:r w:rsidR="002A0C0D">
        <w:t xml:space="preserve">  Se hizo un proceso de filtrado de variables significativas, donde se encontró que las variables que explican los procesos corresponden a la Pendiente (con un coeficiente de 1.034), TRI (con un coeficiente -1.408) y un intercepto de -1.370.</w:t>
      </w:r>
      <w:r w:rsidRPr="001B69AD">
        <w:t xml:space="preserve"> </w:t>
      </w:r>
      <w:r w:rsidR="005E33DD">
        <w:t xml:space="preserve">El modelo </w:t>
      </w:r>
      <w:r w:rsidR="00795CA3">
        <w:t>CAR</w:t>
      </w:r>
      <w:r w:rsidR="005E33DD">
        <w:t xml:space="preserve"> de</w:t>
      </w:r>
      <w:r w:rsidR="00795CA3">
        <w:t xml:space="preserve"> Leroux obtuvo como resultados un Log-</w:t>
      </w:r>
      <w:r w:rsidR="005E33DD">
        <w:t>verosimilitud</w:t>
      </w:r>
      <w:r w:rsidR="00795CA3">
        <w:t xml:space="preserve"> de -448.98, con un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795CA3">
        <w:rPr>
          <w:rFonts w:eastAsiaTheme="minorEastAsia"/>
        </w:rPr>
        <w:t xml:space="preserve"> de 0.9626 y un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795CA3">
        <w:rPr>
          <w:rFonts w:eastAsiaTheme="minorEastAsia"/>
        </w:rPr>
        <w:t xml:space="preserve"> ajustado de 0.9617.  </w:t>
      </w:r>
      <w:r w:rsidR="005E33DD">
        <w:rPr>
          <w:rFonts w:eastAsiaTheme="minorEastAsia"/>
        </w:rPr>
        <w:t>El modelo</w:t>
      </w:r>
      <w:r w:rsidR="009D23E7">
        <w:rPr>
          <w:rFonts w:eastAsiaTheme="minorEastAsia"/>
        </w:rPr>
        <w:t xml:space="preserve"> obtuvo </w:t>
      </w:r>
      <w:r w:rsidR="005E33DD">
        <w:rPr>
          <w:rFonts w:eastAsiaTheme="minorEastAsia"/>
        </w:rPr>
        <w:t>un parámetro</w:t>
      </w:r>
      <w:r w:rsidR="009D23E7">
        <w:rPr>
          <w:rFonts w:eastAsiaTheme="minorEastAsia"/>
        </w:rPr>
        <w:t xml:space="preserve"> </w:t>
      </w:r>
      <m:oMath>
        <m:r>
          <w:rPr>
            <w:rFonts w:ascii="Cambria Math" w:eastAsiaTheme="minorEastAsia" w:hAnsi="Cambria Math"/>
          </w:rPr>
          <m:t>ρ</m:t>
        </m:r>
      </m:oMath>
      <w:r w:rsidR="009D23E7">
        <w:rPr>
          <w:rFonts w:eastAsiaTheme="minorEastAsia"/>
        </w:rPr>
        <w:t xml:space="preserve"> 0.698, </w:t>
      </w:r>
      <w:r w:rsidR="005E33DD">
        <w:rPr>
          <w:rFonts w:eastAsiaTheme="minorEastAsia"/>
        </w:rPr>
        <w:t>el</w:t>
      </w:r>
      <w:r w:rsidR="009D23E7">
        <w:rPr>
          <w:rFonts w:eastAsiaTheme="minorEastAsia"/>
        </w:rPr>
        <w:t xml:space="preserve"> cual</w:t>
      </w:r>
      <w:r w:rsidR="005E33DD">
        <w:rPr>
          <w:rFonts w:eastAsiaTheme="minorEastAsia"/>
        </w:rPr>
        <w:t xml:space="preserve"> puede ser interpretado como</w:t>
      </w:r>
      <w:r w:rsidR="009D23E7">
        <w:rPr>
          <w:rFonts w:eastAsiaTheme="minorEastAsia"/>
        </w:rPr>
        <w:t xml:space="preserve"> que aproximadamente el 70% de la variabilidad puede ser explicada por </w:t>
      </w:r>
      <w:r w:rsidR="002A0C0D">
        <w:rPr>
          <w:rFonts w:eastAsiaTheme="minorEastAsia"/>
        </w:rPr>
        <w:t>los efectos aleatorios estructurados</w:t>
      </w:r>
      <w:r w:rsidR="009D23E7">
        <w:rPr>
          <w:rFonts w:eastAsiaTheme="minorEastAsia"/>
        </w:rPr>
        <w:t>.</w:t>
      </w:r>
    </w:p>
    <w:p w14:paraId="6D1017F5" w14:textId="77777777" w:rsidR="006E5C2D" w:rsidRDefault="006E5C2D" w:rsidP="006E5C2D">
      <w:pPr>
        <w:keepNext/>
        <w:ind w:firstLine="0"/>
      </w:pPr>
      <w:r w:rsidRPr="006E5C2D">
        <w:rPr>
          <w:rFonts w:eastAsiaTheme="minorEastAsia"/>
          <w:noProof/>
        </w:rPr>
        <w:drawing>
          <wp:inline distT="0" distB="0" distL="0" distR="0" wp14:anchorId="5FADAE2F" wp14:editId="2EB6C918">
            <wp:extent cx="2880360" cy="1489652"/>
            <wp:effectExtent l="0" t="0" r="0" b="0"/>
            <wp:docPr id="1436299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99907" name=""/>
                    <pic:cNvPicPr/>
                  </pic:nvPicPr>
                  <pic:blipFill rotWithShape="1">
                    <a:blip r:embed="rId19"/>
                    <a:srcRect t="4443"/>
                    <a:stretch>
                      <a:fillRect/>
                    </a:stretch>
                  </pic:blipFill>
                  <pic:spPr bwMode="auto">
                    <a:xfrm>
                      <a:off x="0" y="0"/>
                      <a:ext cx="2880360" cy="1489652"/>
                    </a:xfrm>
                    <a:prstGeom prst="rect">
                      <a:avLst/>
                    </a:prstGeom>
                    <a:ln>
                      <a:noFill/>
                    </a:ln>
                    <a:extLst>
                      <a:ext uri="{53640926-AAD7-44D8-BBD7-CCE9431645EC}">
                        <a14:shadowObscured xmlns:a14="http://schemas.microsoft.com/office/drawing/2010/main"/>
                      </a:ext>
                    </a:extLst>
                  </pic:spPr>
                </pic:pic>
              </a:graphicData>
            </a:graphic>
          </wp:inline>
        </w:drawing>
      </w:r>
    </w:p>
    <w:p w14:paraId="065C8950" w14:textId="365B7C98" w:rsidR="009D23E7" w:rsidRDefault="006E5C2D" w:rsidP="006E5C2D">
      <w:pPr>
        <w:pStyle w:val="Cita"/>
        <w:rPr>
          <w:rFonts w:eastAsiaTheme="minorEastAsia"/>
        </w:rPr>
      </w:pPr>
      <w:r>
        <w:t>Figura </w:t>
      </w:r>
      <w:fldSimple w:instr=" SEQ Figura \* ARABIC ">
        <w:r w:rsidR="003A6A3C">
          <w:rPr>
            <w:noProof/>
          </w:rPr>
          <w:t>6</w:t>
        </w:r>
      </w:fldSimple>
      <w:r>
        <w:t>.  Distribución del total de eventos por municipios</w:t>
      </w:r>
    </w:p>
    <w:p w14:paraId="68EEA4CD" w14:textId="77777777" w:rsidR="005B391D" w:rsidRDefault="005B391D" w:rsidP="005B391D">
      <w:pPr>
        <w:keepNext/>
        <w:ind w:firstLine="0"/>
      </w:pPr>
      <w:r w:rsidRPr="005B391D">
        <w:rPr>
          <w:rFonts w:eastAsiaTheme="minorEastAsia"/>
          <w:noProof/>
        </w:rPr>
        <w:drawing>
          <wp:inline distT="0" distB="0" distL="0" distR="0" wp14:anchorId="228EFA31" wp14:editId="6B3F5CD4">
            <wp:extent cx="2880360" cy="2695121"/>
            <wp:effectExtent l="0" t="0" r="0" b="0"/>
            <wp:docPr id="1537924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24706" name=""/>
                    <pic:cNvPicPr/>
                  </pic:nvPicPr>
                  <pic:blipFill rotWithShape="1">
                    <a:blip r:embed="rId20"/>
                    <a:srcRect t="3320"/>
                    <a:stretch>
                      <a:fillRect/>
                    </a:stretch>
                  </pic:blipFill>
                  <pic:spPr bwMode="auto">
                    <a:xfrm>
                      <a:off x="0" y="0"/>
                      <a:ext cx="2880360" cy="2695121"/>
                    </a:xfrm>
                    <a:prstGeom prst="rect">
                      <a:avLst/>
                    </a:prstGeom>
                    <a:ln>
                      <a:noFill/>
                    </a:ln>
                    <a:extLst>
                      <a:ext uri="{53640926-AAD7-44D8-BBD7-CCE9431645EC}">
                        <a14:shadowObscured xmlns:a14="http://schemas.microsoft.com/office/drawing/2010/main"/>
                      </a:ext>
                    </a:extLst>
                  </pic:spPr>
                </pic:pic>
              </a:graphicData>
            </a:graphic>
          </wp:inline>
        </w:drawing>
      </w:r>
    </w:p>
    <w:p w14:paraId="0990FAF6" w14:textId="1AD491F2" w:rsidR="005B391D" w:rsidRDefault="005B391D" w:rsidP="005B391D">
      <w:pPr>
        <w:pStyle w:val="Cita"/>
        <w:rPr>
          <w:rFonts w:eastAsiaTheme="minorEastAsia"/>
        </w:rPr>
      </w:pPr>
      <w:r>
        <w:t>Figura </w:t>
      </w:r>
      <w:fldSimple w:instr=" SEQ Figura \* ARABIC ">
        <w:r w:rsidR="003A6A3C">
          <w:rPr>
            <w:noProof/>
          </w:rPr>
          <w:t>7</w:t>
        </w:r>
      </w:fldSimple>
      <w:r>
        <w:t>.  Residuos de los resultados modelo CAR Leroux</w:t>
      </w:r>
    </w:p>
    <w:p w14:paraId="5DF7DAB8" w14:textId="35835BE6" w:rsidR="00D53E69" w:rsidRDefault="009D23E7" w:rsidP="009D299B">
      <w:pPr>
        <w:ind w:firstLine="0"/>
        <w:rPr>
          <w:rFonts w:eastAsiaTheme="minorEastAsia"/>
        </w:rPr>
      </w:pPr>
      <w:r>
        <w:rPr>
          <w:rFonts w:eastAsiaTheme="minorEastAsia"/>
        </w:rPr>
        <w:t xml:space="preserve">Al estudiar los residuos del modelo, </w:t>
      </w:r>
      <w:r w:rsidR="005E33DD" w:rsidRPr="005E33DD">
        <w:rPr>
          <w:rFonts w:eastAsiaTheme="minorEastAsia"/>
        </w:rPr>
        <w:t>no se detectó autocorrelación espacial significativa en los residuos</w:t>
      </w:r>
      <w:r>
        <w:rPr>
          <w:rFonts w:eastAsiaTheme="minorEastAsia"/>
        </w:rPr>
        <w:t xml:space="preserve"> al obtener un índice de Moran de -0.068 con un p-</w:t>
      </w:r>
      <w:proofErr w:type="spellStart"/>
      <w:r>
        <w:rPr>
          <w:rFonts w:eastAsiaTheme="minorEastAsia"/>
        </w:rPr>
        <w:t>value</w:t>
      </w:r>
      <w:proofErr w:type="spellEnd"/>
      <w:r>
        <w:rPr>
          <w:rFonts w:eastAsiaTheme="minorEastAsia"/>
        </w:rPr>
        <w:t xml:space="preserve"> de 0.1300</w:t>
      </w:r>
      <w:r w:rsidR="005E33DD">
        <w:rPr>
          <w:rFonts w:eastAsiaTheme="minorEastAsia"/>
        </w:rPr>
        <w:t>.</w:t>
      </w:r>
    </w:p>
    <w:p w14:paraId="148E0FB5" w14:textId="77777777" w:rsidR="009D23E7" w:rsidRDefault="009D23E7" w:rsidP="002A0C0D">
      <w:pPr>
        <w:keepNext/>
        <w:ind w:firstLine="0"/>
        <w:jc w:val="center"/>
      </w:pPr>
      <w:r w:rsidRPr="009D23E7">
        <w:rPr>
          <w:noProof/>
        </w:rPr>
        <w:drawing>
          <wp:inline distT="0" distB="0" distL="0" distR="0" wp14:anchorId="7BAE7971" wp14:editId="47E532C1">
            <wp:extent cx="2112818" cy="2112818"/>
            <wp:effectExtent l="0" t="0" r="1905" b="1905"/>
            <wp:docPr id="433420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20333" name=""/>
                    <pic:cNvPicPr/>
                  </pic:nvPicPr>
                  <pic:blipFill>
                    <a:blip r:embed="rId21"/>
                    <a:stretch>
                      <a:fillRect/>
                    </a:stretch>
                  </pic:blipFill>
                  <pic:spPr>
                    <a:xfrm>
                      <a:off x="0" y="0"/>
                      <a:ext cx="2114322" cy="2114322"/>
                    </a:xfrm>
                    <a:prstGeom prst="rect">
                      <a:avLst/>
                    </a:prstGeom>
                  </pic:spPr>
                </pic:pic>
              </a:graphicData>
            </a:graphic>
          </wp:inline>
        </w:drawing>
      </w:r>
    </w:p>
    <w:p w14:paraId="4C92D501" w14:textId="33E18F37" w:rsidR="009D23E7" w:rsidRDefault="009D23E7" w:rsidP="009D23E7">
      <w:pPr>
        <w:pStyle w:val="Cita"/>
      </w:pPr>
      <w:r>
        <w:t>Figura </w:t>
      </w:r>
      <w:fldSimple w:instr=" SEQ Figura \* ARABIC ">
        <w:r w:rsidR="003A6A3C">
          <w:rPr>
            <w:noProof/>
          </w:rPr>
          <w:t>8</w:t>
        </w:r>
      </w:fldSimple>
      <w:r>
        <w:t>. Ajuste número de eventos CAR Leroux</w:t>
      </w:r>
    </w:p>
    <w:p w14:paraId="67DBE3C9" w14:textId="77777777" w:rsidR="009D23E7" w:rsidRDefault="009D23E7" w:rsidP="002A0C0D">
      <w:pPr>
        <w:keepNext/>
        <w:ind w:firstLine="0"/>
        <w:jc w:val="center"/>
      </w:pPr>
      <w:r w:rsidRPr="009D23E7">
        <w:rPr>
          <w:noProof/>
        </w:rPr>
        <w:drawing>
          <wp:inline distT="0" distB="0" distL="0" distR="0" wp14:anchorId="6CCA72C7" wp14:editId="1A3BE16B">
            <wp:extent cx="2099441" cy="1704109"/>
            <wp:effectExtent l="0" t="0" r="0" b="0"/>
            <wp:docPr id="221653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53683" name=""/>
                    <pic:cNvPicPr/>
                  </pic:nvPicPr>
                  <pic:blipFill rotWithShape="1">
                    <a:blip r:embed="rId22"/>
                    <a:srcRect t="5082"/>
                    <a:stretch>
                      <a:fillRect/>
                    </a:stretch>
                  </pic:blipFill>
                  <pic:spPr bwMode="auto">
                    <a:xfrm>
                      <a:off x="0" y="0"/>
                      <a:ext cx="2104535" cy="1708244"/>
                    </a:xfrm>
                    <a:prstGeom prst="rect">
                      <a:avLst/>
                    </a:prstGeom>
                    <a:ln>
                      <a:noFill/>
                    </a:ln>
                    <a:extLst>
                      <a:ext uri="{53640926-AAD7-44D8-BBD7-CCE9431645EC}">
                        <a14:shadowObscured xmlns:a14="http://schemas.microsoft.com/office/drawing/2010/main"/>
                      </a:ext>
                    </a:extLst>
                  </pic:spPr>
                </pic:pic>
              </a:graphicData>
            </a:graphic>
          </wp:inline>
        </w:drawing>
      </w:r>
    </w:p>
    <w:p w14:paraId="1176186C" w14:textId="5A194B1A" w:rsidR="009D23E7" w:rsidRDefault="009D23E7" w:rsidP="009D23E7">
      <w:pPr>
        <w:pStyle w:val="Cita"/>
      </w:pPr>
      <w:r>
        <w:t>Figura </w:t>
      </w:r>
      <w:fldSimple w:instr=" SEQ Figura \* ARABIC ">
        <w:r w:rsidR="003A6A3C">
          <w:rPr>
            <w:noProof/>
          </w:rPr>
          <w:t>9</w:t>
        </w:r>
      </w:fldSimple>
      <w:r>
        <w:t>. Índice de Moran para los residuos del Modelo CAR Leroux</w:t>
      </w:r>
    </w:p>
    <w:p w14:paraId="681B5979" w14:textId="06512CD3" w:rsidR="00BC14BC" w:rsidRDefault="00FF5440" w:rsidP="00BC14BC">
      <w:pPr>
        <w:ind w:firstLine="0"/>
      </w:pPr>
      <w:r w:rsidRPr="00FF5440">
        <w:lastRenderedPageBreak/>
        <w:t>El uso del modelo CAR permite identificar aquellos municipios en los que la ocurrencia de inundaciones presenta un comportamiento</w:t>
      </w:r>
      <w:r>
        <w:t xml:space="preserve"> vinculado con los efectos aleatorios estructurados</w:t>
      </w:r>
      <w:r w:rsidRPr="00FF5440">
        <w:t>, reconociendo patrones locales que no son explicados únicamente por las variables geomorfológica</w:t>
      </w:r>
      <w:r>
        <w:t>s, e identificando aquellas zonas que son más propensos a presentar eventos de inundación.</w:t>
      </w:r>
    </w:p>
    <w:p w14:paraId="3E022184" w14:textId="6C70EB0B" w:rsidR="00AA11FC" w:rsidRDefault="00FF5440" w:rsidP="00BC14BC">
      <w:pPr>
        <w:ind w:firstLine="0"/>
      </w:pPr>
      <w:r>
        <w:t xml:space="preserve">Los procesos Gaussianos, a diferencia de los modelos presentados, buscan representar los eventos de inundación mediante una función latente continua que considera efectos no lineales entre las variables.  Se emplearon todas las variables descritas en la </w:t>
      </w:r>
      <w:r>
        <w:fldChar w:fldCharType="begin"/>
      </w:r>
      <w:r>
        <w:instrText xml:space="preserve"> REF _Ref236778692 \h </w:instrText>
      </w:r>
      <w:r>
        <w:fldChar w:fldCharType="separate"/>
      </w:r>
      <w:r w:rsidR="003A6A3C">
        <w:t xml:space="preserve">Tabla </w:t>
      </w:r>
      <w:r w:rsidR="003A6A3C">
        <w:rPr>
          <w:noProof/>
        </w:rPr>
        <w:t>1</w:t>
      </w:r>
      <w:r>
        <w:fldChar w:fldCharType="end"/>
      </w:r>
      <w:r w:rsidR="004C3427">
        <w:t xml:space="preserve">, mediante una segmentación 70-30 para calibración y validación, encontrando un balance entre ocurrencias y no ocurrencias. </w:t>
      </w:r>
      <w:r>
        <w:t xml:space="preserve">Se optimizaron los </w:t>
      </w:r>
      <w:proofErr w:type="spellStart"/>
      <w:r>
        <w:t>hiperparámetros</w:t>
      </w:r>
      <w:proofErr w:type="spellEnd"/>
      <w:r>
        <w:t xml:space="preserve"> de la función </w:t>
      </w:r>
      <w:proofErr w:type="spellStart"/>
      <w:r>
        <w:t>kernel</w:t>
      </w:r>
      <w:proofErr w:type="spellEnd"/>
      <w:r>
        <w:t xml:space="preserve"> mediante la máxima verosimilitud marginal, obteniendo una </w:t>
      </w:r>
      <w:r w:rsidR="005E33DD">
        <w:t>amplitud o desviación estándar priori</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f</m:t>
                </m:r>
              </m:sub>
            </m:sSub>
          </m:e>
        </m:d>
      </m:oMath>
      <w:r>
        <w:rPr>
          <w:rFonts w:eastAsiaTheme="minorEastAsia"/>
        </w:rPr>
        <w:t xml:space="preserve"> de 6.43, y una longitud de escala de 3.84.</w:t>
      </w:r>
      <w:r w:rsidR="004C3427">
        <w:rPr>
          <w:rFonts w:eastAsiaTheme="minorEastAsia"/>
        </w:rPr>
        <w:t xml:space="preserve">  Este modelo alcanza una log-verosimilitud de -570.2184, AUC-ROC de 0.9779 en calibración y 0.9579 en validación,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4C3427">
        <w:rPr>
          <w:rFonts w:eastAsiaTheme="minorEastAsia"/>
        </w:rPr>
        <w:t xml:space="preserve"> de 0.7516 en calibración y 0.6755 en validación.  De igual forma, se comparó el puntaje Brier, encontrando un valor de 0.0621 en calibración y 0.0811 en validación</w:t>
      </w:r>
      <w:r w:rsidR="004C3427">
        <w:t>.</w:t>
      </w:r>
    </w:p>
    <w:p w14:paraId="19E08692" w14:textId="4E208514" w:rsidR="00FF5440" w:rsidRDefault="00AA11FC" w:rsidP="00BC14BC">
      <w:pPr>
        <w:ind w:firstLine="0"/>
      </w:pPr>
      <w:r>
        <w:t xml:space="preserve">Para verificar el modelo, se graficaron las curvas de validación, las cuales permiten identificar </w:t>
      </w:r>
      <w:r w:rsidR="005E33DD">
        <w:t>l</w:t>
      </w:r>
      <w:r>
        <w:t xml:space="preserve">a variabilidad de los procesos predichos. De igual forma, se ordenó la matriz </w:t>
      </w:r>
      <w:proofErr w:type="spellStart"/>
      <w:r>
        <w:t>kernel</w:t>
      </w:r>
      <w:proofErr w:type="spellEnd"/>
      <w:r>
        <w:t xml:space="preserve"> por clas</w:t>
      </w:r>
      <w:r w:rsidR="009258EC">
        <w:t>e</w:t>
      </w:r>
      <w:r>
        <w:t xml:space="preserve"> (no inundación – inundación), obteniendo estructuras definidas que muestran correlaciones importantes entre las mismas clases.</w:t>
      </w:r>
    </w:p>
    <w:p w14:paraId="3439046A" w14:textId="3E11A452" w:rsidR="004C3427" w:rsidRDefault="004C3427" w:rsidP="005E33DD">
      <w:pPr>
        <w:ind w:firstLine="0"/>
        <w:jc w:val="center"/>
      </w:pPr>
      <w:r w:rsidRPr="004C3427">
        <w:rPr>
          <w:noProof/>
        </w:rPr>
        <w:drawing>
          <wp:inline distT="0" distB="0" distL="0" distR="0" wp14:anchorId="45D9BF6C" wp14:editId="661A64A0">
            <wp:extent cx="2719269" cy="1009935"/>
            <wp:effectExtent l="0" t="0" r="5080" b="0"/>
            <wp:docPr id="1720926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26383" name=""/>
                    <pic:cNvPicPr/>
                  </pic:nvPicPr>
                  <pic:blipFill rotWithShape="1">
                    <a:blip r:embed="rId23"/>
                    <a:srcRect t="9329"/>
                    <a:stretch>
                      <a:fillRect/>
                    </a:stretch>
                  </pic:blipFill>
                  <pic:spPr bwMode="auto">
                    <a:xfrm>
                      <a:off x="0" y="0"/>
                      <a:ext cx="2729573" cy="1013762"/>
                    </a:xfrm>
                    <a:prstGeom prst="rect">
                      <a:avLst/>
                    </a:prstGeom>
                    <a:ln>
                      <a:noFill/>
                    </a:ln>
                    <a:extLst>
                      <a:ext uri="{53640926-AAD7-44D8-BBD7-CCE9431645EC}">
                        <a14:shadowObscured xmlns:a14="http://schemas.microsoft.com/office/drawing/2010/main"/>
                      </a:ext>
                    </a:extLst>
                  </pic:spPr>
                </pic:pic>
              </a:graphicData>
            </a:graphic>
          </wp:inline>
        </w:drawing>
      </w:r>
    </w:p>
    <w:p w14:paraId="5500732C" w14:textId="584FF557" w:rsidR="004C3427" w:rsidRDefault="004C3427" w:rsidP="004C3427">
      <w:pPr>
        <w:pStyle w:val="Cita"/>
        <w:rPr>
          <w:rFonts w:eastAsiaTheme="minorEastAsia"/>
        </w:rPr>
      </w:pPr>
      <w:r>
        <w:t>Figura </w:t>
      </w:r>
      <w:fldSimple w:instr=" SEQ Figura \* ARABIC ">
        <w:r w:rsidR="003A6A3C">
          <w:rPr>
            <w:noProof/>
          </w:rPr>
          <w:t>10</w:t>
        </w:r>
      </w:fldSimple>
      <w:r>
        <w:t>.  Matrices de c</w:t>
      </w:r>
      <w:r w:rsidR="005E33DD">
        <w:t>onfusión</w:t>
      </w:r>
      <w:r>
        <w:t xml:space="preserve"> en calibración y validación.</w:t>
      </w:r>
    </w:p>
    <w:p w14:paraId="795BE22B" w14:textId="5E0E23C9" w:rsidR="004C3427" w:rsidRDefault="00AA11FC" w:rsidP="009202F4">
      <w:pPr>
        <w:ind w:firstLine="0"/>
        <w:jc w:val="center"/>
      </w:pPr>
      <w:r w:rsidRPr="00AA11FC">
        <w:rPr>
          <w:noProof/>
        </w:rPr>
        <w:drawing>
          <wp:inline distT="0" distB="0" distL="0" distR="0" wp14:anchorId="5F7FCB6E" wp14:editId="3C095C23">
            <wp:extent cx="2499285" cy="2033516"/>
            <wp:effectExtent l="0" t="0" r="0" b="5080"/>
            <wp:docPr id="1060479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79255" name=""/>
                    <pic:cNvPicPr/>
                  </pic:nvPicPr>
                  <pic:blipFill rotWithShape="1">
                    <a:blip r:embed="rId24"/>
                    <a:srcRect t="4977"/>
                    <a:stretch>
                      <a:fillRect/>
                    </a:stretch>
                  </pic:blipFill>
                  <pic:spPr bwMode="auto">
                    <a:xfrm>
                      <a:off x="0" y="0"/>
                      <a:ext cx="2506314" cy="2039235"/>
                    </a:xfrm>
                    <a:prstGeom prst="rect">
                      <a:avLst/>
                    </a:prstGeom>
                    <a:ln>
                      <a:noFill/>
                    </a:ln>
                    <a:extLst>
                      <a:ext uri="{53640926-AAD7-44D8-BBD7-CCE9431645EC}">
                        <a14:shadowObscured xmlns:a14="http://schemas.microsoft.com/office/drawing/2010/main"/>
                      </a:ext>
                    </a:extLst>
                  </pic:spPr>
                </pic:pic>
              </a:graphicData>
            </a:graphic>
          </wp:inline>
        </w:drawing>
      </w:r>
    </w:p>
    <w:p w14:paraId="4B8F5300" w14:textId="04398CBC" w:rsidR="00AA11FC" w:rsidRDefault="00AA11FC" w:rsidP="00AA11FC">
      <w:pPr>
        <w:pStyle w:val="Cita"/>
      </w:pPr>
      <w:r>
        <w:t>Figura </w:t>
      </w:r>
      <w:fldSimple w:instr=" SEQ Figura \* ARABIC ">
        <w:r w:rsidR="003A6A3C">
          <w:rPr>
            <w:noProof/>
          </w:rPr>
          <w:t>11</w:t>
        </w:r>
      </w:fldSimple>
      <w:r>
        <w:t>.  Curva de calibración del Proceso Gaussiano.</w:t>
      </w:r>
    </w:p>
    <w:p w14:paraId="5274C6CD" w14:textId="6302D751" w:rsidR="00AA11FC" w:rsidRDefault="00AA11FC" w:rsidP="00B71E63">
      <w:pPr>
        <w:jc w:val="center"/>
      </w:pPr>
      <w:r w:rsidRPr="00AA11FC">
        <w:rPr>
          <w:noProof/>
        </w:rPr>
        <w:drawing>
          <wp:inline distT="0" distB="0" distL="0" distR="0" wp14:anchorId="7F0B235A" wp14:editId="3B56730F">
            <wp:extent cx="2272494" cy="1985513"/>
            <wp:effectExtent l="0" t="0" r="0" b="0"/>
            <wp:docPr id="718396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96270" name=""/>
                    <pic:cNvPicPr/>
                  </pic:nvPicPr>
                  <pic:blipFill rotWithShape="1">
                    <a:blip r:embed="rId25"/>
                    <a:srcRect t="3642"/>
                    <a:stretch>
                      <a:fillRect/>
                    </a:stretch>
                  </pic:blipFill>
                  <pic:spPr bwMode="auto">
                    <a:xfrm>
                      <a:off x="0" y="0"/>
                      <a:ext cx="2273899" cy="1986741"/>
                    </a:xfrm>
                    <a:prstGeom prst="rect">
                      <a:avLst/>
                    </a:prstGeom>
                    <a:ln>
                      <a:noFill/>
                    </a:ln>
                    <a:extLst>
                      <a:ext uri="{53640926-AAD7-44D8-BBD7-CCE9431645EC}">
                        <a14:shadowObscured xmlns:a14="http://schemas.microsoft.com/office/drawing/2010/main"/>
                      </a:ext>
                    </a:extLst>
                  </pic:spPr>
                </pic:pic>
              </a:graphicData>
            </a:graphic>
          </wp:inline>
        </w:drawing>
      </w:r>
    </w:p>
    <w:p w14:paraId="3B474A32" w14:textId="7080FBB8" w:rsidR="00AA11FC" w:rsidRPr="00AA11FC" w:rsidRDefault="00AA11FC" w:rsidP="00AA11FC">
      <w:pPr>
        <w:pStyle w:val="Cita"/>
      </w:pPr>
      <w:r>
        <w:t>Figura </w:t>
      </w:r>
      <w:fldSimple w:instr=" SEQ Figura \* ARABIC ">
        <w:r w:rsidR="003A6A3C">
          <w:rPr>
            <w:noProof/>
          </w:rPr>
          <w:t>12</w:t>
        </w:r>
      </w:fldSimple>
      <w:r>
        <w:t xml:space="preserve">.  </w:t>
      </w:r>
      <w:proofErr w:type="spellStart"/>
      <w:r>
        <w:t>Kernel</w:t>
      </w:r>
      <w:proofErr w:type="spellEnd"/>
      <w:r>
        <w:t xml:space="preserve"> de </w:t>
      </w:r>
      <w:proofErr w:type="spellStart"/>
      <w:r>
        <w:t>Matérn</w:t>
      </w:r>
      <w:proofErr w:type="spellEnd"/>
      <w:r>
        <w:t xml:space="preserve"> 1.5 ordenado por clase.</w:t>
      </w:r>
    </w:p>
    <w:p w14:paraId="7D19383C" w14:textId="7B91907D" w:rsidR="00AA11FC" w:rsidRDefault="00B71E63" w:rsidP="00BC14BC">
      <w:pPr>
        <w:ind w:firstLine="0"/>
      </w:pPr>
      <w:r>
        <w:rPr>
          <w:noProof/>
        </w:rPr>
        <w:drawing>
          <wp:inline distT="0" distB="0" distL="0" distR="0" wp14:anchorId="459F1D2F" wp14:editId="2E3EA787">
            <wp:extent cx="2880360" cy="2791507"/>
            <wp:effectExtent l="0" t="0" r="0" b="8890"/>
            <wp:docPr id="3356772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662"/>
                    <a:stretch>
                      <a:fillRect/>
                    </a:stretch>
                  </pic:blipFill>
                  <pic:spPr bwMode="auto">
                    <a:xfrm>
                      <a:off x="0" y="0"/>
                      <a:ext cx="2880360" cy="2791507"/>
                    </a:xfrm>
                    <a:prstGeom prst="rect">
                      <a:avLst/>
                    </a:prstGeom>
                    <a:noFill/>
                    <a:ln>
                      <a:noFill/>
                    </a:ln>
                    <a:extLst>
                      <a:ext uri="{53640926-AAD7-44D8-BBD7-CCE9431645EC}">
                        <a14:shadowObscured xmlns:a14="http://schemas.microsoft.com/office/drawing/2010/main"/>
                      </a:ext>
                    </a:extLst>
                  </pic:spPr>
                </pic:pic>
              </a:graphicData>
            </a:graphic>
          </wp:inline>
        </w:drawing>
      </w:r>
    </w:p>
    <w:p w14:paraId="1E88C967" w14:textId="314D3EC0" w:rsidR="00AA11FC" w:rsidRDefault="00AA11FC" w:rsidP="00AA11FC">
      <w:pPr>
        <w:pStyle w:val="Cita"/>
      </w:pPr>
      <w:r>
        <w:t>Figura </w:t>
      </w:r>
      <w:fldSimple w:instr=" SEQ Figura \* ARABIC ">
        <w:r w:rsidR="003A6A3C">
          <w:rPr>
            <w:noProof/>
          </w:rPr>
          <w:t>13</w:t>
        </w:r>
      </w:fldSimple>
      <w:r>
        <w:t xml:space="preserve">.  </w:t>
      </w:r>
      <w:r w:rsidR="00B71E63">
        <w:t>Clasificaciones de los eventos de inundación</w:t>
      </w:r>
    </w:p>
    <w:p w14:paraId="48B3DD05" w14:textId="5A7DE44C" w:rsidR="00B71E63" w:rsidRDefault="00B71E63" w:rsidP="00B71E63">
      <w:pPr>
        <w:ind w:firstLine="0"/>
      </w:pPr>
      <w:r w:rsidRPr="00B71E63">
        <w:rPr>
          <w:noProof/>
        </w:rPr>
        <w:drawing>
          <wp:inline distT="0" distB="0" distL="0" distR="0" wp14:anchorId="2AAC2588" wp14:editId="3C1E8E80">
            <wp:extent cx="2880360" cy="1685906"/>
            <wp:effectExtent l="0" t="0" r="0" b="0"/>
            <wp:docPr id="723580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80372" name=""/>
                    <pic:cNvPicPr/>
                  </pic:nvPicPr>
                  <pic:blipFill rotWithShape="1">
                    <a:blip r:embed="rId27"/>
                    <a:srcRect t="5618"/>
                    <a:stretch>
                      <a:fillRect/>
                    </a:stretch>
                  </pic:blipFill>
                  <pic:spPr bwMode="auto">
                    <a:xfrm>
                      <a:off x="0" y="0"/>
                      <a:ext cx="2880360" cy="1685906"/>
                    </a:xfrm>
                    <a:prstGeom prst="rect">
                      <a:avLst/>
                    </a:prstGeom>
                    <a:ln>
                      <a:noFill/>
                    </a:ln>
                    <a:extLst>
                      <a:ext uri="{53640926-AAD7-44D8-BBD7-CCE9431645EC}">
                        <a14:shadowObscured xmlns:a14="http://schemas.microsoft.com/office/drawing/2010/main"/>
                      </a:ext>
                    </a:extLst>
                  </pic:spPr>
                </pic:pic>
              </a:graphicData>
            </a:graphic>
          </wp:inline>
        </w:drawing>
      </w:r>
    </w:p>
    <w:p w14:paraId="3732ED25" w14:textId="6CBD35E5" w:rsidR="00B71E63" w:rsidRDefault="00B71E63" w:rsidP="00B71E63">
      <w:pPr>
        <w:pStyle w:val="Cita"/>
      </w:pPr>
      <w:r>
        <w:t>Figura </w:t>
      </w:r>
      <w:fldSimple w:instr=" SEQ Figura \* ARABIC ">
        <w:r>
          <w:rPr>
            <w:noProof/>
          </w:rPr>
          <w:t>13</w:t>
        </w:r>
      </w:fldSimple>
      <w:r>
        <w:t>.  Distribución de la probabilidad de ocurrencia</w:t>
      </w:r>
    </w:p>
    <w:p w14:paraId="0F3921E0" w14:textId="45A744EF" w:rsidR="00B71E63" w:rsidRDefault="00B71E63" w:rsidP="00B71E63">
      <w:pPr>
        <w:ind w:firstLine="0"/>
      </w:pPr>
      <w:r>
        <w:t>Para estudiar posibles estructuras espaciales en los residuos</w:t>
      </w:r>
      <w:r w:rsidR="009202F4">
        <w:t xml:space="preserve"> del modelo</w:t>
      </w:r>
      <w:r>
        <w:t xml:space="preserve">, se construyó un </w:t>
      </w:r>
      <w:proofErr w:type="spellStart"/>
      <w:r>
        <w:t>semivariograma</w:t>
      </w:r>
      <w:proofErr w:type="spellEnd"/>
      <w:r>
        <w:t xml:space="preserve"> de los residuos y un</w:t>
      </w:r>
      <w:r w:rsidR="005E33DD">
        <w:t xml:space="preserve">a superficie interpolada mediante </w:t>
      </w:r>
      <w:proofErr w:type="spellStart"/>
      <w:r>
        <w:t>Kriging</w:t>
      </w:r>
      <w:proofErr w:type="spellEnd"/>
      <w:r>
        <w:t xml:space="preserve"> ordinario a nivel del departamento.</w:t>
      </w:r>
    </w:p>
    <w:p w14:paraId="3DE4B264" w14:textId="743EEF35" w:rsidR="009202F4" w:rsidRDefault="009202F4" w:rsidP="009202F4">
      <w:pPr>
        <w:ind w:firstLine="0"/>
        <w:jc w:val="center"/>
      </w:pPr>
      <w:r w:rsidRPr="009202F4">
        <w:rPr>
          <w:noProof/>
        </w:rPr>
        <w:lastRenderedPageBreak/>
        <w:drawing>
          <wp:inline distT="0" distB="0" distL="0" distR="0" wp14:anchorId="2D6BAEE1" wp14:editId="617215AF">
            <wp:extent cx="2757830" cy="1707228"/>
            <wp:effectExtent l="0" t="0" r="4445" b="7620"/>
            <wp:docPr id="1371145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45355" name=""/>
                    <pic:cNvPicPr/>
                  </pic:nvPicPr>
                  <pic:blipFill>
                    <a:blip r:embed="rId28"/>
                    <a:stretch>
                      <a:fillRect/>
                    </a:stretch>
                  </pic:blipFill>
                  <pic:spPr>
                    <a:xfrm>
                      <a:off x="0" y="0"/>
                      <a:ext cx="2762241" cy="1709959"/>
                    </a:xfrm>
                    <a:prstGeom prst="rect">
                      <a:avLst/>
                    </a:prstGeom>
                  </pic:spPr>
                </pic:pic>
              </a:graphicData>
            </a:graphic>
          </wp:inline>
        </w:drawing>
      </w:r>
    </w:p>
    <w:p w14:paraId="08C1B965" w14:textId="73CE958C" w:rsidR="009202F4" w:rsidRDefault="009202F4" w:rsidP="009202F4">
      <w:pPr>
        <w:pStyle w:val="Cita"/>
      </w:pPr>
      <w:r>
        <w:t>Figura </w:t>
      </w:r>
      <w:fldSimple w:instr=" SEQ Figura \* ARABIC ">
        <w:r>
          <w:rPr>
            <w:noProof/>
          </w:rPr>
          <w:t>11</w:t>
        </w:r>
      </w:fldSimple>
      <w:r>
        <w:t xml:space="preserve">.  </w:t>
      </w:r>
      <w:proofErr w:type="spellStart"/>
      <w:r>
        <w:t>Semivariograma</w:t>
      </w:r>
      <w:proofErr w:type="spellEnd"/>
      <w:r>
        <w:t xml:space="preserve"> para los residuos del GP</w:t>
      </w:r>
    </w:p>
    <w:p w14:paraId="5D25A898" w14:textId="77777777" w:rsidR="009202F4" w:rsidRPr="00B71E63" w:rsidRDefault="009202F4" w:rsidP="00B71E63">
      <w:pPr>
        <w:ind w:firstLine="0"/>
      </w:pPr>
    </w:p>
    <w:p w14:paraId="1196102C" w14:textId="461BB0C7" w:rsidR="00B71E63" w:rsidRDefault="00B71E63" w:rsidP="00B71E63">
      <w:pPr>
        <w:ind w:firstLine="0"/>
      </w:pPr>
      <w:r>
        <w:rPr>
          <w:noProof/>
        </w:rPr>
        <w:drawing>
          <wp:inline distT="0" distB="0" distL="0" distR="0" wp14:anchorId="66A7E0EF" wp14:editId="6F4096AF">
            <wp:extent cx="2879808" cy="2600135"/>
            <wp:effectExtent l="0" t="0" r="0" b="0"/>
            <wp:docPr id="3965720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3432"/>
                    <a:stretch>
                      <a:fillRect/>
                    </a:stretch>
                  </pic:blipFill>
                  <pic:spPr bwMode="auto">
                    <a:xfrm>
                      <a:off x="0" y="0"/>
                      <a:ext cx="2880360" cy="2600634"/>
                    </a:xfrm>
                    <a:prstGeom prst="rect">
                      <a:avLst/>
                    </a:prstGeom>
                    <a:noFill/>
                    <a:ln>
                      <a:noFill/>
                    </a:ln>
                    <a:extLst>
                      <a:ext uri="{53640926-AAD7-44D8-BBD7-CCE9431645EC}">
                        <a14:shadowObscured xmlns:a14="http://schemas.microsoft.com/office/drawing/2010/main"/>
                      </a:ext>
                    </a:extLst>
                  </pic:spPr>
                </pic:pic>
              </a:graphicData>
            </a:graphic>
          </wp:inline>
        </w:drawing>
      </w:r>
    </w:p>
    <w:p w14:paraId="31361E80" w14:textId="008906DF" w:rsidR="009202F4" w:rsidRPr="00B71E63" w:rsidRDefault="009202F4" w:rsidP="009202F4">
      <w:pPr>
        <w:pStyle w:val="Cita"/>
      </w:pPr>
      <w:r>
        <w:t>Figura </w:t>
      </w:r>
      <w:fldSimple w:instr=" SEQ Figura \* ARABIC ">
        <w:r>
          <w:rPr>
            <w:noProof/>
          </w:rPr>
          <w:t>11</w:t>
        </w:r>
      </w:fldSimple>
      <w:r>
        <w:t>.  Mapa de distribución espacial de los residuos modelo GP</w:t>
      </w:r>
    </w:p>
    <w:p w14:paraId="5D018644" w14:textId="0E1BE8D2" w:rsidR="00AA11FC" w:rsidRDefault="005E33DD" w:rsidP="00BC14BC">
      <w:pPr>
        <w:ind w:firstLine="0"/>
      </w:pPr>
      <w:r>
        <w:t>Adicionalmente</w:t>
      </w:r>
      <w:r w:rsidR="00AA11FC">
        <w:t>, se realizó un análisis de componentes principales para las variables, el cual se comparó con las probabilidades predichas para estudiar la estructura general de los datos.</w:t>
      </w:r>
    </w:p>
    <w:p w14:paraId="34A2BDEF" w14:textId="711E5AED" w:rsidR="00AA11FC" w:rsidRDefault="00AA11FC" w:rsidP="00BC14BC">
      <w:pPr>
        <w:ind w:firstLine="0"/>
      </w:pPr>
      <w:r w:rsidRPr="00AA11FC">
        <w:rPr>
          <w:noProof/>
        </w:rPr>
        <w:drawing>
          <wp:inline distT="0" distB="0" distL="0" distR="0" wp14:anchorId="3493334E" wp14:editId="5F31B11F">
            <wp:extent cx="2880127" cy="2155825"/>
            <wp:effectExtent l="0" t="0" r="0" b="0"/>
            <wp:docPr id="279332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32860" name=""/>
                    <pic:cNvPicPr/>
                  </pic:nvPicPr>
                  <pic:blipFill rotWithShape="1">
                    <a:blip r:embed="rId30"/>
                    <a:srcRect t="7131"/>
                    <a:stretch>
                      <a:fillRect/>
                    </a:stretch>
                  </pic:blipFill>
                  <pic:spPr bwMode="auto">
                    <a:xfrm>
                      <a:off x="0" y="0"/>
                      <a:ext cx="2880360" cy="2156000"/>
                    </a:xfrm>
                    <a:prstGeom prst="rect">
                      <a:avLst/>
                    </a:prstGeom>
                    <a:ln>
                      <a:noFill/>
                    </a:ln>
                    <a:extLst>
                      <a:ext uri="{53640926-AAD7-44D8-BBD7-CCE9431645EC}">
                        <a14:shadowObscured xmlns:a14="http://schemas.microsoft.com/office/drawing/2010/main"/>
                      </a:ext>
                    </a:extLst>
                  </pic:spPr>
                </pic:pic>
              </a:graphicData>
            </a:graphic>
          </wp:inline>
        </w:drawing>
      </w:r>
    </w:p>
    <w:p w14:paraId="14611C3F" w14:textId="7EFA9354" w:rsidR="00AA11FC" w:rsidRPr="00AA11FC" w:rsidRDefault="00AA11FC" w:rsidP="00AA11FC">
      <w:pPr>
        <w:pStyle w:val="Cita"/>
      </w:pPr>
      <w:r>
        <w:t>Figura </w:t>
      </w:r>
      <w:fldSimple w:instr=" SEQ Figura \* ARABIC ">
        <w:r w:rsidR="003A6A3C">
          <w:rPr>
            <w:noProof/>
          </w:rPr>
          <w:t>14</w:t>
        </w:r>
      </w:fldSimple>
      <w:r>
        <w:t>.  Análisis de componentes principales con resultados de GP.</w:t>
      </w:r>
    </w:p>
    <w:tbl>
      <w:tblPr>
        <w:tblStyle w:val="Tablaconcuadrcula"/>
        <w:tblW w:w="0" w:type="auto"/>
        <w:tblLook w:val="04A0" w:firstRow="1" w:lastRow="0" w:firstColumn="1" w:lastColumn="0" w:noHBand="0" w:noVBand="1"/>
      </w:tblPr>
      <w:tblGrid>
        <w:gridCol w:w="1508"/>
        <w:gridCol w:w="1509"/>
        <w:gridCol w:w="1509"/>
      </w:tblGrid>
      <w:tr w:rsidR="00AA11FC" w:rsidRPr="00795CA3" w14:paraId="0D283D49" w14:textId="77777777" w:rsidTr="007215D0">
        <w:trPr>
          <w:tblHeader/>
        </w:trPr>
        <w:tc>
          <w:tcPr>
            <w:tcW w:w="4526" w:type="dxa"/>
            <w:gridSpan w:val="3"/>
            <w:tcBorders>
              <w:top w:val="nil"/>
              <w:left w:val="nil"/>
              <w:bottom w:val="single" w:sz="4" w:space="0" w:color="auto"/>
              <w:right w:val="nil"/>
            </w:tcBorders>
            <w:vAlign w:val="center"/>
          </w:tcPr>
          <w:p w14:paraId="6D7DC62A" w14:textId="54D55F3A" w:rsidR="00AA11FC" w:rsidRPr="00795CA3" w:rsidRDefault="00AA11FC" w:rsidP="007215D0">
            <w:pPr>
              <w:pStyle w:val="Cita"/>
              <w:rPr>
                <w:b/>
                <w:bCs/>
                <w:szCs w:val="18"/>
              </w:rPr>
            </w:pPr>
            <w:r>
              <w:t>Tabla </w:t>
            </w:r>
            <w:r>
              <w:fldChar w:fldCharType="begin"/>
            </w:r>
            <w:r>
              <w:instrText xml:space="preserve"> SEQ Tabla \* ARABIC </w:instrText>
            </w:r>
            <w:r>
              <w:fldChar w:fldCharType="separate"/>
            </w:r>
            <w:r w:rsidR="003A6A3C">
              <w:rPr>
                <w:noProof/>
              </w:rPr>
              <w:t>3</w:t>
            </w:r>
            <w:r>
              <w:fldChar w:fldCharType="end"/>
            </w:r>
            <w:r>
              <w:t>.  Pesos de componentes principales</w:t>
            </w:r>
          </w:p>
        </w:tc>
      </w:tr>
      <w:tr w:rsidR="00AA11FC" w:rsidRPr="00795CA3" w14:paraId="5FAD3A42" w14:textId="77777777" w:rsidTr="007215D0">
        <w:trPr>
          <w:tblHeader/>
        </w:trPr>
        <w:tc>
          <w:tcPr>
            <w:tcW w:w="1508" w:type="dxa"/>
            <w:tcBorders>
              <w:top w:val="single" w:sz="4" w:space="0" w:color="auto"/>
            </w:tcBorders>
            <w:shd w:val="clear" w:color="auto" w:fill="BFBFBF" w:themeFill="background1" w:themeFillShade="BF"/>
            <w:vAlign w:val="center"/>
          </w:tcPr>
          <w:p w14:paraId="5BC3CF18" w14:textId="77777777" w:rsidR="00AA11FC" w:rsidRPr="00795CA3" w:rsidRDefault="00AA11FC" w:rsidP="007215D0">
            <w:pPr>
              <w:ind w:firstLine="0"/>
              <w:jc w:val="center"/>
              <w:rPr>
                <w:b/>
                <w:bCs/>
                <w:sz w:val="16"/>
                <w:szCs w:val="18"/>
              </w:rPr>
            </w:pPr>
            <w:r w:rsidRPr="00795CA3">
              <w:rPr>
                <w:b/>
                <w:bCs/>
                <w:sz w:val="16"/>
                <w:szCs w:val="18"/>
              </w:rPr>
              <w:t>Variable</w:t>
            </w:r>
          </w:p>
        </w:tc>
        <w:tc>
          <w:tcPr>
            <w:tcW w:w="1509" w:type="dxa"/>
            <w:tcBorders>
              <w:top w:val="single" w:sz="4" w:space="0" w:color="auto"/>
            </w:tcBorders>
            <w:shd w:val="clear" w:color="auto" w:fill="BFBFBF" w:themeFill="background1" w:themeFillShade="BF"/>
            <w:vAlign w:val="center"/>
          </w:tcPr>
          <w:p w14:paraId="01ECA0B1" w14:textId="7F377DE6" w:rsidR="00AA11FC" w:rsidRPr="00795CA3" w:rsidRDefault="00AA11FC" w:rsidP="007215D0">
            <w:pPr>
              <w:ind w:firstLine="0"/>
              <w:jc w:val="center"/>
              <w:rPr>
                <w:b/>
                <w:bCs/>
                <w:sz w:val="16"/>
                <w:szCs w:val="18"/>
              </w:rPr>
            </w:pPr>
            <w:r>
              <w:rPr>
                <w:b/>
                <w:bCs/>
                <w:sz w:val="16"/>
                <w:szCs w:val="18"/>
              </w:rPr>
              <w:t>CP</w:t>
            </w:r>
            <w:r w:rsidRPr="00AA11FC">
              <w:rPr>
                <w:b/>
                <w:bCs/>
                <w:sz w:val="16"/>
                <w:szCs w:val="18"/>
                <w:vertAlign w:val="subscript"/>
              </w:rPr>
              <w:t>1</w:t>
            </w:r>
          </w:p>
        </w:tc>
        <w:tc>
          <w:tcPr>
            <w:tcW w:w="1509" w:type="dxa"/>
            <w:tcBorders>
              <w:top w:val="single" w:sz="4" w:space="0" w:color="auto"/>
            </w:tcBorders>
            <w:shd w:val="clear" w:color="auto" w:fill="BFBFBF" w:themeFill="background1" w:themeFillShade="BF"/>
            <w:vAlign w:val="center"/>
          </w:tcPr>
          <w:p w14:paraId="6DDD5906" w14:textId="2D29B8D3" w:rsidR="00AA11FC" w:rsidRPr="00795CA3" w:rsidRDefault="00AA11FC" w:rsidP="007215D0">
            <w:pPr>
              <w:ind w:firstLine="0"/>
              <w:jc w:val="center"/>
              <w:rPr>
                <w:b/>
                <w:bCs/>
                <w:sz w:val="16"/>
                <w:szCs w:val="18"/>
              </w:rPr>
            </w:pPr>
            <w:r>
              <w:rPr>
                <w:b/>
                <w:bCs/>
                <w:sz w:val="16"/>
                <w:szCs w:val="18"/>
              </w:rPr>
              <w:t>CP</w:t>
            </w:r>
            <w:r>
              <w:rPr>
                <w:b/>
                <w:bCs/>
                <w:sz w:val="16"/>
                <w:szCs w:val="18"/>
                <w:vertAlign w:val="subscript"/>
              </w:rPr>
              <w:t>2</w:t>
            </w:r>
          </w:p>
        </w:tc>
      </w:tr>
      <w:tr w:rsidR="00AA11FC" w:rsidRPr="00795CA3" w14:paraId="514A179F" w14:textId="77777777" w:rsidTr="007215D0">
        <w:tc>
          <w:tcPr>
            <w:tcW w:w="1508" w:type="dxa"/>
            <w:vAlign w:val="center"/>
          </w:tcPr>
          <w:p w14:paraId="13A0E94B" w14:textId="66B4A824" w:rsidR="00AA11FC" w:rsidRPr="00795CA3" w:rsidRDefault="00AA11FC" w:rsidP="007215D0">
            <w:pPr>
              <w:ind w:firstLine="0"/>
              <w:jc w:val="center"/>
              <w:rPr>
                <w:sz w:val="16"/>
                <w:szCs w:val="18"/>
              </w:rPr>
            </w:pPr>
            <w:proofErr w:type="gramStart"/>
            <w:r>
              <w:rPr>
                <w:sz w:val="16"/>
                <w:szCs w:val="18"/>
              </w:rPr>
              <w:t>Log</w:t>
            </w:r>
            <w:r w:rsidR="00B17450">
              <w:rPr>
                <w:sz w:val="16"/>
                <w:szCs w:val="18"/>
              </w:rPr>
              <w:t>(</w:t>
            </w:r>
            <w:proofErr w:type="gramEnd"/>
            <w:r w:rsidR="00B17450">
              <w:rPr>
                <w:sz w:val="16"/>
                <w:szCs w:val="18"/>
              </w:rPr>
              <w:t>Área)</w:t>
            </w:r>
          </w:p>
        </w:tc>
        <w:tc>
          <w:tcPr>
            <w:tcW w:w="1509" w:type="dxa"/>
            <w:vAlign w:val="center"/>
          </w:tcPr>
          <w:p w14:paraId="1F22AAA1" w14:textId="72D231A1" w:rsidR="00AA11FC" w:rsidRPr="00795CA3" w:rsidRDefault="00B17450" w:rsidP="007215D0">
            <w:pPr>
              <w:ind w:firstLine="0"/>
              <w:jc w:val="center"/>
              <w:rPr>
                <w:sz w:val="16"/>
                <w:szCs w:val="18"/>
              </w:rPr>
            </w:pPr>
            <w:r>
              <w:rPr>
                <w:sz w:val="16"/>
                <w:szCs w:val="18"/>
              </w:rPr>
              <w:t>-0.171</w:t>
            </w:r>
          </w:p>
        </w:tc>
        <w:tc>
          <w:tcPr>
            <w:tcW w:w="1509" w:type="dxa"/>
            <w:vAlign w:val="center"/>
          </w:tcPr>
          <w:p w14:paraId="0FF8A7CD" w14:textId="54219DE1" w:rsidR="00AA11FC" w:rsidRPr="00795CA3" w:rsidRDefault="00B17450" w:rsidP="007215D0">
            <w:pPr>
              <w:ind w:firstLine="0"/>
              <w:jc w:val="center"/>
              <w:rPr>
                <w:sz w:val="16"/>
                <w:szCs w:val="18"/>
              </w:rPr>
            </w:pPr>
            <w:r>
              <w:rPr>
                <w:sz w:val="16"/>
                <w:szCs w:val="18"/>
              </w:rPr>
              <w:t>0.704</w:t>
            </w:r>
          </w:p>
        </w:tc>
      </w:tr>
      <w:tr w:rsidR="00AA11FC" w:rsidRPr="00795CA3" w14:paraId="28946268" w14:textId="77777777" w:rsidTr="007215D0">
        <w:tc>
          <w:tcPr>
            <w:tcW w:w="1508" w:type="dxa"/>
            <w:vAlign w:val="center"/>
          </w:tcPr>
          <w:p w14:paraId="227918CA" w14:textId="063FCBB1" w:rsidR="00AA11FC" w:rsidRPr="00795CA3" w:rsidRDefault="00AA11FC" w:rsidP="007215D0">
            <w:pPr>
              <w:ind w:firstLine="0"/>
              <w:jc w:val="center"/>
              <w:rPr>
                <w:sz w:val="16"/>
                <w:szCs w:val="18"/>
              </w:rPr>
            </w:pPr>
            <w:r w:rsidRPr="00795CA3">
              <w:rPr>
                <w:sz w:val="16"/>
                <w:szCs w:val="18"/>
              </w:rPr>
              <w:t>Pendi</w:t>
            </w:r>
            <w:r w:rsidR="00B17450">
              <w:rPr>
                <w:sz w:val="16"/>
                <w:szCs w:val="18"/>
              </w:rPr>
              <w:t>ente</w:t>
            </w:r>
          </w:p>
        </w:tc>
        <w:tc>
          <w:tcPr>
            <w:tcW w:w="1509" w:type="dxa"/>
            <w:vAlign w:val="center"/>
          </w:tcPr>
          <w:p w14:paraId="1AB8B1AF" w14:textId="06BF6C06" w:rsidR="00AA11FC" w:rsidRPr="00795CA3" w:rsidRDefault="00B17450" w:rsidP="007215D0">
            <w:pPr>
              <w:ind w:firstLine="0"/>
              <w:jc w:val="center"/>
              <w:rPr>
                <w:sz w:val="16"/>
                <w:szCs w:val="18"/>
              </w:rPr>
            </w:pPr>
            <w:r>
              <w:rPr>
                <w:sz w:val="16"/>
                <w:szCs w:val="18"/>
              </w:rPr>
              <w:t>0.400</w:t>
            </w:r>
          </w:p>
        </w:tc>
        <w:tc>
          <w:tcPr>
            <w:tcW w:w="1509" w:type="dxa"/>
            <w:vAlign w:val="center"/>
          </w:tcPr>
          <w:p w14:paraId="3A85582C" w14:textId="5DFD7FEF" w:rsidR="00AA11FC" w:rsidRPr="00795CA3" w:rsidRDefault="00B17450" w:rsidP="007215D0">
            <w:pPr>
              <w:ind w:firstLine="0"/>
              <w:jc w:val="center"/>
              <w:rPr>
                <w:sz w:val="16"/>
                <w:szCs w:val="18"/>
              </w:rPr>
            </w:pPr>
            <w:r>
              <w:rPr>
                <w:sz w:val="16"/>
                <w:szCs w:val="18"/>
              </w:rPr>
              <w:t>0.204</w:t>
            </w:r>
          </w:p>
        </w:tc>
      </w:tr>
      <w:tr w:rsidR="00AA11FC" w:rsidRPr="00795CA3" w14:paraId="53BF4F6E" w14:textId="77777777" w:rsidTr="007215D0">
        <w:tc>
          <w:tcPr>
            <w:tcW w:w="1508" w:type="dxa"/>
            <w:vAlign w:val="center"/>
          </w:tcPr>
          <w:p w14:paraId="5F900220" w14:textId="6553D07C" w:rsidR="00AA11FC" w:rsidRPr="00795CA3" w:rsidRDefault="00B17450" w:rsidP="007215D0">
            <w:pPr>
              <w:ind w:firstLine="0"/>
              <w:jc w:val="center"/>
              <w:rPr>
                <w:sz w:val="16"/>
                <w:szCs w:val="18"/>
              </w:rPr>
            </w:pPr>
            <w:r>
              <w:rPr>
                <w:sz w:val="16"/>
                <w:szCs w:val="18"/>
              </w:rPr>
              <w:t>Elevación</w:t>
            </w:r>
          </w:p>
        </w:tc>
        <w:tc>
          <w:tcPr>
            <w:tcW w:w="1509" w:type="dxa"/>
            <w:vAlign w:val="center"/>
          </w:tcPr>
          <w:p w14:paraId="32AE775E" w14:textId="0A47F2F0" w:rsidR="00AA11FC" w:rsidRPr="00795CA3" w:rsidRDefault="00B17450" w:rsidP="007215D0">
            <w:pPr>
              <w:ind w:firstLine="0"/>
              <w:jc w:val="center"/>
              <w:rPr>
                <w:sz w:val="16"/>
                <w:szCs w:val="18"/>
              </w:rPr>
            </w:pPr>
            <w:r>
              <w:rPr>
                <w:sz w:val="16"/>
                <w:szCs w:val="18"/>
              </w:rPr>
              <w:t>0.266</w:t>
            </w:r>
          </w:p>
        </w:tc>
        <w:tc>
          <w:tcPr>
            <w:tcW w:w="1509" w:type="dxa"/>
            <w:vAlign w:val="center"/>
          </w:tcPr>
          <w:p w14:paraId="6A2620A5" w14:textId="51CA3307" w:rsidR="00AA11FC" w:rsidRPr="00795CA3" w:rsidRDefault="00B17450" w:rsidP="007215D0">
            <w:pPr>
              <w:ind w:firstLine="0"/>
              <w:jc w:val="center"/>
              <w:rPr>
                <w:sz w:val="16"/>
                <w:szCs w:val="18"/>
              </w:rPr>
            </w:pPr>
            <w:r>
              <w:rPr>
                <w:sz w:val="16"/>
                <w:szCs w:val="18"/>
              </w:rPr>
              <w:t>-0.466</w:t>
            </w:r>
          </w:p>
        </w:tc>
      </w:tr>
      <w:tr w:rsidR="00AA11FC" w:rsidRPr="00795CA3" w14:paraId="181F3BE2" w14:textId="77777777" w:rsidTr="007215D0">
        <w:tc>
          <w:tcPr>
            <w:tcW w:w="1508" w:type="dxa"/>
            <w:vAlign w:val="center"/>
          </w:tcPr>
          <w:p w14:paraId="6D57019B" w14:textId="2B610DD3" w:rsidR="00AA11FC" w:rsidRPr="00795CA3" w:rsidRDefault="00B17450" w:rsidP="007215D0">
            <w:pPr>
              <w:ind w:firstLine="0"/>
              <w:jc w:val="center"/>
              <w:rPr>
                <w:sz w:val="16"/>
                <w:szCs w:val="18"/>
              </w:rPr>
            </w:pPr>
            <w:r>
              <w:rPr>
                <w:sz w:val="16"/>
                <w:szCs w:val="18"/>
              </w:rPr>
              <w:t>LAI</w:t>
            </w:r>
          </w:p>
        </w:tc>
        <w:tc>
          <w:tcPr>
            <w:tcW w:w="1509" w:type="dxa"/>
            <w:vAlign w:val="center"/>
          </w:tcPr>
          <w:p w14:paraId="3DE57E8F" w14:textId="040DBF00" w:rsidR="00AA11FC" w:rsidRPr="00795CA3" w:rsidRDefault="00B17450" w:rsidP="007215D0">
            <w:pPr>
              <w:ind w:firstLine="0"/>
              <w:jc w:val="center"/>
              <w:rPr>
                <w:sz w:val="16"/>
                <w:szCs w:val="18"/>
              </w:rPr>
            </w:pPr>
            <w:r>
              <w:rPr>
                <w:sz w:val="16"/>
                <w:szCs w:val="18"/>
              </w:rPr>
              <w:t>0.209</w:t>
            </w:r>
          </w:p>
        </w:tc>
        <w:tc>
          <w:tcPr>
            <w:tcW w:w="1509" w:type="dxa"/>
            <w:vAlign w:val="center"/>
          </w:tcPr>
          <w:p w14:paraId="2835197B" w14:textId="74797E51" w:rsidR="00AA11FC" w:rsidRPr="00795CA3" w:rsidRDefault="00B17450" w:rsidP="007215D0">
            <w:pPr>
              <w:ind w:firstLine="0"/>
              <w:jc w:val="center"/>
              <w:rPr>
                <w:sz w:val="16"/>
                <w:szCs w:val="18"/>
              </w:rPr>
            </w:pPr>
            <w:r>
              <w:rPr>
                <w:sz w:val="16"/>
                <w:szCs w:val="18"/>
              </w:rPr>
              <w:t>0.484</w:t>
            </w:r>
          </w:p>
        </w:tc>
      </w:tr>
      <w:tr w:rsidR="00AA11FC" w:rsidRPr="00795CA3" w14:paraId="5436E1E1" w14:textId="77777777" w:rsidTr="007215D0">
        <w:tc>
          <w:tcPr>
            <w:tcW w:w="1508" w:type="dxa"/>
            <w:vAlign w:val="center"/>
          </w:tcPr>
          <w:p w14:paraId="0149096C" w14:textId="4D5BE84D" w:rsidR="00AA11FC" w:rsidRPr="00795CA3" w:rsidRDefault="00B17450" w:rsidP="007215D0">
            <w:pPr>
              <w:ind w:firstLine="0"/>
              <w:jc w:val="center"/>
              <w:rPr>
                <w:sz w:val="16"/>
                <w:szCs w:val="18"/>
              </w:rPr>
            </w:pPr>
            <w:r>
              <w:rPr>
                <w:sz w:val="16"/>
                <w:szCs w:val="18"/>
              </w:rPr>
              <w:t>T</w:t>
            </w:r>
            <w:r w:rsidR="005E33DD">
              <w:rPr>
                <w:sz w:val="16"/>
                <w:szCs w:val="18"/>
              </w:rPr>
              <w:t>R</w:t>
            </w:r>
            <w:r>
              <w:rPr>
                <w:sz w:val="16"/>
                <w:szCs w:val="18"/>
              </w:rPr>
              <w:t>I</w:t>
            </w:r>
          </w:p>
        </w:tc>
        <w:tc>
          <w:tcPr>
            <w:tcW w:w="1509" w:type="dxa"/>
            <w:vAlign w:val="center"/>
          </w:tcPr>
          <w:p w14:paraId="69FB302D" w14:textId="411D52F0" w:rsidR="00AA11FC" w:rsidRPr="00795CA3" w:rsidRDefault="00B17450" w:rsidP="007215D0">
            <w:pPr>
              <w:ind w:firstLine="0"/>
              <w:jc w:val="center"/>
              <w:rPr>
                <w:sz w:val="16"/>
                <w:szCs w:val="18"/>
              </w:rPr>
            </w:pPr>
            <w:r>
              <w:rPr>
                <w:sz w:val="16"/>
                <w:szCs w:val="18"/>
              </w:rPr>
              <w:t>-0.430</w:t>
            </w:r>
          </w:p>
        </w:tc>
        <w:tc>
          <w:tcPr>
            <w:tcW w:w="1509" w:type="dxa"/>
            <w:vAlign w:val="center"/>
          </w:tcPr>
          <w:p w14:paraId="6474142D" w14:textId="53834ECF" w:rsidR="00AA11FC" w:rsidRPr="00795CA3" w:rsidRDefault="00B17450" w:rsidP="007215D0">
            <w:pPr>
              <w:ind w:firstLine="0"/>
              <w:jc w:val="center"/>
              <w:rPr>
                <w:sz w:val="16"/>
                <w:szCs w:val="18"/>
              </w:rPr>
            </w:pPr>
            <w:r>
              <w:rPr>
                <w:sz w:val="16"/>
                <w:szCs w:val="18"/>
              </w:rPr>
              <w:t>-0.045</w:t>
            </w:r>
          </w:p>
        </w:tc>
      </w:tr>
      <w:tr w:rsidR="00AA11FC" w:rsidRPr="00795CA3" w14:paraId="097551EF" w14:textId="77777777" w:rsidTr="007215D0">
        <w:tc>
          <w:tcPr>
            <w:tcW w:w="1508" w:type="dxa"/>
            <w:vAlign w:val="center"/>
          </w:tcPr>
          <w:p w14:paraId="58846548" w14:textId="258FCD01" w:rsidR="00AA11FC" w:rsidRPr="00795CA3" w:rsidRDefault="00B17450" w:rsidP="007215D0">
            <w:pPr>
              <w:ind w:firstLine="0"/>
              <w:jc w:val="center"/>
              <w:rPr>
                <w:sz w:val="16"/>
                <w:szCs w:val="18"/>
              </w:rPr>
            </w:pPr>
            <w:r>
              <w:rPr>
                <w:sz w:val="16"/>
                <w:szCs w:val="18"/>
              </w:rPr>
              <w:t>Curvatura</w:t>
            </w:r>
          </w:p>
        </w:tc>
        <w:tc>
          <w:tcPr>
            <w:tcW w:w="1509" w:type="dxa"/>
            <w:vAlign w:val="center"/>
          </w:tcPr>
          <w:p w14:paraId="6A2E4E40" w14:textId="20CA3DEF" w:rsidR="00AA11FC" w:rsidRPr="00795CA3" w:rsidRDefault="00B17450" w:rsidP="007215D0">
            <w:pPr>
              <w:ind w:firstLine="0"/>
              <w:jc w:val="center"/>
              <w:rPr>
                <w:sz w:val="16"/>
                <w:szCs w:val="18"/>
              </w:rPr>
            </w:pPr>
            <w:r>
              <w:rPr>
                <w:sz w:val="16"/>
                <w:szCs w:val="18"/>
              </w:rPr>
              <w:t>-0.483</w:t>
            </w:r>
          </w:p>
        </w:tc>
        <w:tc>
          <w:tcPr>
            <w:tcW w:w="1509" w:type="dxa"/>
            <w:vAlign w:val="center"/>
          </w:tcPr>
          <w:p w14:paraId="0D7CD7F4" w14:textId="0A53FC43" w:rsidR="00AA11FC" w:rsidRPr="00795CA3" w:rsidRDefault="00B17450" w:rsidP="007215D0">
            <w:pPr>
              <w:ind w:firstLine="0"/>
              <w:jc w:val="center"/>
              <w:rPr>
                <w:sz w:val="16"/>
                <w:szCs w:val="18"/>
              </w:rPr>
            </w:pPr>
            <w:r>
              <w:rPr>
                <w:sz w:val="16"/>
                <w:szCs w:val="18"/>
              </w:rPr>
              <w:t>-0.099</w:t>
            </w:r>
          </w:p>
        </w:tc>
      </w:tr>
      <w:tr w:rsidR="00AA11FC" w:rsidRPr="00795CA3" w14:paraId="469AD71E" w14:textId="77777777" w:rsidTr="007215D0">
        <w:tc>
          <w:tcPr>
            <w:tcW w:w="1508" w:type="dxa"/>
            <w:vAlign w:val="center"/>
          </w:tcPr>
          <w:p w14:paraId="74D4EA54" w14:textId="77777777" w:rsidR="00AA11FC" w:rsidRPr="00795CA3" w:rsidRDefault="00AA11FC" w:rsidP="007215D0">
            <w:pPr>
              <w:ind w:firstLine="0"/>
              <w:jc w:val="center"/>
              <w:rPr>
                <w:sz w:val="16"/>
                <w:szCs w:val="18"/>
              </w:rPr>
            </w:pPr>
            <w:r w:rsidRPr="00795CA3">
              <w:rPr>
                <w:sz w:val="16"/>
                <w:szCs w:val="18"/>
              </w:rPr>
              <w:t>TPI</w:t>
            </w:r>
          </w:p>
        </w:tc>
        <w:tc>
          <w:tcPr>
            <w:tcW w:w="1509" w:type="dxa"/>
            <w:vAlign w:val="center"/>
          </w:tcPr>
          <w:p w14:paraId="272E94AC" w14:textId="3D592FFE" w:rsidR="00AA11FC" w:rsidRPr="00795CA3" w:rsidRDefault="00B17450" w:rsidP="007215D0">
            <w:pPr>
              <w:ind w:firstLine="0"/>
              <w:jc w:val="center"/>
              <w:rPr>
                <w:sz w:val="16"/>
                <w:szCs w:val="18"/>
              </w:rPr>
            </w:pPr>
            <w:r>
              <w:rPr>
                <w:sz w:val="16"/>
                <w:szCs w:val="18"/>
              </w:rPr>
              <w:t>0.527</w:t>
            </w:r>
          </w:p>
        </w:tc>
        <w:tc>
          <w:tcPr>
            <w:tcW w:w="1509" w:type="dxa"/>
            <w:vAlign w:val="center"/>
          </w:tcPr>
          <w:p w14:paraId="410A6393" w14:textId="02347C9B" w:rsidR="00AA11FC" w:rsidRPr="00795CA3" w:rsidRDefault="00B17450" w:rsidP="007215D0">
            <w:pPr>
              <w:ind w:firstLine="0"/>
              <w:jc w:val="center"/>
              <w:rPr>
                <w:sz w:val="16"/>
                <w:szCs w:val="18"/>
              </w:rPr>
            </w:pPr>
            <w:r>
              <w:rPr>
                <w:sz w:val="16"/>
                <w:szCs w:val="18"/>
              </w:rPr>
              <w:t>-0.011</w:t>
            </w:r>
          </w:p>
        </w:tc>
      </w:tr>
    </w:tbl>
    <w:p w14:paraId="669C471D" w14:textId="4BBA24D6" w:rsidR="00AA11FC" w:rsidRDefault="005E33DD" w:rsidP="00BC14BC">
      <w:pPr>
        <w:ind w:firstLine="0"/>
      </w:pPr>
      <w:r w:rsidRPr="005E33DD">
        <w:t xml:space="preserve">El modelo calibrado se aplicó sobre los </w:t>
      </w:r>
      <w:proofErr w:type="spellStart"/>
      <w:r w:rsidRPr="005E33DD">
        <w:t>rásteres</w:t>
      </w:r>
      <w:proofErr w:type="spellEnd"/>
      <w:r w:rsidRPr="005E33DD">
        <w:t xml:space="preserve"> de las variables predictoras</w:t>
      </w:r>
      <w:r>
        <w:t xml:space="preserve"> a nivel de Antioquia</w:t>
      </w:r>
      <w:r w:rsidRPr="005E33DD">
        <w:t xml:space="preserve"> para estimar una superficie continua de probabilidad de inundación</w:t>
      </w:r>
      <w:r w:rsidR="00B17450">
        <w:t xml:space="preserve">.  </w:t>
      </w:r>
      <w:r w:rsidR="00842344">
        <w:t>Con base en</w:t>
      </w:r>
      <w:r w:rsidR="00B17450">
        <w:t xml:space="preserve"> dicho mapa, se construyó un mapa de susceptibilidad definiendo las siguientes categorías.</w:t>
      </w:r>
      <w:r w:rsidR="003A6A3C">
        <w:t xml:space="preserve">  De igual forma, se generó un mapa de incertidumbres de desviaciones estándar posteriores que representa la </w:t>
      </w:r>
      <w:r w:rsidR="003E39C7">
        <w:t>incertidumbre posterior</w:t>
      </w:r>
      <w:r w:rsidR="003A6A3C">
        <w:t xml:space="preserve"> para cada celda y que tan </w:t>
      </w:r>
      <w:r w:rsidR="003E39C7">
        <w:t>q</w:t>
      </w:r>
      <w:r w:rsidR="003E39C7" w:rsidRPr="003E39C7">
        <w:t xml:space="preserve">ué tan respaldada se encuentra cada predicción por las combinaciones de covariables observadas durante </w:t>
      </w:r>
      <w:r w:rsidR="003E39C7">
        <w:t>la calibración</w:t>
      </w:r>
      <w:r w:rsidR="003A6A3C">
        <w:t xml:space="preserve">. </w:t>
      </w:r>
      <w:r w:rsidR="003E39C7">
        <w:t xml:space="preserve">Valores bajos indican menor incertidumbre posterior, mientras que valores próximos a la amplitud priori del </w:t>
      </w:r>
      <w:proofErr w:type="spellStart"/>
      <w:r w:rsidR="003E39C7">
        <w:t>kernel</w:t>
      </w:r>
      <w:proofErr w:type="spellEnd"/>
      <w:r w:rsidR="003E39C7">
        <w:t>, indican mayor incertidumbre.</w:t>
      </w:r>
    </w:p>
    <w:tbl>
      <w:tblPr>
        <w:tblStyle w:val="Tablaconcuadrcula"/>
        <w:tblW w:w="5000" w:type="pct"/>
        <w:tblLook w:val="04A0" w:firstRow="1" w:lastRow="0" w:firstColumn="1" w:lastColumn="0" w:noHBand="0" w:noVBand="1"/>
      </w:tblPr>
      <w:tblGrid>
        <w:gridCol w:w="2267"/>
        <w:gridCol w:w="2269"/>
      </w:tblGrid>
      <w:tr w:rsidR="00B17450" w:rsidRPr="00795CA3" w14:paraId="03E846F9" w14:textId="77777777" w:rsidTr="00B17450">
        <w:trPr>
          <w:tblHeader/>
        </w:trPr>
        <w:tc>
          <w:tcPr>
            <w:tcW w:w="5000" w:type="pct"/>
            <w:gridSpan w:val="2"/>
            <w:tcBorders>
              <w:top w:val="nil"/>
              <w:left w:val="nil"/>
              <w:bottom w:val="single" w:sz="4" w:space="0" w:color="auto"/>
              <w:right w:val="nil"/>
            </w:tcBorders>
            <w:vAlign w:val="center"/>
          </w:tcPr>
          <w:p w14:paraId="62DAEDF9" w14:textId="123D5890" w:rsidR="00B17450" w:rsidRDefault="00B17450" w:rsidP="00B17450">
            <w:pPr>
              <w:pStyle w:val="Cita"/>
              <w:rPr>
                <w:b/>
                <w:bCs/>
                <w:szCs w:val="18"/>
              </w:rPr>
            </w:pPr>
            <w:r>
              <w:t>Tabla </w:t>
            </w:r>
            <w:r>
              <w:fldChar w:fldCharType="begin"/>
            </w:r>
            <w:r>
              <w:instrText xml:space="preserve"> SEQ Tabla \* ARABIC </w:instrText>
            </w:r>
            <w:r>
              <w:fldChar w:fldCharType="separate"/>
            </w:r>
            <w:r w:rsidR="003A6A3C">
              <w:rPr>
                <w:noProof/>
              </w:rPr>
              <w:t>4</w:t>
            </w:r>
            <w:r>
              <w:fldChar w:fldCharType="end"/>
            </w:r>
            <w:r>
              <w:t xml:space="preserve">.  </w:t>
            </w:r>
            <w:r w:rsidR="003A6A3C">
              <w:t>Categorías</w:t>
            </w:r>
            <w:r>
              <w:t xml:space="preserve"> de susceptibilidad</w:t>
            </w:r>
          </w:p>
        </w:tc>
      </w:tr>
      <w:tr w:rsidR="00B17450" w:rsidRPr="00795CA3" w14:paraId="0E38B3B8" w14:textId="77777777" w:rsidTr="00B17450">
        <w:trPr>
          <w:tblHeader/>
        </w:trPr>
        <w:tc>
          <w:tcPr>
            <w:tcW w:w="2499" w:type="pct"/>
            <w:tcBorders>
              <w:top w:val="single" w:sz="4" w:space="0" w:color="auto"/>
            </w:tcBorders>
            <w:shd w:val="clear" w:color="auto" w:fill="BFBFBF" w:themeFill="background1" w:themeFillShade="BF"/>
            <w:vAlign w:val="center"/>
          </w:tcPr>
          <w:p w14:paraId="2D16C492" w14:textId="52441205" w:rsidR="00B17450" w:rsidRPr="00795CA3" w:rsidRDefault="00B17450" w:rsidP="007215D0">
            <w:pPr>
              <w:ind w:firstLine="0"/>
              <w:jc w:val="center"/>
              <w:rPr>
                <w:b/>
                <w:bCs/>
                <w:sz w:val="16"/>
                <w:szCs w:val="18"/>
              </w:rPr>
            </w:pPr>
            <w:r>
              <w:rPr>
                <w:b/>
                <w:bCs/>
                <w:sz w:val="16"/>
                <w:szCs w:val="18"/>
              </w:rPr>
              <w:t>Susceptibilidad</w:t>
            </w:r>
          </w:p>
        </w:tc>
        <w:tc>
          <w:tcPr>
            <w:tcW w:w="2501" w:type="pct"/>
            <w:tcBorders>
              <w:top w:val="single" w:sz="4" w:space="0" w:color="auto"/>
            </w:tcBorders>
            <w:shd w:val="clear" w:color="auto" w:fill="BFBFBF" w:themeFill="background1" w:themeFillShade="BF"/>
            <w:vAlign w:val="center"/>
          </w:tcPr>
          <w:p w14:paraId="5D7FE31D" w14:textId="298F10FB" w:rsidR="00B17450" w:rsidRPr="00795CA3" w:rsidRDefault="00B17450" w:rsidP="007215D0">
            <w:pPr>
              <w:ind w:firstLine="0"/>
              <w:jc w:val="center"/>
              <w:rPr>
                <w:b/>
                <w:bCs/>
                <w:sz w:val="16"/>
                <w:szCs w:val="18"/>
              </w:rPr>
            </w:pPr>
            <w:r>
              <w:rPr>
                <w:b/>
                <w:bCs/>
                <w:sz w:val="16"/>
                <w:szCs w:val="18"/>
              </w:rPr>
              <w:t>Probabilidad</w:t>
            </w:r>
          </w:p>
        </w:tc>
      </w:tr>
      <w:tr w:rsidR="00B17450" w:rsidRPr="00795CA3" w14:paraId="42DEC675" w14:textId="77777777" w:rsidTr="00B17450">
        <w:tc>
          <w:tcPr>
            <w:tcW w:w="2499" w:type="pct"/>
            <w:vAlign w:val="center"/>
          </w:tcPr>
          <w:p w14:paraId="305347B3" w14:textId="1E8B9A23" w:rsidR="00B17450" w:rsidRPr="00795CA3" w:rsidRDefault="00B17450" w:rsidP="007215D0">
            <w:pPr>
              <w:ind w:firstLine="0"/>
              <w:jc w:val="center"/>
              <w:rPr>
                <w:sz w:val="16"/>
                <w:szCs w:val="18"/>
              </w:rPr>
            </w:pPr>
            <w:r>
              <w:rPr>
                <w:sz w:val="16"/>
                <w:szCs w:val="18"/>
              </w:rPr>
              <w:t>Muy baja</w:t>
            </w:r>
          </w:p>
        </w:tc>
        <w:tc>
          <w:tcPr>
            <w:tcW w:w="2501" w:type="pct"/>
            <w:vAlign w:val="center"/>
          </w:tcPr>
          <w:p w14:paraId="05F27E2A" w14:textId="55FFA2E1" w:rsidR="00B17450" w:rsidRPr="00795CA3" w:rsidRDefault="003A6A3C" w:rsidP="007215D0">
            <w:pPr>
              <w:ind w:firstLine="0"/>
              <w:jc w:val="center"/>
              <w:rPr>
                <w:sz w:val="16"/>
                <w:szCs w:val="18"/>
              </w:rPr>
            </w:pPr>
            <w:r>
              <w:rPr>
                <w:sz w:val="16"/>
                <w:szCs w:val="18"/>
              </w:rPr>
              <w:t xml:space="preserve">0.0 </w:t>
            </w:r>
            <w:r w:rsidRPr="003A6A3C">
              <w:rPr>
                <w:sz w:val="16"/>
                <w:szCs w:val="18"/>
              </w:rPr>
              <w:t>≤</w:t>
            </w:r>
            <w:r>
              <w:rPr>
                <w:sz w:val="16"/>
                <w:szCs w:val="18"/>
              </w:rPr>
              <w:t xml:space="preserve"> p </w:t>
            </w:r>
            <w:r w:rsidRPr="003A6A3C">
              <w:rPr>
                <w:sz w:val="16"/>
                <w:szCs w:val="18"/>
              </w:rPr>
              <w:t>≤</w:t>
            </w:r>
            <w:r>
              <w:rPr>
                <w:sz w:val="16"/>
                <w:szCs w:val="18"/>
              </w:rPr>
              <w:t xml:space="preserve"> 0.2</w:t>
            </w:r>
          </w:p>
        </w:tc>
      </w:tr>
      <w:tr w:rsidR="00B17450" w:rsidRPr="00795CA3" w14:paraId="710927EF" w14:textId="77777777" w:rsidTr="00B17450">
        <w:tc>
          <w:tcPr>
            <w:tcW w:w="2499" w:type="pct"/>
            <w:vAlign w:val="center"/>
          </w:tcPr>
          <w:p w14:paraId="77704EFE" w14:textId="7CDB5476" w:rsidR="00B17450" w:rsidRPr="00795CA3" w:rsidRDefault="00B17450" w:rsidP="007215D0">
            <w:pPr>
              <w:ind w:firstLine="0"/>
              <w:jc w:val="center"/>
              <w:rPr>
                <w:sz w:val="16"/>
                <w:szCs w:val="18"/>
              </w:rPr>
            </w:pPr>
            <w:r>
              <w:rPr>
                <w:sz w:val="16"/>
                <w:szCs w:val="18"/>
              </w:rPr>
              <w:t>Baja</w:t>
            </w:r>
          </w:p>
        </w:tc>
        <w:tc>
          <w:tcPr>
            <w:tcW w:w="2501" w:type="pct"/>
            <w:vAlign w:val="center"/>
          </w:tcPr>
          <w:p w14:paraId="2A9353F8" w14:textId="44B92C62" w:rsidR="00B17450" w:rsidRPr="00795CA3" w:rsidRDefault="003A6A3C" w:rsidP="007215D0">
            <w:pPr>
              <w:ind w:firstLine="0"/>
              <w:jc w:val="center"/>
              <w:rPr>
                <w:sz w:val="16"/>
                <w:szCs w:val="18"/>
              </w:rPr>
            </w:pPr>
            <w:r>
              <w:rPr>
                <w:sz w:val="16"/>
                <w:szCs w:val="18"/>
              </w:rPr>
              <w:t xml:space="preserve">0.2 &lt; p </w:t>
            </w:r>
            <w:r w:rsidRPr="003A6A3C">
              <w:rPr>
                <w:sz w:val="16"/>
                <w:szCs w:val="18"/>
              </w:rPr>
              <w:t>≤</w:t>
            </w:r>
            <w:r>
              <w:rPr>
                <w:sz w:val="16"/>
                <w:szCs w:val="18"/>
              </w:rPr>
              <w:t xml:space="preserve"> 0.4</w:t>
            </w:r>
          </w:p>
        </w:tc>
      </w:tr>
      <w:tr w:rsidR="00B17450" w:rsidRPr="00795CA3" w14:paraId="47FC01E6" w14:textId="77777777" w:rsidTr="00B17450">
        <w:tc>
          <w:tcPr>
            <w:tcW w:w="2499" w:type="pct"/>
            <w:vAlign w:val="center"/>
          </w:tcPr>
          <w:p w14:paraId="074DE9AC" w14:textId="54C64DC8" w:rsidR="00B17450" w:rsidRPr="00795CA3" w:rsidRDefault="00B17450" w:rsidP="007215D0">
            <w:pPr>
              <w:ind w:firstLine="0"/>
              <w:jc w:val="center"/>
              <w:rPr>
                <w:sz w:val="16"/>
                <w:szCs w:val="18"/>
              </w:rPr>
            </w:pPr>
            <w:r>
              <w:rPr>
                <w:sz w:val="16"/>
                <w:szCs w:val="18"/>
              </w:rPr>
              <w:t>Media</w:t>
            </w:r>
          </w:p>
        </w:tc>
        <w:tc>
          <w:tcPr>
            <w:tcW w:w="2501" w:type="pct"/>
            <w:vAlign w:val="center"/>
          </w:tcPr>
          <w:p w14:paraId="530A2A0C" w14:textId="0CB4AF2A" w:rsidR="00B17450" w:rsidRPr="00795CA3" w:rsidRDefault="003A6A3C" w:rsidP="007215D0">
            <w:pPr>
              <w:ind w:firstLine="0"/>
              <w:jc w:val="center"/>
              <w:rPr>
                <w:sz w:val="16"/>
                <w:szCs w:val="18"/>
              </w:rPr>
            </w:pPr>
            <w:r>
              <w:rPr>
                <w:sz w:val="16"/>
                <w:szCs w:val="18"/>
              </w:rPr>
              <w:t xml:space="preserve">0.4 &lt; p </w:t>
            </w:r>
            <w:r w:rsidRPr="003A6A3C">
              <w:rPr>
                <w:sz w:val="16"/>
                <w:szCs w:val="18"/>
              </w:rPr>
              <w:t>≤</w:t>
            </w:r>
            <w:r>
              <w:rPr>
                <w:sz w:val="16"/>
                <w:szCs w:val="18"/>
              </w:rPr>
              <w:t xml:space="preserve"> 0.6</w:t>
            </w:r>
          </w:p>
        </w:tc>
      </w:tr>
      <w:tr w:rsidR="00B17450" w:rsidRPr="00795CA3" w14:paraId="3CC91225" w14:textId="77777777" w:rsidTr="00B17450">
        <w:tc>
          <w:tcPr>
            <w:tcW w:w="2499" w:type="pct"/>
            <w:vAlign w:val="center"/>
          </w:tcPr>
          <w:p w14:paraId="29E1B1D8" w14:textId="76366D27" w:rsidR="00B17450" w:rsidRPr="00795CA3" w:rsidRDefault="00B17450" w:rsidP="007215D0">
            <w:pPr>
              <w:ind w:firstLine="0"/>
              <w:jc w:val="center"/>
              <w:rPr>
                <w:sz w:val="16"/>
                <w:szCs w:val="18"/>
              </w:rPr>
            </w:pPr>
            <w:r>
              <w:rPr>
                <w:sz w:val="16"/>
                <w:szCs w:val="18"/>
              </w:rPr>
              <w:t>Alta</w:t>
            </w:r>
          </w:p>
        </w:tc>
        <w:tc>
          <w:tcPr>
            <w:tcW w:w="2501" w:type="pct"/>
            <w:vAlign w:val="center"/>
          </w:tcPr>
          <w:p w14:paraId="5270646A" w14:textId="4D2482DF" w:rsidR="00B17450" w:rsidRPr="00795CA3" w:rsidRDefault="003A6A3C" w:rsidP="007215D0">
            <w:pPr>
              <w:ind w:firstLine="0"/>
              <w:jc w:val="center"/>
              <w:rPr>
                <w:sz w:val="16"/>
                <w:szCs w:val="18"/>
              </w:rPr>
            </w:pPr>
            <w:r>
              <w:rPr>
                <w:sz w:val="16"/>
                <w:szCs w:val="18"/>
              </w:rPr>
              <w:t xml:space="preserve">0.6 &lt; p </w:t>
            </w:r>
            <w:r w:rsidRPr="003A6A3C">
              <w:rPr>
                <w:sz w:val="16"/>
                <w:szCs w:val="18"/>
              </w:rPr>
              <w:t>≤</w:t>
            </w:r>
            <w:r>
              <w:rPr>
                <w:sz w:val="16"/>
                <w:szCs w:val="18"/>
              </w:rPr>
              <w:t xml:space="preserve"> 0.8</w:t>
            </w:r>
          </w:p>
        </w:tc>
      </w:tr>
      <w:tr w:rsidR="00B17450" w:rsidRPr="00795CA3" w14:paraId="0F629A35" w14:textId="77777777" w:rsidTr="00B17450">
        <w:tc>
          <w:tcPr>
            <w:tcW w:w="2499" w:type="pct"/>
            <w:vAlign w:val="center"/>
          </w:tcPr>
          <w:p w14:paraId="08C9F4E7" w14:textId="65B8F2C8" w:rsidR="00B17450" w:rsidRPr="00795CA3" w:rsidRDefault="00B17450" w:rsidP="007215D0">
            <w:pPr>
              <w:ind w:firstLine="0"/>
              <w:jc w:val="center"/>
              <w:rPr>
                <w:sz w:val="16"/>
                <w:szCs w:val="18"/>
              </w:rPr>
            </w:pPr>
            <w:r>
              <w:rPr>
                <w:sz w:val="16"/>
                <w:szCs w:val="18"/>
              </w:rPr>
              <w:t>Muy alta</w:t>
            </w:r>
          </w:p>
        </w:tc>
        <w:tc>
          <w:tcPr>
            <w:tcW w:w="2501" w:type="pct"/>
            <w:vAlign w:val="center"/>
          </w:tcPr>
          <w:p w14:paraId="46C50521" w14:textId="4BBEF26E" w:rsidR="00B17450" w:rsidRPr="00795CA3" w:rsidRDefault="003A6A3C" w:rsidP="007215D0">
            <w:pPr>
              <w:ind w:firstLine="0"/>
              <w:jc w:val="center"/>
              <w:rPr>
                <w:sz w:val="16"/>
                <w:szCs w:val="18"/>
              </w:rPr>
            </w:pPr>
            <w:r>
              <w:rPr>
                <w:sz w:val="16"/>
                <w:szCs w:val="18"/>
              </w:rPr>
              <w:t xml:space="preserve">0.8 &lt; p </w:t>
            </w:r>
            <w:r w:rsidRPr="003A6A3C">
              <w:rPr>
                <w:sz w:val="16"/>
                <w:szCs w:val="18"/>
              </w:rPr>
              <w:t>≤</w:t>
            </w:r>
            <w:r>
              <w:rPr>
                <w:sz w:val="16"/>
                <w:szCs w:val="18"/>
              </w:rPr>
              <w:t xml:space="preserve"> 1.0</w:t>
            </w:r>
          </w:p>
        </w:tc>
      </w:tr>
    </w:tbl>
    <w:p w14:paraId="2A9EE728" w14:textId="353BBF7A" w:rsidR="00B17450" w:rsidRDefault="003A6A3C" w:rsidP="00BC14BC">
      <w:pPr>
        <w:ind w:firstLine="0"/>
      </w:pPr>
      <w:r>
        <w:rPr>
          <w:noProof/>
        </w:rPr>
        <w:drawing>
          <wp:inline distT="0" distB="0" distL="0" distR="0" wp14:anchorId="502D7726" wp14:editId="406ED1BF">
            <wp:extent cx="2880360" cy="3028678"/>
            <wp:effectExtent l="0" t="0" r="0" b="635"/>
            <wp:docPr id="993738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38958" name=""/>
                    <pic:cNvPicPr/>
                  </pic:nvPicPr>
                  <pic:blipFill rotWithShape="1">
                    <a:blip r:embed="rId31"/>
                    <a:srcRect t="3469"/>
                    <a:stretch>
                      <a:fillRect/>
                    </a:stretch>
                  </pic:blipFill>
                  <pic:spPr bwMode="auto">
                    <a:xfrm>
                      <a:off x="0" y="0"/>
                      <a:ext cx="2880360" cy="3028678"/>
                    </a:xfrm>
                    <a:prstGeom prst="rect">
                      <a:avLst/>
                    </a:prstGeom>
                    <a:ln>
                      <a:noFill/>
                    </a:ln>
                    <a:extLst>
                      <a:ext uri="{53640926-AAD7-44D8-BBD7-CCE9431645EC}">
                        <a14:shadowObscured xmlns:a14="http://schemas.microsoft.com/office/drawing/2010/main"/>
                      </a:ext>
                    </a:extLst>
                  </pic:spPr>
                </pic:pic>
              </a:graphicData>
            </a:graphic>
          </wp:inline>
        </w:drawing>
      </w:r>
    </w:p>
    <w:p w14:paraId="39695B64" w14:textId="30128EAD" w:rsidR="003A6A3C" w:rsidRDefault="003A6A3C" w:rsidP="003A6A3C">
      <w:pPr>
        <w:pStyle w:val="Cita"/>
      </w:pPr>
      <w:r>
        <w:t>Figura </w:t>
      </w:r>
      <w:fldSimple w:instr=" SEQ Figura \* ARABIC ">
        <w:r>
          <w:rPr>
            <w:noProof/>
          </w:rPr>
          <w:t>15</w:t>
        </w:r>
      </w:fldSimple>
      <w:r>
        <w:t>.  Mapa de susceptibilidad</w:t>
      </w:r>
    </w:p>
    <w:p w14:paraId="1C620403" w14:textId="5EAF251C" w:rsidR="003A6A3C" w:rsidRDefault="003A6A3C" w:rsidP="003A6A3C">
      <w:r>
        <w:rPr>
          <w:noProof/>
        </w:rPr>
        <w:lastRenderedPageBreak/>
        <w:drawing>
          <wp:inline distT="0" distB="0" distL="0" distR="0" wp14:anchorId="002F99CA" wp14:editId="685B4C16">
            <wp:extent cx="2880360" cy="2780030"/>
            <wp:effectExtent l="0" t="0" r="0" b="1270"/>
            <wp:docPr id="1485700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00784" name=""/>
                    <pic:cNvPicPr/>
                  </pic:nvPicPr>
                  <pic:blipFill rotWithShape="1">
                    <a:blip r:embed="rId32"/>
                    <a:srcRect t="3696"/>
                    <a:stretch>
                      <a:fillRect/>
                    </a:stretch>
                  </pic:blipFill>
                  <pic:spPr bwMode="auto">
                    <a:xfrm>
                      <a:off x="0" y="0"/>
                      <a:ext cx="2880360" cy="2780030"/>
                    </a:xfrm>
                    <a:prstGeom prst="rect">
                      <a:avLst/>
                    </a:prstGeom>
                    <a:ln>
                      <a:noFill/>
                    </a:ln>
                    <a:extLst>
                      <a:ext uri="{53640926-AAD7-44D8-BBD7-CCE9431645EC}">
                        <a14:shadowObscured xmlns:a14="http://schemas.microsoft.com/office/drawing/2010/main"/>
                      </a:ext>
                    </a:extLst>
                  </pic:spPr>
                </pic:pic>
              </a:graphicData>
            </a:graphic>
          </wp:inline>
        </w:drawing>
      </w:r>
    </w:p>
    <w:p w14:paraId="2F56330D" w14:textId="5D85C36B" w:rsidR="003A6A3C" w:rsidRDefault="003A6A3C" w:rsidP="003A6A3C">
      <w:pPr>
        <w:pStyle w:val="Cita"/>
      </w:pPr>
      <w:r>
        <w:t>Figura </w:t>
      </w:r>
      <w:fldSimple w:instr=" SEQ Figura \* ARABIC ">
        <w:r>
          <w:rPr>
            <w:noProof/>
          </w:rPr>
          <w:t>16</w:t>
        </w:r>
      </w:fldSimple>
      <w:r>
        <w:t>.  Mapa de incertidumbre</w:t>
      </w:r>
    </w:p>
    <w:p w14:paraId="19CA7328" w14:textId="63E6D46C" w:rsidR="009D299B" w:rsidRDefault="009D299B" w:rsidP="009D299B">
      <w:pPr>
        <w:pStyle w:val="Prrafodelista"/>
        <w:numPr>
          <w:ilvl w:val="0"/>
          <w:numId w:val="31"/>
        </w:numPr>
        <w:rPr>
          <w:rFonts w:cs="Times New Roman"/>
          <w:b/>
        </w:rPr>
      </w:pPr>
      <w:r>
        <w:rPr>
          <w:rFonts w:cs="Times New Roman"/>
          <w:b/>
        </w:rPr>
        <w:t>Discusión</w:t>
      </w:r>
    </w:p>
    <w:p w14:paraId="50D966C9" w14:textId="1CAA8A42" w:rsidR="00164966" w:rsidRDefault="00164966" w:rsidP="00164966">
      <w:pPr>
        <w:ind w:firstLine="0"/>
      </w:pPr>
      <w:r>
        <w:t xml:space="preserve">El modelo GLM binomial permitió caracterizar la ocurrencia de inundaciones a partir de variables geomorfológicas y los diferentes atributos asociados a la cuenca definidos como el área, la pendiente media y el LAI; alcanzando un desempeño predictivo razonable. La capacidad explicativa de este modelo permite asegurar que las variables empleadas son estadísticamente significativas. En particular, los resultados permitieron identificar que </w:t>
      </w:r>
      <w:r w:rsidR="003E39C7" w:rsidRPr="003E39C7">
        <w:t xml:space="preserve">el LAI presentó un </w:t>
      </w:r>
      <w:r w:rsidR="003E39C7">
        <w:t xml:space="preserve">comportamiento </w:t>
      </w:r>
      <w:r w:rsidR="003E39C7" w:rsidRPr="003E39C7">
        <w:t>invers</w:t>
      </w:r>
      <w:r w:rsidR="003E39C7">
        <w:t>o</w:t>
      </w:r>
      <w:r w:rsidR="003E39C7" w:rsidRPr="003E39C7">
        <w:t xml:space="preserve"> con</w:t>
      </w:r>
      <w:r w:rsidR="003E39C7">
        <w:t xml:space="preserve"> respecto a</w:t>
      </w:r>
      <w:r w:rsidR="003E39C7" w:rsidRPr="003E39C7">
        <w:t xml:space="preserve"> la probabilidad de ocurrencia de inundaciones</w:t>
      </w:r>
      <w:r>
        <w:t xml:space="preserve">: aquellas cuencas que presentan una mayor densidad </w:t>
      </w:r>
      <w:r w:rsidR="007C1F30">
        <w:t>vegetal</w:t>
      </w:r>
      <w:r>
        <w:t xml:space="preserve"> </w:t>
      </w:r>
      <w:r w:rsidR="003E39C7" w:rsidRPr="003E39C7">
        <w:t>se asociaron con menores probabilidades estimadas de ocurrencia.</w:t>
      </w:r>
    </w:p>
    <w:p w14:paraId="45A237E2" w14:textId="0343F9CC" w:rsidR="007C1F30" w:rsidRDefault="00164966" w:rsidP="00EB4A42">
      <w:pPr>
        <w:ind w:firstLine="0"/>
      </w:pPr>
      <w:r>
        <w:t xml:space="preserve">No obstante, el GLM presentó el menor desempeño entre los tres modelos evaluados, asociado </w:t>
      </w:r>
      <w:r w:rsidR="007C1F30">
        <w:t xml:space="preserve">principalmente a la linealidad del modelo </w:t>
      </w:r>
      <w:r w:rsidR="003E39C7">
        <w:t xml:space="preserve">sobre la escala </w:t>
      </w:r>
      <w:proofErr w:type="spellStart"/>
      <w:r w:rsidR="003E39C7">
        <w:t>logit</w:t>
      </w:r>
      <w:proofErr w:type="spellEnd"/>
      <w:r w:rsidR="003E39C7">
        <w:t xml:space="preserve">, </w:t>
      </w:r>
      <w:r w:rsidR="007C1F30">
        <w:t xml:space="preserve">que puede ser deficiente para este tipo de procesos, además </w:t>
      </w:r>
      <w:r w:rsidR="003E39C7" w:rsidRPr="003E39C7">
        <w:t>el modelo no incorpora explícitamente una estructura de dependencia espacial.</w:t>
      </w:r>
    </w:p>
    <w:p w14:paraId="7D585820" w14:textId="65285D78" w:rsidR="00EB4A42" w:rsidRDefault="007C1F30" w:rsidP="00164966">
      <w:pPr>
        <w:ind w:firstLine="0"/>
      </w:pPr>
      <w:r>
        <w:t xml:space="preserve">Por su parte, los modelos CAR de Leroux corresponden a una herramienta que permitió identificar aquellos </w:t>
      </w:r>
      <w:r w:rsidR="003E39C7" w:rsidRPr="003E39C7">
        <w:t>municipios con mayor número esperado de eventos a partir de sus características morfométricas y de la estructura espacial de vecindad</w:t>
      </w:r>
      <w:r w:rsidR="003E39C7">
        <w:t xml:space="preserve">, </w:t>
      </w:r>
      <w:r w:rsidR="00842344">
        <w:t>con base en</w:t>
      </w:r>
      <w:r>
        <w:t xml:space="preserve"> características morfológicas medias, encontrando que las variables representativas a nivel de escala municipal corresponden a la pendiente y el TRI</w:t>
      </w:r>
    </w:p>
    <w:p w14:paraId="55FED680" w14:textId="0382A27D" w:rsidR="00EB4A42" w:rsidRDefault="007C1F30" w:rsidP="00164966">
      <w:pPr>
        <w:ind w:firstLine="0"/>
      </w:pPr>
      <w:r>
        <w:t>Est</w:t>
      </w:r>
      <w:r w:rsidR="003E39C7">
        <w:t>e</w:t>
      </w:r>
      <w:r>
        <w:t xml:space="preserve"> modelo present</w:t>
      </w:r>
      <w:r w:rsidR="003E39C7">
        <w:t>ó</w:t>
      </w:r>
      <w:r>
        <w:t xml:space="preserve"> un </w:t>
      </w:r>
      <w:r w:rsidR="00784435">
        <w:t xml:space="preserve">buen </w:t>
      </w:r>
      <w:r>
        <w:t xml:space="preserve">ajuste </w:t>
      </w:r>
      <w:r w:rsidR="00EB4A42">
        <w:t xml:space="preserve">que entrega </w:t>
      </w:r>
      <w:r>
        <w:t>predicciones acertadas</w:t>
      </w:r>
      <w:r w:rsidR="00EB4A42">
        <w:t xml:space="preserve"> y cercanas a los valores observados, sustentado principalmente en la dependencia espacial identificada sobre la gran mayoría de las variables explicativas.  Adicionalmente, el buen ajuste </w:t>
      </w:r>
      <w:r w:rsidR="00EB4A42">
        <w:t xml:space="preserve">obtenido por el modelo CAR de Leroux presenta una fuerte influencia de los efectos locales en la estimación de los eventos de </w:t>
      </w:r>
      <w:r w:rsidR="008433D8">
        <w:t>inundación, consecuencia</w:t>
      </w:r>
      <w:r w:rsidR="00EB4A42">
        <w:t xml:space="preserve"> de una de las ventajas conceptuales del modelo Leroux sobre otros</w:t>
      </w:r>
      <w:r w:rsidR="008433D8">
        <w:t xml:space="preserve"> correspondiente a</w:t>
      </w:r>
      <w:r w:rsidR="00EB4A42">
        <w:t>l balance entre los efectos aleatorios estructurados y no estructurados</w:t>
      </w:r>
      <w:r w:rsidR="008433D8">
        <w:t>. Se</w:t>
      </w:r>
      <w:r w:rsidR="00EB4A42">
        <w:t xml:space="preserve"> encontr</w:t>
      </w:r>
      <w:r w:rsidR="008433D8">
        <w:t>ó</w:t>
      </w:r>
      <w:r w:rsidR="00EB4A42">
        <w:t xml:space="preserve"> que, en el caso de los resultados calibrados, alrededor de un 70% de la variabilidad de los datos</w:t>
      </w:r>
      <w:r w:rsidR="003E39C7">
        <w:t xml:space="preserve"> puede ser explicada oír los </w:t>
      </w:r>
      <w:r w:rsidR="00EB4A42">
        <w:t>efectos estructurados. Lo anterior evidencia coherencia en zonas como el golfo de Urabá, donde los municipios que presentan mayor número de inundaciones tienen vecinos con tendencias de números de eventos similares</w:t>
      </w:r>
    </w:p>
    <w:p w14:paraId="617F0F4D" w14:textId="0C33A981" w:rsidR="007C1F30" w:rsidRDefault="00EB4A42" w:rsidP="00164966">
      <w:pPr>
        <w:ind w:firstLine="0"/>
      </w:pPr>
      <w:r>
        <w:t xml:space="preserve">Al estudiar la dependencia espacial de los residuos, el modelo CAR de Leroux </w:t>
      </w:r>
      <w:r w:rsidR="003E39C7" w:rsidRPr="003E39C7">
        <w:t>no identific</w:t>
      </w:r>
      <w:r w:rsidR="003E39C7">
        <w:t>ó</w:t>
      </w:r>
      <w:r w:rsidR="003E39C7" w:rsidRPr="003E39C7">
        <w:t xml:space="preserve"> autocorrelación espacial residual estadísticamente significativa</w:t>
      </w:r>
      <w:r w:rsidR="003E39C7">
        <w:t>,</w:t>
      </w:r>
      <w:r w:rsidR="008433D8">
        <w:t xml:space="preserve"> con un índice de Moran estadísticamente no significativo</w:t>
      </w:r>
      <w:r>
        <w:t>, por lo que la variabilidad que no es posible ser explicada por este tipo de modelos se asocia principalmente a ruido y aleatoriedad del proceso.</w:t>
      </w:r>
    </w:p>
    <w:p w14:paraId="549CE855" w14:textId="2C04E828" w:rsidR="009202F4" w:rsidRDefault="00EB4A42" w:rsidP="00164966">
      <w:pPr>
        <w:ind w:firstLine="0"/>
      </w:pPr>
      <w:r>
        <w:t xml:space="preserve">Finalmente, </w:t>
      </w:r>
      <w:r w:rsidR="00B71E63">
        <w:t xml:space="preserve">los procesos Gaussianos permitieron incorporar la no linealidad en la ocurrencia de los eventos, estableciendo una línea base para la asignación de probabilidades distribuidas en el territorio.  La implementación de un </w:t>
      </w:r>
      <w:proofErr w:type="spellStart"/>
      <w:r w:rsidR="00B71E63">
        <w:t>kernel</w:t>
      </w:r>
      <w:proofErr w:type="spellEnd"/>
      <w:r w:rsidR="00B71E63">
        <w:t xml:space="preserve"> tipo </w:t>
      </w:r>
      <w:proofErr w:type="spellStart"/>
      <w:r w:rsidR="00B71E63">
        <w:t>Matérn</w:t>
      </w:r>
      <w:proofErr w:type="spellEnd"/>
      <w:r w:rsidR="00B71E63">
        <w:t xml:space="preserve"> con parámetro de suavidad 1.5, </w:t>
      </w:r>
      <w:r w:rsidR="008433D8">
        <w:t>brinda</w:t>
      </w:r>
      <w:r w:rsidR="00B71E63">
        <w:t xml:space="preserve"> un balance entre procesos locales y regionales </w:t>
      </w:r>
      <w:r w:rsidR="008433D8">
        <w:t xml:space="preserve">característicos de la distribución de los eventos de inundación en la base de datos, </w:t>
      </w:r>
      <w:r w:rsidR="003E39C7">
        <w:t xml:space="preserve">donde el modelo presento </w:t>
      </w:r>
      <w:r w:rsidR="00A55161">
        <w:t xml:space="preserve">un ajuste de calidad </w:t>
      </w:r>
      <w:r w:rsidR="008433D8">
        <w:t>en</w:t>
      </w:r>
      <w:r w:rsidR="00B71E63">
        <w:t xml:space="preserve"> las probabilidades de ocurrencias tanto durante el proceso de calibración como de validación</w:t>
      </w:r>
      <w:r w:rsidR="009202F4">
        <w:t>.</w:t>
      </w:r>
    </w:p>
    <w:p w14:paraId="4239D0D9" w14:textId="353766FC" w:rsidR="00B71E63" w:rsidRDefault="009202F4" w:rsidP="00164966">
      <w:pPr>
        <w:ind w:firstLine="0"/>
      </w:pPr>
      <w:r>
        <w:t xml:space="preserve">El uso de estos criterios permitió obtener como resultado un modelo con variabilidad </w:t>
      </w:r>
      <w:r w:rsidR="00A55161">
        <w:t>reducida entre las probabilidades predicas</w:t>
      </w:r>
      <w:r>
        <w:t xml:space="preserve"> </w:t>
      </w:r>
      <w:r w:rsidR="00A55161">
        <w:t>y observadas</w:t>
      </w:r>
      <w:r>
        <w:t xml:space="preserve">, donde los resultados no se alejan significativamente de la curva ideal. </w:t>
      </w:r>
      <w:r w:rsidR="00784435">
        <w:t>Adicionalmente</w:t>
      </w:r>
      <w:r>
        <w:t xml:space="preserve">, se ordenó la matriz </w:t>
      </w:r>
      <w:proofErr w:type="spellStart"/>
      <w:r>
        <w:t>kernel</w:t>
      </w:r>
      <w:proofErr w:type="spellEnd"/>
      <w:r>
        <w:t xml:space="preserve"> de acuerdo con la clase de los eventos (no inundación – inundación), observando que existe una estructura importante en la correlación de los eventos pertenecientes a una misma clase</w:t>
      </w:r>
      <w:r w:rsidR="008433D8">
        <w:t>, con covarianzas altas</w:t>
      </w:r>
    </w:p>
    <w:p w14:paraId="5815BA87" w14:textId="496B9D32" w:rsidR="00EB4A42" w:rsidRDefault="00B71E63" w:rsidP="00164966">
      <w:pPr>
        <w:ind w:firstLine="0"/>
      </w:pPr>
      <w:r>
        <w:t xml:space="preserve">Las clasificaciones de los resultados evidencian </w:t>
      </w:r>
      <w:proofErr w:type="gramStart"/>
      <w:r>
        <w:t>que</w:t>
      </w:r>
      <w:proofErr w:type="gramEnd"/>
      <w:r>
        <w:t xml:space="preserve"> en términos generales, la gran mayoría de los eventos presentan una correcta clasificación, sin embargo, aquellos que fallan se distribuyen sobre todo el territorio, sin observar patrones espaciales que indiquen </w:t>
      </w:r>
      <w:r w:rsidR="009202F4">
        <w:t>la insuficiencia</w:t>
      </w:r>
      <w:r>
        <w:t xml:space="preserve"> en las variables explicativas.</w:t>
      </w:r>
    </w:p>
    <w:p w14:paraId="5040DCAF" w14:textId="00D1EE47" w:rsidR="009202F4" w:rsidRDefault="009202F4" w:rsidP="00164966">
      <w:pPr>
        <w:ind w:firstLine="0"/>
      </w:pPr>
      <w:r>
        <w:t xml:space="preserve">Por su parte, al estudiar los residuos, se observa que </w:t>
      </w:r>
      <w:r w:rsidR="00A55161" w:rsidRPr="00A55161">
        <w:t xml:space="preserve">la </w:t>
      </w:r>
      <w:proofErr w:type="spellStart"/>
      <w:r w:rsidR="00A55161" w:rsidRPr="00A55161">
        <w:t>semivarianza</w:t>
      </w:r>
      <w:proofErr w:type="spellEnd"/>
      <w:r w:rsidR="00A55161" w:rsidRPr="00A55161">
        <w:t xml:space="preserve"> alcanza la meseta aproximadamente a los 10</w:t>
      </w:r>
      <w:r w:rsidR="00A55161">
        <w:t> </w:t>
      </w:r>
      <w:r w:rsidR="00A55161" w:rsidRPr="00A55161">
        <w:t>km, indicando que la dependencia espacial residual se concentra a distancias cortas</w:t>
      </w:r>
      <w:r>
        <w:t xml:space="preserve">.  Esta pérdida </w:t>
      </w:r>
      <w:r w:rsidR="0000382A">
        <w:t xml:space="preserve">rápida de la correlación </w:t>
      </w:r>
      <w:r>
        <w:t>se</w:t>
      </w:r>
      <w:r w:rsidR="00A55161">
        <w:t xml:space="preserve"> puede</w:t>
      </w:r>
      <w:r>
        <w:t xml:space="preserve"> asocia</w:t>
      </w:r>
      <w:r w:rsidR="00A55161">
        <w:t>r</w:t>
      </w:r>
      <w:r>
        <w:t xml:space="preserve"> con la</w:t>
      </w:r>
      <w:r w:rsidR="0000382A">
        <w:t xml:space="preserve"> cercanía de múltiples eventos en la</w:t>
      </w:r>
      <w:r>
        <w:t xml:space="preserve"> base de datos de inundaciones, la cual presenta particularidades importantes en zonas específicas </w:t>
      </w:r>
      <w:r w:rsidR="0000382A">
        <w:t xml:space="preserve">de alta recurrencia de eventos en varios </w:t>
      </w:r>
      <w:r w:rsidR="0000382A">
        <w:lastRenderedPageBreak/>
        <w:t>municipios</w:t>
      </w:r>
      <w:r>
        <w:t xml:space="preserve">.  El </w:t>
      </w:r>
      <w:proofErr w:type="spellStart"/>
      <w:r>
        <w:t>semivariograma</w:t>
      </w:r>
      <w:proofErr w:type="spellEnd"/>
      <w:r>
        <w:t xml:space="preserve"> </w:t>
      </w:r>
      <w:r w:rsidR="003327C9">
        <w:t xml:space="preserve">que mejor se ajustó a los datos corresponde al esférico, el cual se empleó en la construcción del </w:t>
      </w:r>
      <w:proofErr w:type="spellStart"/>
      <w:r w:rsidR="003327C9">
        <w:t>kriging</w:t>
      </w:r>
      <w:proofErr w:type="spellEnd"/>
      <w:r w:rsidR="003327C9">
        <w:t xml:space="preserve"> de residuos obteniendo que las diferencias no superan probabilidades mayores a 0.25, </w:t>
      </w:r>
      <w:r w:rsidR="0000382A">
        <w:t xml:space="preserve">y </w:t>
      </w:r>
      <w:r w:rsidR="003327C9">
        <w:t xml:space="preserve">encontrándose manchas de sobreestimación y subestimación distribuidas en el </w:t>
      </w:r>
      <w:r w:rsidR="00A55161" w:rsidRPr="00A55161">
        <w:t>sin patrones regionales persistentes, aunque con focos locales de sobreestimación y subestimación.</w:t>
      </w:r>
    </w:p>
    <w:p w14:paraId="16F0277F" w14:textId="465B9B68" w:rsidR="003327C9" w:rsidRDefault="003327C9" w:rsidP="00164966">
      <w:pPr>
        <w:ind w:firstLine="0"/>
      </w:pPr>
      <w:r>
        <w:t>Para entender la influencia de las variables en el proceso Gaussiano, se encontró que los componentes principales permiten describir aproximadamente el 58</w:t>
      </w:r>
      <w:r w:rsidR="00A55161">
        <w:t>.9</w:t>
      </w:r>
      <w:r>
        <w:t xml:space="preserve">% de la variabilidad de los datos, identificando que el primer componente </w:t>
      </w:r>
      <w:r w:rsidR="0000382A">
        <w:t xml:space="preserve">capta </w:t>
      </w:r>
      <w:r>
        <w:t xml:space="preserve">una porción de aproximadamente 41.2% </w:t>
      </w:r>
      <w:r w:rsidR="0000382A">
        <w:t xml:space="preserve">de la variabilidad </w:t>
      </w:r>
      <w:r>
        <w:t xml:space="preserve">con mayores pesos en variables asociadas a la morfología del sitio (Pendiente, TRI, Curvatura, TPI). Por su parte, el segundo componente describe aproximadamente el 17.7% de la variabilidad </w:t>
      </w:r>
      <w:r w:rsidR="00A55161">
        <w:t xml:space="preserve">total </w:t>
      </w:r>
      <w:r>
        <w:t>con un mayor peso en las variables asociadas a los atributos de las cuencas (Área, LAI y Elevación).</w:t>
      </w:r>
    </w:p>
    <w:p w14:paraId="65942102" w14:textId="112F52AE" w:rsidR="00B803B2" w:rsidRDefault="00B803B2" w:rsidP="00B803B2">
      <w:pPr>
        <w:ind w:firstLine="0"/>
      </w:pPr>
      <w:r>
        <w:t xml:space="preserve">El mapa de susceptibilidad obtenido evidencia una marcada variabilidad espacial en la respuesta del territorio, con predominio de clases bajas y medias especialmente sobre las </w:t>
      </w:r>
      <w:r w:rsidR="00A55161">
        <w:t xml:space="preserve">zonas centrales </w:t>
      </w:r>
      <w:r w:rsidR="00A55161" w:rsidRPr="00A55161">
        <w:t>coincidentes predominantemente con sectores de relieve andino.</w:t>
      </w:r>
      <w:r>
        <w:t xml:space="preserve">  De igual</w:t>
      </w:r>
      <w:r w:rsidR="00F12845">
        <w:t xml:space="preserve"> forma</w:t>
      </w:r>
      <w:r>
        <w:t xml:space="preserve">, se observan concentraciones puntuales de susceptibilidad alta y muy alta en zonas como el Golfo de Urabá, en cercanías al río Atrato, el río Cauca, el río Nechí, y al río Magdalena </w:t>
      </w:r>
      <w:r w:rsidR="00A55161">
        <w:t xml:space="preserve">que corresponden a </w:t>
      </w:r>
      <w:r w:rsidR="00A55161" w:rsidRPr="00A55161">
        <w:t xml:space="preserve">sectores asociados a grandes sistemas fluviales, </w:t>
      </w:r>
      <w:r w:rsidR="00A55161">
        <w:t xml:space="preserve">bajas </w:t>
      </w:r>
      <w:r w:rsidR="00A55161" w:rsidRPr="00A55161">
        <w:t>pendientes y condiciones topográficas favorables</w:t>
      </w:r>
      <w:r w:rsidR="00A55161">
        <w:t xml:space="preserve"> para la ocurrencia de eventos de inundación</w:t>
      </w:r>
      <w:r w:rsidR="00F12845">
        <w:t xml:space="preserve">.  De igual forma, sobre la ciudad de Medellín, se observa una alta susceptibilidad a inundación, sin embargo, la alta susceptibilidad en la zona puede asociarse a un sesgo </w:t>
      </w:r>
      <w:r w:rsidR="00A55161">
        <w:t xml:space="preserve">de reporte </w:t>
      </w:r>
      <w:r w:rsidR="00F12845">
        <w:t>existente en la base de datos con una mayor probabilidad de generar reportes de eventos debido a la importancia de la ciudad y la alteración antrópica de las cuencas.</w:t>
      </w:r>
    </w:p>
    <w:p w14:paraId="54A46D53" w14:textId="1E24D3AA" w:rsidR="002F01C8" w:rsidRDefault="00B803B2" w:rsidP="00164966">
      <w:pPr>
        <w:ind w:firstLine="0"/>
      </w:pPr>
      <w:r>
        <w:t xml:space="preserve">La incertidumbre, expresada mediante la desviación estándar posterior, muestra que </w:t>
      </w:r>
      <w:r w:rsidR="00530A2E">
        <w:t>la confianza asociada a las predicciones con desviaciones estándar baja</w:t>
      </w:r>
      <w:r w:rsidR="00A55161">
        <w:t>s parece</w:t>
      </w:r>
      <w:r w:rsidR="00530A2E">
        <w:t xml:space="preserve"> localiza</w:t>
      </w:r>
      <w:r w:rsidR="00A55161">
        <w:t>rse</w:t>
      </w:r>
      <w:r w:rsidR="00F12845">
        <w:t xml:space="preserve"> en aquellas zonas donde el modelo CAR de Leroux observó una mayor cantidad de eventos</w:t>
      </w:r>
      <w:r w:rsidR="00870113">
        <w:t xml:space="preserve">, permitiendo al </w:t>
      </w:r>
      <w:r>
        <w:t xml:space="preserve">modelo </w:t>
      </w:r>
      <w:r w:rsidR="00870113">
        <w:t xml:space="preserve">una </w:t>
      </w:r>
      <w:r>
        <w:t>mayor certeza sobre la respuesta estimada</w:t>
      </w:r>
      <w:r w:rsidR="00870113">
        <w:t>.  Sin embargo, se encontraron</w:t>
      </w:r>
      <w:r>
        <w:t xml:space="preserve"> otras áreas con valores considerablemente más altos, especialmente en amplias zonas del centro y sur del área de estudio.</w:t>
      </w:r>
      <w:r w:rsidR="002205AD">
        <w:t xml:space="preserve"> </w:t>
      </w:r>
      <w:r>
        <w:t xml:space="preserve">Estas diferencias </w:t>
      </w:r>
      <w:r w:rsidR="00870113">
        <w:t>se</w:t>
      </w:r>
      <w:r>
        <w:t xml:space="preserve"> asocia</w:t>
      </w:r>
      <w:r w:rsidR="00870113">
        <w:t>n principalmente</w:t>
      </w:r>
      <w:r>
        <w:t xml:space="preserve"> con una menor densidad o representatividad de observaciones, con combinaciones de covariables poco frecuentes en los datos utilizados para el ajuste o con una mayor variabilidad </w:t>
      </w:r>
      <w:r w:rsidR="00A55161">
        <w:t>en el espacio multidimensional de las variables explicativas</w:t>
      </w:r>
      <w:r>
        <w:t xml:space="preserve"> del proceso</w:t>
      </w:r>
      <w:r w:rsidR="00530A2E">
        <w:t xml:space="preserve"> en las zonas centrales, asociada a la menor recurrencia de eventos en la base de datos</w:t>
      </w:r>
      <w:r>
        <w:t>.</w:t>
      </w:r>
    </w:p>
    <w:p w14:paraId="6F976113" w14:textId="2045A7A1" w:rsidR="009D299B" w:rsidRDefault="009D299B" w:rsidP="009D299B">
      <w:pPr>
        <w:pStyle w:val="Prrafodelista"/>
        <w:numPr>
          <w:ilvl w:val="0"/>
          <w:numId w:val="31"/>
        </w:numPr>
        <w:rPr>
          <w:rFonts w:cs="Times New Roman"/>
          <w:b/>
        </w:rPr>
      </w:pPr>
      <w:r>
        <w:rPr>
          <w:rFonts w:cs="Times New Roman"/>
          <w:b/>
        </w:rPr>
        <w:t>Conclusiones</w:t>
      </w:r>
    </w:p>
    <w:p w14:paraId="086D6533" w14:textId="2150D412" w:rsidR="00121D81" w:rsidRDefault="006A5E94" w:rsidP="00121D81">
      <w:pPr>
        <w:ind w:firstLine="0"/>
      </w:pPr>
      <w:r w:rsidRPr="006A5E94">
        <w:t>Los resultados muestran que la susceptibilidad a inundaciones en Antioquia está asociada con variables morfométricas y atributos de las cuencas</w:t>
      </w:r>
      <w:r w:rsidR="00121D81">
        <w:t>. El GL</w:t>
      </w:r>
      <w:r>
        <w:t>M</w:t>
      </w:r>
      <w:r w:rsidR="00121D81">
        <w:t xml:space="preserve"> Binomial evidenció que todas las variables explicativas empleadas son estadísticamente significativas, y particularmente el LAI, siendo una de las variables objetivo de este trabajo, presenta una relación inversa con la ocurrencia de inundaciones, lo que indica que menor densidad foliar se relaciona con una mayor probabilidad de ocurrencia como lo observado.</w:t>
      </w:r>
    </w:p>
    <w:p w14:paraId="334F5907" w14:textId="6C0CDB3B" w:rsidR="00121D81" w:rsidRDefault="00121D81" w:rsidP="00121D81">
      <w:pPr>
        <w:ind w:firstLine="0"/>
      </w:pPr>
      <w:r>
        <w:t xml:space="preserve">La distribución de las inundaciones presenta una dependencia espacial importante a escala local, </w:t>
      </w:r>
      <w:r w:rsidR="006A5E94">
        <w:t>que,</w:t>
      </w:r>
      <w:r>
        <w:t xml:space="preserve"> a</w:t>
      </w:r>
      <w:r w:rsidR="006A5E94">
        <w:t>l</w:t>
      </w:r>
      <w:r>
        <w:t xml:space="preserve"> estudiarse por medio de los municipios del departamento, muestra la influencia local </w:t>
      </w:r>
      <w:r w:rsidR="006A5E94">
        <w:t>del efecto aleatorio estructurado</w:t>
      </w:r>
      <w:r>
        <w:t>, característica que fue captada por el modelo CAR de Leroux.</w:t>
      </w:r>
    </w:p>
    <w:p w14:paraId="4256E6E8" w14:textId="759D778E" w:rsidR="00121D81" w:rsidRDefault="00121D81" w:rsidP="00121D81">
      <w:pPr>
        <w:ind w:firstLine="0"/>
      </w:pPr>
      <w:r>
        <w:t>Los Procesos Gaussianos complementaron el estudio al representar las relaciones no lineales entre las variables mediante funciones de covarianza que permiten captar efectos a escala local y regional. El análisis de componentes principales por su parte mostró además una diferenciación importante entre variables explicativas, donde aquellas asociadas</w:t>
      </w:r>
      <w:r w:rsidR="006A5E94">
        <w:t xml:space="preserve"> a</w:t>
      </w:r>
      <w:r>
        <w:t xml:space="preserve"> la morfología local, captan la mayor parte de la variabilidad del proceso y observando una concordancia en</w:t>
      </w:r>
      <w:r w:rsidR="006A5E94">
        <w:t>tre</w:t>
      </w:r>
      <w:r>
        <w:t xml:space="preserve"> la distribución de la probabilidad</w:t>
      </w:r>
      <w:r w:rsidR="006A5E94">
        <w:t xml:space="preserve"> de ocurrencias predichas por el modelo GP y los datos discretos</w:t>
      </w:r>
      <w:r>
        <w:t xml:space="preserve"> de inundación</w:t>
      </w:r>
      <w:r w:rsidR="006A5E94">
        <w:t xml:space="preserve"> y no inundación</w:t>
      </w:r>
      <w:r>
        <w:t xml:space="preserve">.  Esta herramienta sirvió como </w:t>
      </w:r>
      <w:r w:rsidR="003F6C7B">
        <w:t>insumo principal para transformar observaciones discretas a lo largo del departamento, en superficies continuas del departamento Antioquia, donde se definen las probabilidades de ocurrencia en cada píxel.</w:t>
      </w:r>
    </w:p>
    <w:p w14:paraId="63A12107" w14:textId="4693E433" w:rsidR="00121D81" w:rsidRDefault="003F6C7B" w:rsidP="00121D81">
      <w:pPr>
        <w:ind w:firstLine="0"/>
      </w:pPr>
      <w:r>
        <w:t>Por su parte, los mapas de susceptibilidad evidenciaron</w:t>
      </w:r>
      <w:r w:rsidR="00121D81">
        <w:t xml:space="preserve"> que las clases alta y muy alta se concentran principalmente en sec</w:t>
      </w:r>
      <w:r>
        <w:t>tores</w:t>
      </w:r>
      <w:r w:rsidR="00121D81">
        <w:t xml:space="preserve"> como el Golfo de Urabá y las proximidades de los ríos Atrato, Cauca, Nechí y Magdalena</w:t>
      </w:r>
      <w:r>
        <w:t xml:space="preserve">, que presentan características geomorfológicas </w:t>
      </w:r>
      <w:r w:rsidR="006A5E94">
        <w:t>de pendientes bajas y terrenos muy suaves</w:t>
      </w:r>
      <w:r>
        <w:t>, que favorecen la ocurrencia de eventos</w:t>
      </w:r>
      <w:r w:rsidR="00121D81">
        <w:t>. A su vez, la desviación estándar posterior permitió reconocer sectores donde estas estimaciones presentan menor respaldo de los datos</w:t>
      </w:r>
      <w:r>
        <w:t>.</w:t>
      </w:r>
    </w:p>
    <w:p w14:paraId="2146ECA3" w14:textId="27568FF1" w:rsidR="00530A2E" w:rsidRDefault="00121D81" w:rsidP="00121D81">
      <w:pPr>
        <w:ind w:firstLine="0"/>
      </w:pPr>
      <w:r>
        <w:t xml:space="preserve">En conjunto, el estudio </w:t>
      </w:r>
      <w:r w:rsidR="003F6C7B">
        <w:t>permitió demostrar</w:t>
      </w:r>
      <w:r>
        <w:t xml:space="preserve"> que el LAI</w:t>
      </w:r>
      <w:r w:rsidR="003F6C7B">
        <w:t xml:space="preserve"> </w:t>
      </w:r>
      <w:r w:rsidR="006A5E94" w:rsidRPr="006A5E94">
        <w:t>mostró capacidad explicativa y una asociación inversa con la ocurrencia de inundaciones</w:t>
      </w:r>
      <w:r w:rsidR="006A5E94">
        <w:t xml:space="preserve">, </w:t>
      </w:r>
      <w:r w:rsidR="003F6C7B">
        <w:t xml:space="preserve">puesto que dicha variable </w:t>
      </w:r>
      <w:r w:rsidR="006A5E94">
        <w:t xml:space="preserve">es comúnmente usada en múltiples estudios debido a que </w:t>
      </w:r>
      <w:r w:rsidR="003F6C7B">
        <w:t>guarda una fuerte relación con la capacidad de regulación de caudales en las cuencas.  Por su parte,</w:t>
      </w:r>
      <w:r>
        <w:t xml:space="preserve"> los índices morfométricos</w:t>
      </w:r>
      <w:r w:rsidR="006A5E94" w:rsidRPr="006A5E94">
        <w:t xml:space="preserve"> presentaron una importante capacidad explicativa sobre</w:t>
      </w:r>
      <w:r w:rsidR="003F6C7B">
        <w:t xml:space="preserve"> </w:t>
      </w:r>
      <w:r>
        <w:t xml:space="preserve">la susceptibilidad a inundaciones, </w:t>
      </w:r>
      <w:r w:rsidR="003F6C7B">
        <w:t>debido a la</w:t>
      </w:r>
      <w:r>
        <w:t xml:space="preserve"> dependencia espacial y las relaciones no lineales</w:t>
      </w:r>
      <w:r w:rsidR="003F6C7B">
        <w:t xml:space="preserve"> entre ellas</w:t>
      </w:r>
      <w:r>
        <w:t xml:space="preserve">. </w:t>
      </w:r>
      <w:r w:rsidR="003F6C7B">
        <w:t xml:space="preserve">El uso de diferentes </w:t>
      </w:r>
      <w:r w:rsidR="003F6C7B">
        <w:lastRenderedPageBreak/>
        <w:t xml:space="preserve">tipos de modelos aporta una </w:t>
      </w:r>
      <w:r>
        <w:t xml:space="preserve">combinación de </w:t>
      </w:r>
      <w:r w:rsidR="003F6C7B">
        <w:t>descriptores que permiten</w:t>
      </w:r>
      <w:r>
        <w:t xml:space="preserve"> una caracterización</w:t>
      </w:r>
      <w:r w:rsidR="003F6C7B">
        <w:t xml:space="preserve"> adecuada </w:t>
      </w:r>
      <w:r>
        <w:t>del fenómeno</w:t>
      </w:r>
      <w:r w:rsidR="003F6C7B">
        <w:t>.</w:t>
      </w:r>
    </w:p>
    <w:p w14:paraId="3BA2E356" w14:textId="6EA644E0" w:rsidR="003F6C7B" w:rsidRDefault="003F6C7B" w:rsidP="00121D81">
      <w:pPr>
        <w:ind w:firstLine="0"/>
      </w:pPr>
      <w:r>
        <w:t>Como trabajos futuros, s</w:t>
      </w:r>
      <w:r w:rsidRPr="003F6C7B">
        <w:t>e</w:t>
      </w:r>
      <w:r>
        <w:t xml:space="preserve"> debe estudiar la posibilidad de </w:t>
      </w:r>
      <w:r w:rsidRPr="003F6C7B">
        <w:t>incorpora</w:t>
      </w:r>
      <w:r>
        <w:t>r</w:t>
      </w:r>
      <w:r w:rsidRPr="003F6C7B">
        <w:t xml:space="preserve"> variables adicionales que permitan reducir la incertidumbre identificada en la zona central del departamento. Asimismo, resulta necesario evaluar con mayor detalle el posible sesgo asociado a los inventarios </w:t>
      </w:r>
      <w:r w:rsidR="00E35EF2">
        <w:t>de eventos</w:t>
      </w:r>
      <w:r w:rsidRPr="003F6C7B">
        <w:t xml:space="preserve">, </w:t>
      </w:r>
      <w:r w:rsidR="00E35EF2">
        <w:t xml:space="preserve">a los cuales se les identificó </w:t>
      </w:r>
      <w:r w:rsidRPr="003F6C7B">
        <w:t>una menor densidad de registros en determinadas áreas</w:t>
      </w:r>
      <w:r w:rsidR="00E35EF2">
        <w:t xml:space="preserve"> que puede estar asociados con la </w:t>
      </w:r>
      <w:r w:rsidR="002205AD">
        <w:t>planificación y la diferenciación territoriales</w:t>
      </w:r>
      <w:r w:rsidR="00E35EF2">
        <w:t xml:space="preserve"> entre los suelos urbano y rurales</w:t>
      </w:r>
      <w:r w:rsidRPr="003F6C7B">
        <w:t>,</w:t>
      </w:r>
      <w:r w:rsidR="00E35EF2">
        <w:t xml:space="preserve"> pudiéndose tratar de </w:t>
      </w:r>
      <w:r w:rsidRPr="003F6C7B">
        <w:t>limitaciones en lo</w:t>
      </w:r>
      <w:r w:rsidR="00E35EF2">
        <w:t>s reportes, y</w:t>
      </w:r>
      <w:r w:rsidRPr="003F6C7B">
        <w:t xml:space="preserve"> </w:t>
      </w:r>
      <w:r w:rsidR="00E35EF2">
        <w:t>eventos de inundación no registrado.</w:t>
      </w:r>
    </w:p>
    <w:p w14:paraId="4CEDA3BC" w14:textId="610FB93D" w:rsidR="009D299B" w:rsidRDefault="009D299B" w:rsidP="009D299B">
      <w:pPr>
        <w:pStyle w:val="Prrafodelista"/>
        <w:numPr>
          <w:ilvl w:val="0"/>
          <w:numId w:val="31"/>
        </w:numPr>
        <w:rPr>
          <w:rFonts w:cs="Times New Roman"/>
          <w:b/>
        </w:rPr>
      </w:pPr>
      <w:r>
        <w:rPr>
          <w:rFonts w:cs="Times New Roman"/>
          <w:b/>
        </w:rPr>
        <w:t>Bibliografía</w:t>
      </w:r>
    </w:p>
    <w:p w14:paraId="7FA1F592" w14:textId="77777777" w:rsidR="002205AD" w:rsidRPr="00F8682A" w:rsidRDefault="002205AD" w:rsidP="002205AD">
      <w:pPr>
        <w:ind w:firstLine="0"/>
        <w:rPr>
          <w:lang w:val="es-ES"/>
        </w:rPr>
      </w:pPr>
      <w:r w:rsidRPr="002205AD">
        <w:rPr>
          <w:lang w:val="es-ES"/>
        </w:rPr>
        <w:t xml:space="preserve">Aristizábal, E. V., Correa, D., García, C., Valencia, A. M., &amp; Zabaleta, E. A. (2025). </w:t>
      </w:r>
      <w:proofErr w:type="spellStart"/>
      <w:r w:rsidRPr="002205AD">
        <w:rPr>
          <w:lang w:val="es-ES"/>
        </w:rPr>
        <w:t>Geohazard</w:t>
      </w:r>
      <w:proofErr w:type="spellEnd"/>
      <w:r w:rsidRPr="002205AD">
        <w:rPr>
          <w:lang w:val="es-ES"/>
        </w:rPr>
        <w:t xml:space="preserve">: base de datos por movimientos en masa y avenidas torrenciales en Colombia y el departamento de Antioquia. </w:t>
      </w:r>
      <w:r w:rsidRPr="00F8682A">
        <w:rPr>
          <w:lang w:val="es-ES"/>
        </w:rPr>
        <w:t>Ciencia e Ingeniería Neogranadina, 35(1), 131-147. https://doi.org/10.18359/rcin.7786</w:t>
      </w:r>
    </w:p>
    <w:p w14:paraId="6914CDD5" w14:textId="0356D6C8" w:rsidR="002205AD" w:rsidRPr="00F8682A" w:rsidRDefault="002205AD" w:rsidP="002205AD">
      <w:pPr>
        <w:ind w:firstLine="0"/>
        <w:rPr>
          <w:lang w:val="es-ES"/>
        </w:rPr>
      </w:pPr>
      <w:r w:rsidRPr="002205AD">
        <w:rPr>
          <w:lang w:val="es-ES"/>
        </w:rPr>
        <w:t xml:space="preserve">Aristizábal, E. V. (2026). Análisis Geoespacial. </w:t>
      </w:r>
      <w:r w:rsidRPr="00F8682A">
        <w:rPr>
          <w:lang w:val="es-ES"/>
        </w:rPr>
        <w:t>GitHub Pages. https://edieraristizabal.github.io/Libro_AnalisisGeoespacial/intro.html</w:t>
      </w:r>
    </w:p>
    <w:p w14:paraId="538C4DB8" w14:textId="77777777" w:rsidR="002205AD" w:rsidRDefault="002205AD" w:rsidP="002205AD">
      <w:pPr>
        <w:pStyle w:val="Bibliografa"/>
        <w:ind w:firstLine="0"/>
        <w:rPr>
          <w:noProof/>
          <w:sz w:val="24"/>
          <w:szCs w:val="24"/>
        </w:rPr>
      </w:pPr>
      <w:r>
        <w:rPr>
          <w:rFonts w:cs="Times New Roman"/>
        </w:rPr>
        <w:fldChar w:fldCharType="begin"/>
      </w:r>
      <w:r>
        <w:rPr>
          <w:rFonts w:cs="Times New Roman"/>
        </w:rPr>
        <w:instrText xml:space="preserve"> BIBLIOGRAPHY  \l 9226 </w:instrText>
      </w:r>
      <w:r>
        <w:rPr>
          <w:rFonts w:cs="Times New Roman"/>
        </w:rPr>
        <w:fldChar w:fldCharType="separate"/>
      </w:r>
      <w:r>
        <w:rPr>
          <w:noProof/>
        </w:rPr>
        <w:t xml:space="preserve">Departamento Administrativo de Gestión del Riesgo de Desastres de Antioquia (DAGRAN). (2021). </w:t>
      </w:r>
      <w:r>
        <w:rPr>
          <w:i/>
          <w:iCs/>
          <w:noProof/>
        </w:rPr>
        <w:t>Inventario de eventos por inundaciones en el departamento de Antioquia [Base de datos].</w:t>
      </w:r>
      <w:r>
        <w:rPr>
          <w:noProof/>
        </w:rPr>
        <w:t xml:space="preserve"> Medellín: Gobernación de Antioquia.</w:t>
      </w:r>
    </w:p>
    <w:p w14:paraId="488E5B6B" w14:textId="77777777" w:rsidR="002205AD" w:rsidRDefault="002205AD" w:rsidP="002205AD">
      <w:pPr>
        <w:pStyle w:val="Bibliografa"/>
        <w:ind w:firstLine="0"/>
        <w:rPr>
          <w:noProof/>
        </w:rPr>
      </w:pPr>
      <w:r>
        <w:rPr>
          <w:noProof/>
        </w:rPr>
        <w:t xml:space="preserve">GEOHAZARD UNAL. (2026). </w:t>
      </w:r>
      <w:r>
        <w:rPr>
          <w:i/>
          <w:iCs/>
          <w:noProof/>
        </w:rPr>
        <w:t>Inventarios Geohazard</w:t>
      </w:r>
      <w:r>
        <w:rPr>
          <w:noProof/>
        </w:rPr>
        <w:t>. Obtenido de Inventarios de Movimientos en Masa para Antioquia y Colombia.: https://geohazards.com.co/</w:t>
      </w:r>
    </w:p>
    <w:p w14:paraId="1855EDF7" w14:textId="77777777" w:rsidR="002205AD" w:rsidRDefault="002205AD" w:rsidP="002205AD">
      <w:pPr>
        <w:pStyle w:val="Bibliografa"/>
        <w:ind w:firstLine="0"/>
        <w:rPr>
          <w:noProof/>
        </w:rPr>
      </w:pPr>
      <w:r>
        <w:rPr>
          <w:noProof/>
        </w:rPr>
        <w:t xml:space="preserve">Laipelt, L., Comini de Andrade, B., Collischonn, W., Teixeira, A. d., Dias de Paiva, R. C., &amp; Rudhoff, A. (25 de 06 de 2024). ANADEM: A Digital Terrain Model for South America. </w:t>
      </w:r>
      <w:r>
        <w:rPr>
          <w:i/>
          <w:iCs/>
          <w:noProof/>
        </w:rPr>
        <w:t>Instituto de Pesquisas Hidráulicas, Universidade Federal do Rio Grande do Sul</w:t>
      </w:r>
      <w:r>
        <w:rPr>
          <w:noProof/>
        </w:rPr>
        <w:t>. doi:https://doi.org/10.3390/rs16132321</w:t>
      </w:r>
    </w:p>
    <w:p w14:paraId="3396EB42" w14:textId="77777777" w:rsidR="002205AD" w:rsidRPr="002205AD" w:rsidRDefault="002205AD" w:rsidP="002205AD">
      <w:pPr>
        <w:pStyle w:val="Bibliografa"/>
        <w:ind w:firstLine="0"/>
        <w:rPr>
          <w:noProof/>
          <w:lang w:val="en-US"/>
        </w:rPr>
      </w:pPr>
      <w:r w:rsidRPr="002205AD">
        <w:rPr>
          <w:noProof/>
          <w:lang w:val="en-US"/>
        </w:rPr>
        <w:t xml:space="preserve">National Aeronautics and Space Administration (NASA). (2026). </w:t>
      </w:r>
      <w:r w:rsidRPr="002205AD">
        <w:rPr>
          <w:i/>
          <w:iCs/>
          <w:noProof/>
          <w:lang w:val="en-US"/>
        </w:rPr>
        <w:t>EarthData Catalog</w:t>
      </w:r>
      <w:r w:rsidRPr="002205AD">
        <w:rPr>
          <w:noProof/>
          <w:lang w:val="en-US"/>
        </w:rPr>
        <w:t>. Obtenido de MOD15A2H MODIS/Terra leaf area index/FPAR 8-day L4 global 500 m SIN grid (Version 6.1) [Data set] LP DAAC: https://www.earthdata.nasa.gov/data/catalog/lpcloud-mod15a2h-061</w:t>
      </w:r>
    </w:p>
    <w:p w14:paraId="149D06CB" w14:textId="3FCC043D" w:rsidR="00076DE1" w:rsidRPr="002205AD" w:rsidRDefault="002205AD" w:rsidP="002205AD">
      <w:pPr>
        <w:autoSpaceDE w:val="0"/>
        <w:autoSpaceDN w:val="0"/>
        <w:adjustRightInd w:val="0"/>
        <w:spacing w:after="160"/>
        <w:ind w:firstLine="0"/>
        <w:rPr>
          <w:rFonts w:cs="Times New Roman"/>
          <w:lang w:val="en-US"/>
        </w:rPr>
      </w:pPr>
      <w:r>
        <w:rPr>
          <w:rFonts w:cs="Times New Roman"/>
        </w:rPr>
        <w:fldChar w:fldCharType="end"/>
      </w:r>
    </w:p>
    <w:p w14:paraId="298E952A" w14:textId="77777777" w:rsidR="00076DE1" w:rsidRPr="002205AD" w:rsidRDefault="00076DE1" w:rsidP="00076DE1">
      <w:pPr>
        <w:autoSpaceDE w:val="0"/>
        <w:autoSpaceDN w:val="0"/>
        <w:adjustRightInd w:val="0"/>
        <w:spacing w:after="160"/>
        <w:ind w:firstLine="0"/>
        <w:rPr>
          <w:rFonts w:cs="Times New Roman"/>
          <w:lang w:val="en-US"/>
        </w:rPr>
      </w:pPr>
    </w:p>
    <w:p w14:paraId="4DC834C3" w14:textId="671A4713" w:rsidR="00076DE1" w:rsidRPr="002205AD" w:rsidRDefault="00076DE1" w:rsidP="009D299B">
      <w:pPr>
        <w:autoSpaceDE w:val="0"/>
        <w:autoSpaceDN w:val="0"/>
        <w:adjustRightInd w:val="0"/>
        <w:spacing w:after="160"/>
        <w:ind w:firstLine="0"/>
        <w:rPr>
          <w:rFonts w:cs="Times New Roman"/>
          <w:color w:val="000000"/>
          <w:lang w:val="en-US" w:eastAsia="es-CO"/>
        </w:rPr>
      </w:pPr>
    </w:p>
    <w:p w14:paraId="76259FFB" w14:textId="77777777" w:rsidR="00076DE1" w:rsidRPr="002205AD" w:rsidRDefault="00076DE1" w:rsidP="009D299B">
      <w:pPr>
        <w:autoSpaceDE w:val="0"/>
        <w:autoSpaceDN w:val="0"/>
        <w:adjustRightInd w:val="0"/>
        <w:spacing w:after="160"/>
        <w:ind w:firstLine="0"/>
        <w:rPr>
          <w:rFonts w:cs="Times New Roman"/>
          <w:color w:val="000000"/>
          <w:lang w:val="en-US" w:eastAsia="es-CO"/>
        </w:rPr>
      </w:pPr>
    </w:p>
    <w:p w14:paraId="1E411D90" w14:textId="4317DF40"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05DC6E19" w14:textId="7478725F"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4BC896AE" w14:textId="77777777"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2812C92D" w14:textId="73BC99D0"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2565B1EE" w14:textId="4967CA8E"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2DD29449" w14:textId="028F812D"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565B47DB" w14:textId="06E0725C"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6B8FD6B6" w14:textId="082CF32A"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3F794D3A" w14:textId="2B94820A"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7B4D768C" w14:textId="65C9CC8C"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09B90216" w14:textId="1991B6B3"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061AA70E" w14:textId="47877623"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32CC0371" w14:textId="77777777" w:rsidR="00C62B9F" w:rsidRPr="002205AD" w:rsidRDefault="00C62B9F" w:rsidP="00F002EC">
      <w:pPr>
        <w:autoSpaceDE w:val="0"/>
        <w:autoSpaceDN w:val="0"/>
        <w:adjustRightInd w:val="0"/>
        <w:spacing w:after="160"/>
        <w:ind w:left="567" w:hanging="567"/>
        <w:rPr>
          <w:rFonts w:cs="Times New Roman"/>
          <w:color w:val="000000"/>
          <w:lang w:val="en-US" w:eastAsia="es-CO"/>
        </w:rPr>
      </w:pPr>
    </w:p>
    <w:p w14:paraId="0574FDD2" w14:textId="3458F469" w:rsidR="001E2837" w:rsidRPr="002205AD" w:rsidRDefault="001E2837" w:rsidP="009B0A54">
      <w:pPr>
        <w:autoSpaceDE w:val="0"/>
        <w:autoSpaceDN w:val="0"/>
        <w:adjustRightInd w:val="0"/>
        <w:spacing w:after="160"/>
        <w:ind w:firstLine="0"/>
        <w:rPr>
          <w:rFonts w:cs="Times New Roman"/>
          <w:lang w:val="en-US"/>
        </w:rPr>
      </w:pPr>
    </w:p>
    <w:p w14:paraId="53A51F4F" w14:textId="00AEF843" w:rsidR="00C62B9F" w:rsidRPr="002205AD" w:rsidRDefault="00C62B9F" w:rsidP="009B0A54">
      <w:pPr>
        <w:autoSpaceDE w:val="0"/>
        <w:autoSpaceDN w:val="0"/>
        <w:adjustRightInd w:val="0"/>
        <w:spacing w:after="160"/>
        <w:ind w:firstLine="0"/>
        <w:rPr>
          <w:rFonts w:cs="Times New Roman"/>
          <w:lang w:val="en-US"/>
        </w:rPr>
      </w:pPr>
    </w:p>
    <w:p w14:paraId="5376DEA8" w14:textId="1248B557" w:rsidR="00C62B9F" w:rsidRPr="002205AD" w:rsidRDefault="00C62B9F" w:rsidP="009B0A54">
      <w:pPr>
        <w:autoSpaceDE w:val="0"/>
        <w:autoSpaceDN w:val="0"/>
        <w:adjustRightInd w:val="0"/>
        <w:spacing w:after="160"/>
        <w:ind w:firstLine="0"/>
        <w:rPr>
          <w:rFonts w:cs="Times New Roman"/>
          <w:lang w:val="en-US"/>
        </w:rPr>
      </w:pPr>
    </w:p>
    <w:p w14:paraId="0A61958A" w14:textId="5CB274D2" w:rsidR="00C62B9F" w:rsidRPr="002205AD" w:rsidRDefault="00C62B9F" w:rsidP="009B0A54">
      <w:pPr>
        <w:autoSpaceDE w:val="0"/>
        <w:autoSpaceDN w:val="0"/>
        <w:adjustRightInd w:val="0"/>
        <w:spacing w:after="160"/>
        <w:ind w:firstLine="0"/>
        <w:rPr>
          <w:rFonts w:cs="Times New Roman"/>
          <w:lang w:val="en-US"/>
        </w:rPr>
      </w:pPr>
    </w:p>
    <w:p w14:paraId="45388424" w14:textId="2432297A" w:rsidR="00C62B9F" w:rsidRPr="002205AD" w:rsidRDefault="00C62B9F" w:rsidP="009B0A54">
      <w:pPr>
        <w:autoSpaceDE w:val="0"/>
        <w:autoSpaceDN w:val="0"/>
        <w:adjustRightInd w:val="0"/>
        <w:spacing w:after="160"/>
        <w:ind w:firstLine="0"/>
        <w:rPr>
          <w:rFonts w:cs="Times New Roman"/>
          <w:lang w:val="en-US"/>
        </w:rPr>
      </w:pPr>
    </w:p>
    <w:p w14:paraId="336E0357" w14:textId="1E82E82A" w:rsidR="00C62B9F" w:rsidRPr="002205AD" w:rsidRDefault="00C62B9F" w:rsidP="009B0A54">
      <w:pPr>
        <w:autoSpaceDE w:val="0"/>
        <w:autoSpaceDN w:val="0"/>
        <w:adjustRightInd w:val="0"/>
        <w:spacing w:after="160"/>
        <w:ind w:firstLine="0"/>
        <w:rPr>
          <w:rFonts w:cs="Times New Roman"/>
          <w:lang w:val="en-US"/>
        </w:rPr>
      </w:pPr>
    </w:p>
    <w:p w14:paraId="1F1158A5" w14:textId="77826D0F" w:rsidR="00C62B9F" w:rsidRPr="002205AD" w:rsidRDefault="00C62B9F" w:rsidP="009B0A54">
      <w:pPr>
        <w:autoSpaceDE w:val="0"/>
        <w:autoSpaceDN w:val="0"/>
        <w:adjustRightInd w:val="0"/>
        <w:spacing w:after="160"/>
        <w:ind w:firstLine="0"/>
        <w:rPr>
          <w:rFonts w:cs="Times New Roman"/>
          <w:lang w:val="en-US"/>
        </w:rPr>
      </w:pPr>
    </w:p>
    <w:p w14:paraId="619EBE5A" w14:textId="21F95DBC" w:rsidR="00C62B9F" w:rsidRPr="002205AD" w:rsidRDefault="00C62B9F" w:rsidP="009B0A54">
      <w:pPr>
        <w:autoSpaceDE w:val="0"/>
        <w:autoSpaceDN w:val="0"/>
        <w:adjustRightInd w:val="0"/>
        <w:spacing w:after="160"/>
        <w:ind w:firstLine="0"/>
        <w:rPr>
          <w:rFonts w:cs="Times New Roman"/>
          <w:lang w:val="en-US"/>
        </w:rPr>
      </w:pPr>
    </w:p>
    <w:p w14:paraId="768DC35F" w14:textId="378CF7B1" w:rsidR="00C62B9F" w:rsidRPr="002205AD" w:rsidRDefault="00C62B9F" w:rsidP="009B0A54">
      <w:pPr>
        <w:autoSpaceDE w:val="0"/>
        <w:autoSpaceDN w:val="0"/>
        <w:adjustRightInd w:val="0"/>
        <w:spacing w:after="160"/>
        <w:ind w:firstLine="0"/>
        <w:rPr>
          <w:rFonts w:cs="Times New Roman"/>
          <w:lang w:val="en-US"/>
        </w:rPr>
      </w:pPr>
    </w:p>
    <w:p w14:paraId="36071599" w14:textId="48D44F52" w:rsidR="00C62B9F" w:rsidRPr="002205AD" w:rsidRDefault="00C62B9F" w:rsidP="009B0A54">
      <w:pPr>
        <w:autoSpaceDE w:val="0"/>
        <w:autoSpaceDN w:val="0"/>
        <w:adjustRightInd w:val="0"/>
        <w:spacing w:after="160"/>
        <w:ind w:firstLine="0"/>
        <w:rPr>
          <w:rFonts w:cs="Times New Roman"/>
          <w:lang w:val="en-US"/>
        </w:rPr>
      </w:pPr>
    </w:p>
    <w:p w14:paraId="13F3D43C" w14:textId="0C21B44D" w:rsidR="00C62B9F" w:rsidRPr="002205AD" w:rsidRDefault="00C62B9F" w:rsidP="009B0A54">
      <w:pPr>
        <w:autoSpaceDE w:val="0"/>
        <w:autoSpaceDN w:val="0"/>
        <w:adjustRightInd w:val="0"/>
        <w:spacing w:after="160"/>
        <w:ind w:firstLine="0"/>
        <w:rPr>
          <w:rFonts w:cs="Times New Roman"/>
          <w:lang w:val="en-US"/>
        </w:rPr>
      </w:pPr>
    </w:p>
    <w:p w14:paraId="6E466354" w14:textId="2C068F9C" w:rsidR="00C62B9F" w:rsidRPr="002205AD" w:rsidRDefault="00C62B9F" w:rsidP="009B0A54">
      <w:pPr>
        <w:autoSpaceDE w:val="0"/>
        <w:autoSpaceDN w:val="0"/>
        <w:adjustRightInd w:val="0"/>
        <w:spacing w:after="160"/>
        <w:ind w:firstLine="0"/>
        <w:rPr>
          <w:rFonts w:cs="Times New Roman"/>
          <w:lang w:val="en-US"/>
        </w:rPr>
        <w:sectPr w:rsidR="00C62B9F" w:rsidRPr="002205AD" w:rsidSect="006E6F64">
          <w:type w:val="continuous"/>
          <w:pgSz w:w="12240" w:h="15840"/>
          <w:pgMar w:top="1418" w:right="1418" w:bottom="1418" w:left="1418" w:header="709" w:footer="709" w:gutter="0"/>
          <w:cols w:num="2" w:space="332"/>
          <w:docGrid w:linePitch="360"/>
        </w:sectPr>
      </w:pPr>
    </w:p>
    <w:p w14:paraId="4933C28B" w14:textId="77777777" w:rsidR="001E2837" w:rsidRPr="002205AD" w:rsidRDefault="001E2837" w:rsidP="009B0A54">
      <w:pPr>
        <w:autoSpaceDE w:val="0"/>
        <w:autoSpaceDN w:val="0"/>
        <w:adjustRightInd w:val="0"/>
        <w:spacing w:after="160"/>
        <w:ind w:firstLine="0"/>
        <w:rPr>
          <w:rFonts w:cs="Times New Roman"/>
          <w:lang w:val="en-US"/>
        </w:rPr>
        <w:sectPr w:rsidR="001E2837" w:rsidRPr="002205AD" w:rsidSect="00292A10">
          <w:type w:val="continuous"/>
          <w:pgSz w:w="12240" w:h="15840"/>
          <w:pgMar w:top="1418" w:right="1418" w:bottom="1418" w:left="1418" w:header="709" w:footer="709" w:gutter="0"/>
          <w:cols w:num="2" w:space="708"/>
          <w:titlePg/>
          <w:docGrid w:linePitch="360"/>
        </w:sectPr>
      </w:pPr>
    </w:p>
    <w:p w14:paraId="41F68D0F" w14:textId="77777777" w:rsidR="0044253D" w:rsidRPr="002205AD" w:rsidRDefault="0044253D" w:rsidP="0044253D">
      <w:pPr>
        <w:rPr>
          <w:rFonts w:cs="Times New Roman"/>
          <w:lang w:val="en-US"/>
        </w:rPr>
      </w:pPr>
    </w:p>
    <w:p w14:paraId="2A8E47F3" w14:textId="77777777" w:rsidR="0044253D" w:rsidRPr="002205AD" w:rsidRDefault="0044253D" w:rsidP="0044253D">
      <w:pPr>
        <w:rPr>
          <w:rFonts w:cs="Times New Roman"/>
          <w:lang w:val="en-US"/>
        </w:rPr>
      </w:pPr>
    </w:p>
    <w:p w14:paraId="2F6B0467" w14:textId="77777777" w:rsidR="00172FE8" w:rsidRPr="002205AD" w:rsidRDefault="00172FE8" w:rsidP="00640FDB">
      <w:pPr>
        <w:tabs>
          <w:tab w:val="left" w:pos="8145"/>
        </w:tabs>
        <w:rPr>
          <w:rFonts w:cs="Times New Roman"/>
          <w:lang w:val="en-US"/>
        </w:rPr>
        <w:sectPr w:rsidR="00172FE8" w:rsidRPr="002205AD" w:rsidSect="00292A10">
          <w:type w:val="continuous"/>
          <w:pgSz w:w="12240" w:h="15840"/>
          <w:pgMar w:top="1418" w:right="1418" w:bottom="1418" w:left="1418" w:header="709" w:footer="709" w:gutter="0"/>
          <w:cols w:num="2" w:space="708"/>
          <w:titlePg/>
          <w:docGrid w:linePitch="360"/>
        </w:sectPr>
      </w:pPr>
    </w:p>
    <w:p w14:paraId="3794B611" w14:textId="77777777" w:rsidR="002A5685" w:rsidRPr="002205AD" w:rsidRDefault="00A60824" w:rsidP="00640FDB">
      <w:pPr>
        <w:tabs>
          <w:tab w:val="left" w:pos="8145"/>
        </w:tabs>
        <w:rPr>
          <w:rFonts w:cs="Times New Roman"/>
          <w:lang w:val="en-US"/>
        </w:rPr>
      </w:pPr>
      <w:r w:rsidRPr="002205AD">
        <w:rPr>
          <w:rFonts w:cs="Times New Roman"/>
          <w:lang w:val="en-US"/>
        </w:rPr>
        <w:tab/>
      </w:r>
    </w:p>
    <w:sectPr w:rsidR="002A5685" w:rsidRPr="002205AD" w:rsidSect="00172FE8">
      <w:type w:val="continuous"/>
      <w:pgSz w:w="12240" w:h="15840"/>
      <w:pgMar w:top="1418"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0EF41" w14:textId="77777777" w:rsidR="00F84B55" w:rsidRDefault="00F84B55" w:rsidP="001768C1">
      <w:pPr>
        <w:spacing w:after="0"/>
      </w:pPr>
      <w:r>
        <w:separator/>
      </w:r>
    </w:p>
  </w:endnote>
  <w:endnote w:type="continuationSeparator" w:id="0">
    <w:p w14:paraId="26DAB6E8" w14:textId="77777777" w:rsidR="00F84B55" w:rsidRDefault="00F84B55" w:rsidP="001768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jaVu Sans">
    <w:charset w:val="00"/>
    <w:family w:val="swiss"/>
    <w:pitch w:val="variable"/>
    <w:sig w:usb0="E7002EFF" w:usb1="D200FDFF" w:usb2="0A046029" w:usb3="00000000" w:csb0="800001FF" w:csb1="00000000"/>
  </w:font>
  <w:font w:name="Verdana">
    <w:panose1 w:val="020B0604030504040204"/>
    <w:charset w:val="00"/>
    <w:family w:val="swiss"/>
    <w:pitch w:val="variable"/>
    <w:sig w:usb0="A00006FF" w:usb1="4000205B" w:usb2="00000010" w:usb3="00000000" w:csb0="0000019F" w:csb1="00000000"/>
  </w:font>
  <w:font w:name="MyriadPro-Regular">
    <w:altName w:val="MS Gothic"/>
    <w:panose1 w:val="00000000000000000000"/>
    <w:charset w:val="80"/>
    <w:family w:val="swiss"/>
    <w:notTrueType/>
    <w:pitch w:val="default"/>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B066" w14:textId="77777777" w:rsidR="00BC61F5" w:rsidRDefault="00BC61F5" w:rsidP="00874204">
    <w:pPr>
      <w:pStyle w:val="Piedepgina"/>
      <w:jc w:val="center"/>
      <w:rPr>
        <w:sz w:val="16"/>
      </w:rPr>
    </w:pPr>
    <w:r w:rsidRPr="00337205">
      <w:rPr>
        <w:sz w:val="16"/>
      </w:rPr>
      <w:t>I+D Revista de Investigaciones ISSN 2256-1676</w:t>
    </w:r>
    <w:r>
      <w:rPr>
        <w:sz w:val="16"/>
      </w:rPr>
      <w:t xml:space="preserve"> / </w:t>
    </w:r>
    <w:r>
      <w:rPr>
        <w:rFonts w:eastAsia="MyriadPro-Regular" w:cs="Times New Roman"/>
        <w:sz w:val="16"/>
        <w:szCs w:val="12"/>
      </w:rPr>
      <w:t>ISSN en línea 2539-519X</w:t>
    </w:r>
    <w:r w:rsidRPr="00337205">
      <w:rPr>
        <w:sz w:val="16"/>
      </w:rPr>
      <w:t xml:space="preserve"> </w:t>
    </w:r>
  </w:p>
  <w:p w14:paraId="6B24215A" w14:textId="77777777" w:rsidR="00BC61F5" w:rsidRPr="00874204" w:rsidRDefault="00BC61F5" w:rsidP="00874204">
    <w:pPr>
      <w:pStyle w:val="Piedepgina"/>
      <w:jc w:val="center"/>
      <w:rPr>
        <w:sz w:val="16"/>
      </w:rPr>
    </w:pPr>
    <w:r w:rsidRPr="00337205">
      <w:rPr>
        <w:sz w:val="16"/>
      </w:rPr>
      <w:t>Volumen XX Número X</w:t>
    </w:r>
    <w:r>
      <w:rPr>
        <w:sz w:val="16"/>
      </w:rPr>
      <w:t xml:space="preserve"> </w:t>
    </w:r>
    <w:r w:rsidRPr="00337205">
      <w:rPr>
        <w:sz w:val="16"/>
      </w:rPr>
      <w:t>Julio-Diciembre de 201X pp. 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568E" w14:textId="77777777" w:rsidR="006E6F64" w:rsidRDefault="006E6F64" w:rsidP="006E6F64">
    <w:pPr>
      <w:pStyle w:val="Piedepgina"/>
      <w:jc w:val="center"/>
      <w:rPr>
        <w:sz w:val="16"/>
      </w:rPr>
    </w:pPr>
    <w:r>
      <w:rPr>
        <w:sz w:val="16"/>
      </w:rPr>
      <w:t>Análisis Geoespacial</w:t>
    </w:r>
  </w:p>
  <w:p w14:paraId="6B135E39" w14:textId="77777777" w:rsidR="006E6F64" w:rsidRPr="00337205" w:rsidRDefault="006E6F64" w:rsidP="006E6F64">
    <w:pPr>
      <w:pStyle w:val="Piedepgina"/>
      <w:jc w:val="center"/>
      <w:rPr>
        <w:sz w:val="16"/>
      </w:rPr>
    </w:pPr>
    <w:r>
      <w:rPr>
        <w:sz w:val="16"/>
      </w:rPr>
      <w:t>Agosto</w:t>
    </w:r>
    <w:r w:rsidRPr="00337205">
      <w:rPr>
        <w:sz w:val="16"/>
      </w:rPr>
      <w:t xml:space="preserve"> de 20</w:t>
    </w:r>
    <w:r>
      <w:rPr>
        <w:sz w:val="16"/>
      </w:rPr>
      <w:t>26, Semestre 1</w:t>
    </w:r>
  </w:p>
  <w:p w14:paraId="67EED913" w14:textId="2161DCF5" w:rsidR="00BC61F5" w:rsidRPr="006E6F64" w:rsidRDefault="00BC61F5" w:rsidP="006E6F6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69BF" w14:textId="4D50C93B" w:rsidR="00BC61F5" w:rsidRDefault="00F8682A" w:rsidP="00337205">
    <w:pPr>
      <w:pStyle w:val="Piedepgina"/>
      <w:jc w:val="center"/>
      <w:rPr>
        <w:sz w:val="16"/>
      </w:rPr>
    </w:pPr>
    <w:r>
      <w:rPr>
        <w:sz w:val="16"/>
      </w:rPr>
      <w:t>Análisis Geoespacial</w:t>
    </w:r>
  </w:p>
  <w:p w14:paraId="700A9827" w14:textId="74A3F635" w:rsidR="00BC61F5" w:rsidRPr="00337205" w:rsidRDefault="00F8682A" w:rsidP="00A544E9">
    <w:pPr>
      <w:pStyle w:val="Piedepgina"/>
      <w:jc w:val="center"/>
      <w:rPr>
        <w:sz w:val="16"/>
      </w:rPr>
    </w:pPr>
    <w:r>
      <w:rPr>
        <w:sz w:val="16"/>
      </w:rPr>
      <w:t>Agosto</w:t>
    </w:r>
    <w:r w:rsidR="00BC61F5" w:rsidRPr="00337205">
      <w:rPr>
        <w:sz w:val="16"/>
      </w:rPr>
      <w:t xml:space="preserve"> de 20</w:t>
    </w:r>
    <w:r>
      <w:rPr>
        <w:sz w:val="16"/>
      </w:rPr>
      <w:t>26, Semestre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8686B" w14:textId="77777777" w:rsidR="00F84B55" w:rsidRDefault="00F84B55" w:rsidP="001768C1">
      <w:pPr>
        <w:spacing w:after="0"/>
      </w:pPr>
      <w:r>
        <w:separator/>
      </w:r>
    </w:p>
  </w:footnote>
  <w:footnote w:type="continuationSeparator" w:id="0">
    <w:p w14:paraId="58FDA3D2" w14:textId="77777777" w:rsidR="00F84B55" w:rsidRDefault="00F84B55" w:rsidP="001768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1A84" w14:textId="77777777" w:rsidR="00BC61F5" w:rsidRDefault="00BC61F5" w:rsidP="00A2075B">
    <w:pPr>
      <w:pStyle w:val="Encabezado"/>
      <w:ind w:firstLine="0"/>
      <w:jc w:val="left"/>
    </w:pPr>
    <w:r>
      <w:rPr>
        <w:rFonts w:cs="Times New Roman"/>
        <w:sz w:val="16"/>
      </w:rPr>
      <w:t xml:space="preserve">Título en el idioma según contenido debe ir en esta </w:t>
    </w:r>
    <w:r w:rsidRPr="00CE55C6">
      <w:rPr>
        <w:rFonts w:cs="Times New Roman"/>
        <w:sz w:val="16"/>
      </w:rPr>
      <w:t>a letra y tamaño</w:t>
    </w:r>
  </w:p>
  <w:p w14:paraId="0F3B1106" w14:textId="77777777" w:rsidR="00BC61F5" w:rsidRDefault="00BC61F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6FBB" w14:textId="2279EF66" w:rsidR="005A29AC" w:rsidRDefault="006E6F64" w:rsidP="005A29AC">
    <w:pPr>
      <w:autoSpaceDE w:val="0"/>
      <w:autoSpaceDN w:val="0"/>
      <w:adjustRightInd w:val="0"/>
      <w:spacing w:after="0"/>
      <w:ind w:firstLine="0"/>
      <w:jc w:val="center"/>
      <w:rPr>
        <w:rFonts w:eastAsia="MyriadPro-Regular" w:cs="Times New Roman"/>
        <w:noProof/>
        <w:sz w:val="16"/>
        <w:szCs w:val="12"/>
      </w:rPr>
    </w:pPr>
    <w:r w:rsidRPr="00F8682A">
      <w:rPr>
        <w:rFonts w:eastAsia="MyriadPro-Regular" w:cs="Times New Roman"/>
        <w:noProof/>
        <w:sz w:val="16"/>
        <w:szCs w:val="12"/>
      </w:rPr>
      <w:drawing>
        <wp:anchor distT="0" distB="0" distL="114300" distR="114300" simplePos="0" relativeHeight="251671552" behindDoc="0" locked="0" layoutInCell="1" allowOverlap="1" wp14:anchorId="3AE1D646" wp14:editId="05A322D9">
          <wp:simplePos x="0" y="0"/>
          <wp:positionH relativeFrom="margin">
            <wp:align>right</wp:align>
          </wp:positionH>
          <wp:positionV relativeFrom="paragraph">
            <wp:posOffset>-102880</wp:posOffset>
          </wp:positionV>
          <wp:extent cx="1704340" cy="663575"/>
          <wp:effectExtent l="0" t="0" r="0" b="3175"/>
          <wp:wrapNone/>
          <wp:docPr id="681819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62137" name=""/>
                  <pic:cNvPicPr/>
                </pic:nvPicPr>
                <pic:blipFill>
                  <a:blip r:embed="rId1">
                    <a:extLst>
                      <a:ext uri="{28A0092B-C50C-407E-A947-70E740481C1C}">
                        <a14:useLocalDpi xmlns:a14="http://schemas.microsoft.com/office/drawing/2010/main" val="0"/>
                      </a:ext>
                    </a:extLst>
                  </a:blip>
                  <a:stretch>
                    <a:fillRect/>
                  </a:stretch>
                </pic:blipFill>
                <pic:spPr>
                  <a:xfrm>
                    <a:off x="0" y="0"/>
                    <a:ext cx="1704340" cy="663575"/>
                  </a:xfrm>
                  <a:prstGeom prst="rect">
                    <a:avLst/>
                  </a:prstGeom>
                </pic:spPr>
              </pic:pic>
            </a:graphicData>
          </a:graphic>
          <wp14:sizeRelH relativeFrom="margin">
            <wp14:pctWidth>0</wp14:pctWidth>
          </wp14:sizeRelH>
          <wp14:sizeRelV relativeFrom="margin">
            <wp14:pctHeight>0</wp14:pctHeight>
          </wp14:sizeRelV>
        </wp:anchor>
      </w:drawing>
    </w:r>
    <w:r w:rsidR="005A29AC">
      <w:rPr>
        <w:noProof/>
      </w:rPr>
      <w:drawing>
        <wp:anchor distT="0" distB="0" distL="114300" distR="114300" simplePos="0" relativeHeight="251667456" behindDoc="0" locked="0" layoutInCell="1" allowOverlap="1" wp14:anchorId="3C3C78DB" wp14:editId="753F8FBB">
          <wp:simplePos x="0" y="0"/>
          <wp:positionH relativeFrom="column">
            <wp:posOffset>29210</wp:posOffset>
          </wp:positionH>
          <wp:positionV relativeFrom="paragraph">
            <wp:posOffset>-213995</wp:posOffset>
          </wp:positionV>
          <wp:extent cx="1600200" cy="708723"/>
          <wp:effectExtent l="0" t="0" r="0" b="0"/>
          <wp:wrapNone/>
          <wp:docPr id="17717307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0200" cy="7087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2E5A08" w14:textId="77777777" w:rsidR="005A29AC" w:rsidRPr="00172FE8" w:rsidRDefault="005A29AC" w:rsidP="005A29AC">
    <w:pPr>
      <w:autoSpaceDE w:val="0"/>
      <w:autoSpaceDN w:val="0"/>
      <w:adjustRightInd w:val="0"/>
      <w:spacing w:after="0"/>
      <w:ind w:firstLine="0"/>
      <w:jc w:val="center"/>
      <w:rPr>
        <w:rFonts w:eastAsia="MyriadPro-Regular" w:cs="Times New Roman"/>
        <w:sz w:val="16"/>
        <w:szCs w:val="12"/>
      </w:rPr>
    </w:pPr>
    <w:r>
      <w:rPr>
        <w:rFonts w:eastAsia="MyriadPro-Regular" w:cs="Times New Roman"/>
        <w:sz w:val="16"/>
        <w:szCs w:val="12"/>
      </w:rPr>
      <w:t>Análisis Geoespacial</w:t>
    </w:r>
  </w:p>
  <w:p w14:paraId="6040E3E8" w14:textId="77777777" w:rsidR="005A29AC" w:rsidRPr="00172FE8" w:rsidRDefault="005A29AC" w:rsidP="005A29AC">
    <w:pPr>
      <w:tabs>
        <w:tab w:val="left" w:pos="1515"/>
        <w:tab w:val="center" w:pos="4702"/>
      </w:tabs>
      <w:autoSpaceDE w:val="0"/>
      <w:autoSpaceDN w:val="0"/>
      <w:adjustRightInd w:val="0"/>
      <w:spacing w:after="0"/>
      <w:ind w:firstLine="0"/>
      <w:jc w:val="left"/>
      <w:rPr>
        <w:rFonts w:eastAsia="MyriadPro-Regular" w:cs="Times New Roman"/>
        <w:sz w:val="16"/>
        <w:szCs w:val="12"/>
      </w:rPr>
    </w:pPr>
    <w:r>
      <w:rPr>
        <w:rFonts w:eastAsia="MyriadPro-Regular" w:cs="Times New Roman"/>
        <w:sz w:val="16"/>
        <w:szCs w:val="12"/>
      </w:rPr>
      <w:tab/>
    </w:r>
    <w:r>
      <w:rPr>
        <w:rFonts w:eastAsia="MyriadPro-Regular" w:cs="Times New Roman"/>
        <w:sz w:val="16"/>
        <w:szCs w:val="12"/>
      </w:rPr>
      <w:tab/>
      <w:t>Entrega final del curso</w:t>
    </w:r>
  </w:p>
  <w:p w14:paraId="347436FD" w14:textId="77777777" w:rsidR="005A29AC" w:rsidRPr="00172FE8" w:rsidRDefault="005A29AC" w:rsidP="005A29AC">
    <w:pPr>
      <w:tabs>
        <w:tab w:val="left" w:pos="1920"/>
        <w:tab w:val="center" w:pos="4702"/>
      </w:tabs>
      <w:autoSpaceDE w:val="0"/>
      <w:autoSpaceDN w:val="0"/>
      <w:adjustRightInd w:val="0"/>
      <w:spacing w:after="0"/>
      <w:ind w:firstLine="0"/>
      <w:jc w:val="left"/>
      <w:rPr>
        <w:rFonts w:eastAsia="MyriadPro-Regular" w:cs="Times New Roman"/>
        <w:sz w:val="16"/>
        <w:szCs w:val="12"/>
      </w:rPr>
    </w:pPr>
    <w:r>
      <w:rPr>
        <w:rFonts w:eastAsia="MyriadPro-Regular" w:cs="Times New Roman"/>
        <w:sz w:val="16"/>
        <w:szCs w:val="12"/>
      </w:rPr>
      <w:tab/>
    </w:r>
    <w:r>
      <w:rPr>
        <w:rFonts w:eastAsia="MyriadPro-Regular" w:cs="Times New Roman"/>
        <w:sz w:val="16"/>
        <w:szCs w:val="12"/>
      </w:rPr>
      <w:tab/>
      <w:t>2026 – S1</w:t>
    </w:r>
  </w:p>
  <w:p w14:paraId="24149F11" w14:textId="7DC864F0" w:rsidR="00BC61F5" w:rsidRDefault="00BC61F5" w:rsidP="00A2075B">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C67B1" w14:textId="031177F5" w:rsidR="002D66B2" w:rsidRDefault="00F8682A" w:rsidP="00172FE8">
    <w:pPr>
      <w:autoSpaceDE w:val="0"/>
      <w:autoSpaceDN w:val="0"/>
      <w:adjustRightInd w:val="0"/>
      <w:spacing w:after="0"/>
      <w:ind w:firstLine="0"/>
      <w:jc w:val="center"/>
      <w:rPr>
        <w:rFonts w:eastAsia="MyriadPro-Regular" w:cs="Times New Roman"/>
        <w:noProof/>
        <w:sz w:val="16"/>
        <w:szCs w:val="12"/>
      </w:rPr>
    </w:pPr>
    <w:r w:rsidRPr="00F8682A">
      <w:rPr>
        <w:rFonts w:eastAsia="MyriadPro-Regular" w:cs="Times New Roman"/>
        <w:noProof/>
        <w:sz w:val="16"/>
        <w:szCs w:val="12"/>
      </w:rPr>
      <w:drawing>
        <wp:anchor distT="0" distB="0" distL="114300" distR="114300" simplePos="0" relativeHeight="251669504" behindDoc="0" locked="0" layoutInCell="1" allowOverlap="1" wp14:anchorId="4AB9207B" wp14:editId="743C8E21">
          <wp:simplePos x="0" y="0"/>
          <wp:positionH relativeFrom="margin">
            <wp:posOffset>4267200</wp:posOffset>
          </wp:positionH>
          <wp:positionV relativeFrom="paragraph">
            <wp:posOffset>-122918</wp:posOffset>
          </wp:positionV>
          <wp:extent cx="1704340" cy="663575"/>
          <wp:effectExtent l="0" t="0" r="0" b="3175"/>
          <wp:wrapNone/>
          <wp:docPr id="487262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62137" name=""/>
                  <pic:cNvPicPr/>
                </pic:nvPicPr>
                <pic:blipFill>
                  <a:blip r:embed="rId1">
                    <a:extLst>
                      <a:ext uri="{28A0092B-C50C-407E-A947-70E740481C1C}">
                        <a14:useLocalDpi xmlns:a14="http://schemas.microsoft.com/office/drawing/2010/main" val="0"/>
                      </a:ext>
                    </a:extLst>
                  </a:blip>
                  <a:stretch>
                    <a:fillRect/>
                  </a:stretch>
                </pic:blipFill>
                <pic:spPr>
                  <a:xfrm>
                    <a:off x="0" y="0"/>
                    <a:ext cx="1704340" cy="6635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038A3E46" wp14:editId="503394FF">
          <wp:simplePos x="0" y="0"/>
          <wp:positionH relativeFrom="margin">
            <wp:align>left</wp:align>
          </wp:positionH>
          <wp:positionV relativeFrom="paragraph">
            <wp:posOffset>-220435</wp:posOffset>
          </wp:positionV>
          <wp:extent cx="1600200" cy="708723"/>
          <wp:effectExtent l="0" t="0" r="0" b="0"/>
          <wp:wrapNone/>
          <wp:docPr id="11233661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0200" cy="7087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AC6028" w14:textId="47A6A3DE" w:rsidR="00BC61F5" w:rsidRPr="00172FE8" w:rsidRDefault="002D66B2" w:rsidP="00172FE8">
    <w:pPr>
      <w:autoSpaceDE w:val="0"/>
      <w:autoSpaceDN w:val="0"/>
      <w:adjustRightInd w:val="0"/>
      <w:spacing w:after="0"/>
      <w:ind w:firstLine="0"/>
      <w:jc w:val="center"/>
      <w:rPr>
        <w:rFonts w:eastAsia="MyriadPro-Regular" w:cs="Times New Roman"/>
        <w:sz w:val="16"/>
        <w:szCs w:val="12"/>
      </w:rPr>
    </w:pPr>
    <w:r>
      <w:rPr>
        <w:rFonts w:eastAsia="MyriadPro-Regular" w:cs="Times New Roman"/>
        <w:sz w:val="16"/>
        <w:szCs w:val="12"/>
      </w:rPr>
      <w:t>Análisis Geoespacial</w:t>
    </w:r>
  </w:p>
  <w:p w14:paraId="0FF1A5CB" w14:textId="20017FB1" w:rsidR="00BC61F5" w:rsidRPr="00172FE8" w:rsidRDefault="00BC61F5" w:rsidP="009C466A">
    <w:pPr>
      <w:tabs>
        <w:tab w:val="left" w:pos="1515"/>
        <w:tab w:val="center" w:pos="4702"/>
      </w:tabs>
      <w:autoSpaceDE w:val="0"/>
      <w:autoSpaceDN w:val="0"/>
      <w:adjustRightInd w:val="0"/>
      <w:spacing w:after="0"/>
      <w:ind w:firstLine="0"/>
      <w:jc w:val="left"/>
      <w:rPr>
        <w:rFonts w:eastAsia="MyriadPro-Regular" w:cs="Times New Roman"/>
        <w:sz w:val="16"/>
        <w:szCs w:val="12"/>
      </w:rPr>
    </w:pPr>
    <w:r>
      <w:rPr>
        <w:rFonts w:eastAsia="MyriadPro-Regular" w:cs="Times New Roman"/>
        <w:sz w:val="16"/>
        <w:szCs w:val="12"/>
      </w:rPr>
      <w:tab/>
    </w:r>
    <w:r>
      <w:rPr>
        <w:rFonts w:eastAsia="MyriadPro-Regular" w:cs="Times New Roman"/>
        <w:sz w:val="16"/>
        <w:szCs w:val="12"/>
      </w:rPr>
      <w:tab/>
    </w:r>
    <w:r w:rsidR="002D66B2">
      <w:rPr>
        <w:rFonts w:eastAsia="MyriadPro-Regular" w:cs="Times New Roman"/>
        <w:sz w:val="16"/>
        <w:szCs w:val="12"/>
      </w:rPr>
      <w:t>Entrega final del curso</w:t>
    </w:r>
  </w:p>
  <w:p w14:paraId="44720642" w14:textId="37E0F638" w:rsidR="00BC61F5" w:rsidRPr="00172FE8" w:rsidRDefault="00BC61F5" w:rsidP="009C466A">
    <w:pPr>
      <w:tabs>
        <w:tab w:val="left" w:pos="1920"/>
        <w:tab w:val="center" w:pos="4702"/>
      </w:tabs>
      <w:autoSpaceDE w:val="0"/>
      <w:autoSpaceDN w:val="0"/>
      <w:adjustRightInd w:val="0"/>
      <w:spacing w:after="0"/>
      <w:ind w:firstLine="0"/>
      <w:jc w:val="left"/>
      <w:rPr>
        <w:rFonts w:eastAsia="MyriadPro-Regular" w:cs="Times New Roman"/>
        <w:sz w:val="16"/>
        <w:szCs w:val="12"/>
      </w:rPr>
    </w:pPr>
    <w:r>
      <w:rPr>
        <w:rFonts w:eastAsia="MyriadPro-Regular" w:cs="Times New Roman"/>
        <w:sz w:val="16"/>
        <w:szCs w:val="12"/>
      </w:rPr>
      <w:tab/>
    </w:r>
    <w:r>
      <w:rPr>
        <w:rFonts w:eastAsia="MyriadPro-Regular" w:cs="Times New Roman"/>
        <w:sz w:val="16"/>
        <w:szCs w:val="12"/>
      </w:rPr>
      <w:tab/>
    </w:r>
    <w:r w:rsidR="002D66B2">
      <w:rPr>
        <w:rFonts w:eastAsia="MyriadPro-Regular" w:cs="Times New Roman"/>
        <w:sz w:val="16"/>
        <w:szCs w:val="12"/>
      </w:rPr>
      <w:t>2026 – S1</w:t>
    </w:r>
  </w:p>
  <w:p w14:paraId="6566DD94" w14:textId="25DA9BB8" w:rsidR="00BC61F5" w:rsidRDefault="00BC61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8EB"/>
    <w:multiLevelType w:val="hybridMultilevel"/>
    <w:tmpl w:val="1F6A973C"/>
    <w:lvl w:ilvl="0" w:tplc="408CBADC">
      <w:numFmt w:val="bullet"/>
      <w:lvlText w:val="-"/>
      <w:lvlJc w:val="left"/>
      <w:pPr>
        <w:ind w:left="1770" w:hanging="360"/>
      </w:pPr>
      <w:rPr>
        <w:rFonts w:ascii="Times New Roman" w:eastAsia="Calibri" w:hAnsi="Times New Roman" w:cs="Times New Roman" w:hint="default"/>
      </w:rPr>
    </w:lvl>
    <w:lvl w:ilvl="1" w:tplc="180A0003" w:tentative="1">
      <w:start w:val="1"/>
      <w:numFmt w:val="bullet"/>
      <w:lvlText w:val="o"/>
      <w:lvlJc w:val="left"/>
      <w:pPr>
        <w:ind w:left="2490" w:hanging="360"/>
      </w:pPr>
      <w:rPr>
        <w:rFonts w:ascii="Courier New" w:hAnsi="Courier New" w:cs="Courier New" w:hint="default"/>
      </w:rPr>
    </w:lvl>
    <w:lvl w:ilvl="2" w:tplc="180A0005" w:tentative="1">
      <w:start w:val="1"/>
      <w:numFmt w:val="bullet"/>
      <w:lvlText w:val=""/>
      <w:lvlJc w:val="left"/>
      <w:pPr>
        <w:ind w:left="3210" w:hanging="360"/>
      </w:pPr>
      <w:rPr>
        <w:rFonts w:ascii="Wingdings" w:hAnsi="Wingdings" w:hint="default"/>
      </w:rPr>
    </w:lvl>
    <w:lvl w:ilvl="3" w:tplc="180A0001" w:tentative="1">
      <w:start w:val="1"/>
      <w:numFmt w:val="bullet"/>
      <w:lvlText w:val=""/>
      <w:lvlJc w:val="left"/>
      <w:pPr>
        <w:ind w:left="3930" w:hanging="360"/>
      </w:pPr>
      <w:rPr>
        <w:rFonts w:ascii="Symbol" w:hAnsi="Symbol" w:hint="default"/>
      </w:rPr>
    </w:lvl>
    <w:lvl w:ilvl="4" w:tplc="180A0003" w:tentative="1">
      <w:start w:val="1"/>
      <w:numFmt w:val="bullet"/>
      <w:lvlText w:val="o"/>
      <w:lvlJc w:val="left"/>
      <w:pPr>
        <w:ind w:left="4650" w:hanging="360"/>
      </w:pPr>
      <w:rPr>
        <w:rFonts w:ascii="Courier New" w:hAnsi="Courier New" w:cs="Courier New" w:hint="default"/>
      </w:rPr>
    </w:lvl>
    <w:lvl w:ilvl="5" w:tplc="180A0005" w:tentative="1">
      <w:start w:val="1"/>
      <w:numFmt w:val="bullet"/>
      <w:lvlText w:val=""/>
      <w:lvlJc w:val="left"/>
      <w:pPr>
        <w:ind w:left="5370" w:hanging="360"/>
      </w:pPr>
      <w:rPr>
        <w:rFonts w:ascii="Wingdings" w:hAnsi="Wingdings" w:hint="default"/>
      </w:rPr>
    </w:lvl>
    <w:lvl w:ilvl="6" w:tplc="180A0001" w:tentative="1">
      <w:start w:val="1"/>
      <w:numFmt w:val="bullet"/>
      <w:lvlText w:val=""/>
      <w:lvlJc w:val="left"/>
      <w:pPr>
        <w:ind w:left="6090" w:hanging="360"/>
      </w:pPr>
      <w:rPr>
        <w:rFonts w:ascii="Symbol" w:hAnsi="Symbol" w:hint="default"/>
      </w:rPr>
    </w:lvl>
    <w:lvl w:ilvl="7" w:tplc="180A0003" w:tentative="1">
      <w:start w:val="1"/>
      <w:numFmt w:val="bullet"/>
      <w:lvlText w:val="o"/>
      <w:lvlJc w:val="left"/>
      <w:pPr>
        <w:ind w:left="6810" w:hanging="360"/>
      </w:pPr>
      <w:rPr>
        <w:rFonts w:ascii="Courier New" w:hAnsi="Courier New" w:cs="Courier New" w:hint="default"/>
      </w:rPr>
    </w:lvl>
    <w:lvl w:ilvl="8" w:tplc="180A0005" w:tentative="1">
      <w:start w:val="1"/>
      <w:numFmt w:val="bullet"/>
      <w:lvlText w:val=""/>
      <w:lvlJc w:val="left"/>
      <w:pPr>
        <w:ind w:left="7530" w:hanging="360"/>
      </w:pPr>
      <w:rPr>
        <w:rFonts w:ascii="Wingdings" w:hAnsi="Wingdings" w:hint="default"/>
      </w:rPr>
    </w:lvl>
  </w:abstractNum>
  <w:abstractNum w:abstractNumId="1" w15:restartNumberingAfterBreak="0">
    <w:nsid w:val="062E5189"/>
    <w:multiLevelType w:val="multilevel"/>
    <w:tmpl w:val="9234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2229A"/>
    <w:multiLevelType w:val="hybridMultilevel"/>
    <w:tmpl w:val="9CEE042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BBD746A"/>
    <w:multiLevelType w:val="hybridMultilevel"/>
    <w:tmpl w:val="899E0790"/>
    <w:lvl w:ilvl="0" w:tplc="519A1278">
      <w:start w:val="1"/>
      <w:numFmt w:val="decimal"/>
      <w:lvlText w:val="%1)"/>
      <w:lvlJc w:val="left"/>
      <w:pPr>
        <w:ind w:left="1920" w:hanging="360"/>
      </w:pPr>
    </w:lvl>
    <w:lvl w:ilvl="1" w:tplc="0938243C" w:tentative="1">
      <w:start w:val="1"/>
      <w:numFmt w:val="lowerLetter"/>
      <w:lvlText w:val="%2."/>
      <w:lvlJc w:val="left"/>
      <w:pPr>
        <w:ind w:left="2640" w:hanging="360"/>
      </w:pPr>
    </w:lvl>
    <w:lvl w:ilvl="2" w:tplc="827EB424" w:tentative="1">
      <w:start w:val="1"/>
      <w:numFmt w:val="lowerRoman"/>
      <w:lvlText w:val="%3."/>
      <w:lvlJc w:val="right"/>
      <w:pPr>
        <w:ind w:left="3360" w:hanging="180"/>
      </w:pPr>
    </w:lvl>
    <w:lvl w:ilvl="3" w:tplc="4718C416" w:tentative="1">
      <w:start w:val="1"/>
      <w:numFmt w:val="decimal"/>
      <w:lvlText w:val="%4."/>
      <w:lvlJc w:val="left"/>
      <w:pPr>
        <w:ind w:left="4080" w:hanging="360"/>
      </w:pPr>
    </w:lvl>
    <w:lvl w:ilvl="4" w:tplc="0C686DCE" w:tentative="1">
      <w:start w:val="1"/>
      <w:numFmt w:val="lowerLetter"/>
      <w:lvlText w:val="%5."/>
      <w:lvlJc w:val="left"/>
      <w:pPr>
        <w:ind w:left="4800" w:hanging="360"/>
      </w:pPr>
    </w:lvl>
    <w:lvl w:ilvl="5" w:tplc="0D584054" w:tentative="1">
      <w:start w:val="1"/>
      <w:numFmt w:val="lowerRoman"/>
      <w:lvlText w:val="%6."/>
      <w:lvlJc w:val="right"/>
      <w:pPr>
        <w:ind w:left="5520" w:hanging="180"/>
      </w:pPr>
    </w:lvl>
    <w:lvl w:ilvl="6" w:tplc="46E8BDE0" w:tentative="1">
      <w:start w:val="1"/>
      <w:numFmt w:val="decimal"/>
      <w:lvlText w:val="%7."/>
      <w:lvlJc w:val="left"/>
      <w:pPr>
        <w:ind w:left="6240" w:hanging="360"/>
      </w:pPr>
    </w:lvl>
    <w:lvl w:ilvl="7" w:tplc="E68066E8" w:tentative="1">
      <w:start w:val="1"/>
      <w:numFmt w:val="lowerLetter"/>
      <w:lvlText w:val="%8."/>
      <w:lvlJc w:val="left"/>
      <w:pPr>
        <w:ind w:left="6960" w:hanging="360"/>
      </w:pPr>
    </w:lvl>
    <w:lvl w:ilvl="8" w:tplc="391E904C" w:tentative="1">
      <w:start w:val="1"/>
      <w:numFmt w:val="lowerRoman"/>
      <w:lvlText w:val="%9."/>
      <w:lvlJc w:val="right"/>
      <w:pPr>
        <w:ind w:left="7680" w:hanging="180"/>
      </w:pPr>
    </w:lvl>
  </w:abstractNum>
  <w:abstractNum w:abstractNumId="4" w15:restartNumberingAfterBreak="0">
    <w:nsid w:val="13D03A87"/>
    <w:multiLevelType w:val="hybridMultilevel"/>
    <w:tmpl w:val="44FE339E"/>
    <w:lvl w:ilvl="0" w:tplc="180A0001">
      <w:start w:val="1"/>
      <w:numFmt w:val="bullet"/>
      <w:lvlText w:val=""/>
      <w:lvlJc w:val="left"/>
      <w:pPr>
        <w:ind w:left="720" w:hanging="360"/>
      </w:pPr>
      <w:rPr>
        <w:rFonts w:ascii="Symbol" w:hAnsi="Symbol" w:hint="default"/>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 w15:restartNumberingAfterBreak="0">
    <w:nsid w:val="1F66566E"/>
    <w:multiLevelType w:val="multilevel"/>
    <w:tmpl w:val="F13C26C0"/>
    <w:lvl w:ilvl="0">
      <w:start w:val="2"/>
      <w:numFmt w:val="decimal"/>
      <w:lvlText w:val="%1."/>
      <w:lvlJc w:val="left"/>
      <w:pPr>
        <w:ind w:left="468" w:hanging="468"/>
      </w:pPr>
      <w:rPr>
        <w:rFonts w:hint="default"/>
      </w:rPr>
    </w:lvl>
    <w:lvl w:ilvl="1">
      <w:start w:val="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531280"/>
    <w:multiLevelType w:val="hybridMultilevel"/>
    <w:tmpl w:val="EA429F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D2A1A"/>
    <w:multiLevelType w:val="hybridMultilevel"/>
    <w:tmpl w:val="BA62D184"/>
    <w:lvl w:ilvl="0" w:tplc="B1D02F14">
      <w:start w:val="1"/>
      <w:numFmt w:val="decimal"/>
      <w:lvlText w:val="%1)"/>
      <w:lvlJc w:val="left"/>
      <w:pPr>
        <w:ind w:left="1009" w:hanging="360"/>
      </w:pPr>
    </w:lvl>
    <w:lvl w:ilvl="1" w:tplc="6A803136" w:tentative="1">
      <w:start w:val="1"/>
      <w:numFmt w:val="lowerLetter"/>
      <w:lvlText w:val="%2."/>
      <w:lvlJc w:val="left"/>
      <w:pPr>
        <w:ind w:left="1729" w:hanging="360"/>
      </w:pPr>
    </w:lvl>
    <w:lvl w:ilvl="2" w:tplc="75B28ECC" w:tentative="1">
      <w:start w:val="1"/>
      <w:numFmt w:val="lowerRoman"/>
      <w:lvlText w:val="%3."/>
      <w:lvlJc w:val="right"/>
      <w:pPr>
        <w:ind w:left="2449" w:hanging="180"/>
      </w:pPr>
    </w:lvl>
    <w:lvl w:ilvl="3" w:tplc="C2445A00" w:tentative="1">
      <w:start w:val="1"/>
      <w:numFmt w:val="decimal"/>
      <w:lvlText w:val="%4."/>
      <w:lvlJc w:val="left"/>
      <w:pPr>
        <w:ind w:left="3169" w:hanging="360"/>
      </w:pPr>
    </w:lvl>
    <w:lvl w:ilvl="4" w:tplc="1CFEB054" w:tentative="1">
      <w:start w:val="1"/>
      <w:numFmt w:val="lowerLetter"/>
      <w:lvlText w:val="%5."/>
      <w:lvlJc w:val="left"/>
      <w:pPr>
        <w:ind w:left="3889" w:hanging="360"/>
      </w:pPr>
    </w:lvl>
    <w:lvl w:ilvl="5" w:tplc="37CE6BE6" w:tentative="1">
      <w:start w:val="1"/>
      <w:numFmt w:val="lowerRoman"/>
      <w:lvlText w:val="%6."/>
      <w:lvlJc w:val="right"/>
      <w:pPr>
        <w:ind w:left="4609" w:hanging="180"/>
      </w:pPr>
    </w:lvl>
    <w:lvl w:ilvl="6" w:tplc="E6CA6146" w:tentative="1">
      <w:start w:val="1"/>
      <w:numFmt w:val="decimal"/>
      <w:lvlText w:val="%7."/>
      <w:lvlJc w:val="left"/>
      <w:pPr>
        <w:ind w:left="5329" w:hanging="360"/>
      </w:pPr>
    </w:lvl>
    <w:lvl w:ilvl="7" w:tplc="269ECF30" w:tentative="1">
      <w:start w:val="1"/>
      <w:numFmt w:val="lowerLetter"/>
      <w:lvlText w:val="%8."/>
      <w:lvlJc w:val="left"/>
      <w:pPr>
        <w:ind w:left="6049" w:hanging="360"/>
      </w:pPr>
    </w:lvl>
    <w:lvl w:ilvl="8" w:tplc="045C9FA4" w:tentative="1">
      <w:start w:val="1"/>
      <w:numFmt w:val="lowerRoman"/>
      <w:lvlText w:val="%9."/>
      <w:lvlJc w:val="right"/>
      <w:pPr>
        <w:ind w:left="6769" w:hanging="180"/>
      </w:pPr>
    </w:lvl>
  </w:abstractNum>
  <w:abstractNum w:abstractNumId="8" w15:restartNumberingAfterBreak="0">
    <w:nsid w:val="259F7D5D"/>
    <w:multiLevelType w:val="multilevel"/>
    <w:tmpl w:val="467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85431"/>
    <w:multiLevelType w:val="multilevel"/>
    <w:tmpl w:val="348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312D6"/>
    <w:multiLevelType w:val="multilevel"/>
    <w:tmpl w:val="B772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1653C"/>
    <w:multiLevelType w:val="hybridMultilevel"/>
    <w:tmpl w:val="0D2A5AA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2"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3" w15:restartNumberingAfterBreak="0">
    <w:nsid w:val="30AE48FC"/>
    <w:multiLevelType w:val="multilevel"/>
    <w:tmpl w:val="747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253CB"/>
    <w:multiLevelType w:val="multilevel"/>
    <w:tmpl w:val="BA3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77D64"/>
    <w:multiLevelType w:val="singleLevel"/>
    <w:tmpl w:val="0B925686"/>
    <w:lvl w:ilvl="0">
      <w:start w:val="1"/>
      <w:numFmt w:val="decimal"/>
      <w:lvlText w:val="[%1]"/>
      <w:lvlJc w:val="left"/>
      <w:pPr>
        <w:tabs>
          <w:tab w:val="num" w:pos="502"/>
        </w:tabs>
        <w:ind w:left="502" w:hanging="360"/>
      </w:pPr>
      <w:rPr>
        <w:lang w:val="en-US"/>
      </w:rPr>
    </w:lvl>
  </w:abstractNum>
  <w:abstractNum w:abstractNumId="16" w15:restartNumberingAfterBreak="0">
    <w:nsid w:val="3A9118AA"/>
    <w:multiLevelType w:val="hybridMultilevel"/>
    <w:tmpl w:val="A2DC5356"/>
    <w:lvl w:ilvl="0" w:tplc="E418009C">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D176C5E"/>
    <w:multiLevelType w:val="multilevel"/>
    <w:tmpl w:val="855A58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4189603E"/>
    <w:multiLevelType w:val="multilevel"/>
    <w:tmpl w:val="FC0271F4"/>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hint="default"/>
        <w:b w:val="0"/>
        <w:bCs w:val="0"/>
        <w:i w:val="0"/>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375338B"/>
    <w:multiLevelType w:val="multilevel"/>
    <w:tmpl w:val="3CB2FF12"/>
    <w:lvl w:ilvl="0">
      <w:start w:val="1"/>
      <w:numFmt w:val="none"/>
      <w:pStyle w:val="IEEETitulo"/>
      <w:lvlText w:val="%1"/>
      <w:lvlJc w:val="left"/>
      <w:pPr>
        <w:ind w:left="1009" w:hanging="360"/>
      </w:pPr>
      <w:rPr>
        <w:rFonts w:hint="default"/>
      </w:rPr>
    </w:lvl>
    <w:lvl w:ilvl="1">
      <w:start w:val="1"/>
      <w:numFmt w:val="upperRoman"/>
      <w:pStyle w:val="IEEETitulo1"/>
      <w:lvlText w:val="%2."/>
      <w:lvlJc w:val="left"/>
      <w:pPr>
        <w:ind w:left="1729" w:hanging="360"/>
      </w:pPr>
      <w:rPr>
        <w:rFonts w:hint="default"/>
        <w:b w:val="0"/>
      </w:rPr>
    </w:lvl>
    <w:lvl w:ilvl="2">
      <w:start w:val="1"/>
      <w:numFmt w:val="upperLetter"/>
      <w:pStyle w:val="IEEETitulo2"/>
      <w:lvlText w:val="%3)"/>
      <w:lvlJc w:val="right"/>
      <w:pPr>
        <w:ind w:left="2449" w:hanging="180"/>
      </w:pPr>
      <w:rPr>
        <w:rFonts w:hint="default"/>
      </w:rPr>
    </w:lvl>
    <w:lvl w:ilvl="3">
      <w:start w:val="1"/>
      <w:numFmt w:val="decimal"/>
      <w:pStyle w:val="IEEETitulo3"/>
      <w:lvlText w:val="%4)"/>
      <w:lvlJc w:val="left"/>
      <w:pPr>
        <w:ind w:left="3169" w:hanging="360"/>
      </w:pPr>
      <w:rPr>
        <w:rFonts w:hint="default"/>
      </w:rPr>
    </w:lvl>
    <w:lvl w:ilvl="4">
      <w:start w:val="1"/>
      <w:numFmt w:val="lowerLetter"/>
      <w:pStyle w:val="IEEETitulo4"/>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20" w15:restartNumberingAfterBreak="0">
    <w:nsid w:val="43FE1DF7"/>
    <w:multiLevelType w:val="hybridMultilevel"/>
    <w:tmpl w:val="6F5233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FF24555"/>
    <w:multiLevelType w:val="multilevel"/>
    <w:tmpl w:val="4738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C5B28"/>
    <w:multiLevelType w:val="multilevel"/>
    <w:tmpl w:val="855A58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6A0802EC"/>
    <w:multiLevelType w:val="multilevel"/>
    <w:tmpl w:val="73D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43396"/>
    <w:multiLevelType w:val="multilevel"/>
    <w:tmpl w:val="8AE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80D5B"/>
    <w:multiLevelType w:val="multilevel"/>
    <w:tmpl w:val="855A58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710A6ECA"/>
    <w:multiLevelType w:val="multilevel"/>
    <w:tmpl w:val="2480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20EC4"/>
    <w:multiLevelType w:val="hybridMultilevel"/>
    <w:tmpl w:val="4D1E0754"/>
    <w:lvl w:ilvl="0" w:tplc="A546E49E">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9B43E3A"/>
    <w:multiLevelType w:val="hybridMultilevel"/>
    <w:tmpl w:val="0FE65F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9FF0F4C"/>
    <w:multiLevelType w:val="hybridMultilevel"/>
    <w:tmpl w:val="CB40E83E"/>
    <w:lvl w:ilvl="0" w:tplc="040A0013">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7A974B14"/>
    <w:multiLevelType w:val="hybridMultilevel"/>
    <w:tmpl w:val="A6743B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AD91EAF"/>
    <w:multiLevelType w:val="hybridMultilevel"/>
    <w:tmpl w:val="A6DAA6BC"/>
    <w:lvl w:ilvl="0" w:tplc="FFFFFFFF">
      <w:start w:val="1"/>
      <w:numFmt w:val="decimal"/>
      <w:lvlText w:val="%1)"/>
      <w:lvlJc w:val="left"/>
      <w:pPr>
        <w:ind w:left="360" w:hanging="360"/>
      </w:pPr>
    </w:lvl>
    <w:lvl w:ilvl="1" w:tplc="FFFFFFFF" w:tentative="1">
      <w:start w:val="1"/>
      <w:numFmt w:val="lowerLetter"/>
      <w:lvlText w:val="%2."/>
      <w:lvlJc w:val="left"/>
      <w:pPr>
        <w:ind w:left="1729" w:hanging="360"/>
      </w:pPr>
    </w:lvl>
    <w:lvl w:ilvl="2" w:tplc="FFFFFFFF" w:tentative="1">
      <w:start w:val="1"/>
      <w:numFmt w:val="lowerRoman"/>
      <w:lvlText w:val="%3."/>
      <w:lvlJc w:val="right"/>
      <w:pPr>
        <w:ind w:left="2449" w:hanging="180"/>
      </w:pPr>
    </w:lvl>
    <w:lvl w:ilvl="3" w:tplc="42B20C38" w:tentative="1">
      <w:start w:val="1"/>
      <w:numFmt w:val="decimal"/>
      <w:lvlText w:val="%4."/>
      <w:lvlJc w:val="left"/>
      <w:pPr>
        <w:ind w:left="3169" w:hanging="360"/>
      </w:pPr>
    </w:lvl>
    <w:lvl w:ilvl="4" w:tplc="FFFFFFFF" w:tentative="1">
      <w:start w:val="1"/>
      <w:numFmt w:val="lowerLetter"/>
      <w:lvlText w:val="%5."/>
      <w:lvlJc w:val="left"/>
      <w:pPr>
        <w:ind w:left="3889" w:hanging="360"/>
      </w:pPr>
    </w:lvl>
    <w:lvl w:ilvl="5" w:tplc="FFFFFFFF" w:tentative="1">
      <w:start w:val="1"/>
      <w:numFmt w:val="lowerRoman"/>
      <w:lvlText w:val="%6."/>
      <w:lvlJc w:val="right"/>
      <w:pPr>
        <w:ind w:left="4609" w:hanging="180"/>
      </w:pPr>
    </w:lvl>
    <w:lvl w:ilvl="6" w:tplc="FFFFFFFF" w:tentative="1">
      <w:start w:val="1"/>
      <w:numFmt w:val="decimal"/>
      <w:lvlText w:val="%7."/>
      <w:lvlJc w:val="left"/>
      <w:pPr>
        <w:ind w:left="5329" w:hanging="360"/>
      </w:pPr>
    </w:lvl>
    <w:lvl w:ilvl="7" w:tplc="FFFFFFFF" w:tentative="1">
      <w:start w:val="1"/>
      <w:numFmt w:val="lowerLetter"/>
      <w:lvlText w:val="%8."/>
      <w:lvlJc w:val="left"/>
      <w:pPr>
        <w:ind w:left="6049" w:hanging="360"/>
      </w:pPr>
    </w:lvl>
    <w:lvl w:ilvl="8" w:tplc="FFFFFFFF" w:tentative="1">
      <w:start w:val="1"/>
      <w:numFmt w:val="lowerRoman"/>
      <w:lvlText w:val="%9."/>
      <w:lvlJc w:val="right"/>
      <w:pPr>
        <w:ind w:left="6769" w:hanging="180"/>
      </w:pPr>
    </w:lvl>
  </w:abstractNum>
  <w:abstractNum w:abstractNumId="32" w15:restartNumberingAfterBreak="0">
    <w:nsid w:val="7D9A4522"/>
    <w:multiLevelType w:val="hybridMultilevel"/>
    <w:tmpl w:val="9CEE042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44270782">
    <w:abstractNumId w:val="4"/>
  </w:num>
  <w:num w:numId="2" w16cid:durableId="947932124">
    <w:abstractNumId w:val="0"/>
  </w:num>
  <w:num w:numId="3" w16cid:durableId="241724712">
    <w:abstractNumId w:val="11"/>
  </w:num>
  <w:num w:numId="4" w16cid:durableId="1264071571">
    <w:abstractNumId w:val="27"/>
  </w:num>
  <w:num w:numId="5" w16cid:durableId="722410327">
    <w:abstractNumId w:val="19"/>
  </w:num>
  <w:num w:numId="6" w16cid:durableId="226961203">
    <w:abstractNumId w:val="7"/>
  </w:num>
  <w:num w:numId="7" w16cid:durableId="724527586">
    <w:abstractNumId w:val="18"/>
  </w:num>
  <w:num w:numId="8" w16cid:durableId="7800316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682441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12234849">
    <w:abstractNumId w:val="29"/>
    <w:lvlOverride w:ilvl="0">
      <w:startOverride w:val="1"/>
    </w:lvlOverride>
  </w:num>
  <w:num w:numId="11" w16cid:durableId="1586302734">
    <w:abstractNumId w:val="31"/>
  </w:num>
  <w:num w:numId="12" w16cid:durableId="1856848790">
    <w:abstractNumId w:val="3"/>
  </w:num>
  <w:num w:numId="13" w16cid:durableId="18551342">
    <w:abstractNumId w:val="2"/>
  </w:num>
  <w:num w:numId="14" w16cid:durableId="910654517">
    <w:abstractNumId w:val="12"/>
    <w:lvlOverride w:ilvl="0">
      <w:lvl w:ilvl="0">
        <w:start w:val="1"/>
        <w:numFmt w:val="decimal"/>
        <w:lvlText w:val="%1."/>
        <w:legacy w:legacy="1" w:legacySpace="0" w:legacyIndent="360"/>
        <w:lvlJc w:val="left"/>
        <w:pPr>
          <w:ind w:left="360" w:hanging="360"/>
        </w:pPr>
      </w:lvl>
    </w:lvlOverride>
  </w:num>
  <w:num w:numId="15" w16cid:durableId="105082231">
    <w:abstractNumId w:val="32"/>
  </w:num>
  <w:num w:numId="16" w16cid:durableId="1446805158">
    <w:abstractNumId w:val="16"/>
  </w:num>
  <w:num w:numId="17" w16cid:durableId="524175642">
    <w:abstractNumId w:val="15"/>
  </w:num>
  <w:num w:numId="18" w16cid:durableId="1466237792">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128544620">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11551617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53420999">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30220244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574050928">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869992778">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871524578">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12735759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180126458">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2146392963">
    <w:abstractNumId w:val="20"/>
  </w:num>
  <w:num w:numId="29" w16cid:durableId="420641294">
    <w:abstractNumId w:val="28"/>
  </w:num>
  <w:num w:numId="30" w16cid:durableId="1338508172">
    <w:abstractNumId w:val="6"/>
  </w:num>
  <w:num w:numId="31" w16cid:durableId="4939126">
    <w:abstractNumId w:val="17"/>
  </w:num>
  <w:num w:numId="32" w16cid:durableId="532304605">
    <w:abstractNumId w:val="25"/>
  </w:num>
  <w:num w:numId="33" w16cid:durableId="1262840335">
    <w:abstractNumId w:val="22"/>
  </w:num>
  <w:num w:numId="34" w16cid:durableId="1853713993">
    <w:abstractNumId w:val="5"/>
  </w:num>
  <w:num w:numId="35" w16cid:durableId="162931291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D87"/>
    <w:rsid w:val="0000382A"/>
    <w:rsid w:val="00006467"/>
    <w:rsid w:val="00006573"/>
    <w:rsid w:val="0000746C"/>
    <w:rsid w:val="000103E4"/>
    <w:rsid w:val="00010FA7"/>
    <w:rsid w:val="00011189"/>
    <w:rsid w:val="00014D09"/>
    <w:rsid w:val="000400F6"/>
    <w:rsid w:val="00040157"/>
    <w:rsid w:val="00041CB8"/>
    <w:rsid w:val="000423D8"/>
    <w:rsid w:val="00055EE4"/>
    <w:rsid w:val="0006109D"/>
    <w:rsid w:val="00063ECE"/>
    <w:rsid w:val="00065119"/>
    <w:rsid w:val="000672BC"/>
    <w:rsid w:val="00073159"/>
    <w:rsid w:val="0007383D"/>
    <w:rsid w:val="00076DE1"/>
    <w:rsid w:val="00077719"/>
    <w:rsid w:val="00081E27"/>
    <w:rsid w:val="00083EA5"/>
    <w:rsid w:val="0008599D"/>
    <w:rsid w:val="00087B62"/>
    <w:rsid w:val="000912D7"/>
    <w:rsid w:val="00091C98"/>
    <w:rsid w:val="0009269F"/>
    <w:rsid w:val="00092F43"/>
    <w:rsid w:val="000A1483"/>
    <w:rsid w:val="000B55EF"/>
    <w:rsid w:val="000C0F07"/>
    <w:rsid w:val="000C4476"/>
    <w:rsid w:val="000C7651"/>
    <w:rsid w:val="000D177D"/>
    <w:rsid w:val="000D3B58"/>
    <w:rsid w:val="000E05D9"/>
    <w:rsid w:val="000F048D"/>
    <w:rsid w:val="0010485B"/>
    <w:rsid w:val="001124B8"/>
    <w:rsid w:val="00117A03"/>
    <w:rsid w:val="001216B9"/>
    <w:rsid w:val="00121D81"/>
    <w:rsid w:val="00123B87"/>
    <w:rsid w:val="001278D8"/>
    <w:rsid w:val="001333A3"/>
    <w:rsid w:val="00153067"/>
    <w:rsid w:val="00163F90"/>
    <w:rsid w:val="00164966"/>
    <w:rsid w:val="00167015"/>
    <w:rsid w:val="001678FC"/>
    <w:rsid w:val="00170A4F"/>
    <w:rsid w:val="00172FE8"/>
    <w:rsid w:val="00176877"/>
    <w:rsid w:val="001768C1"/>
    <w:rsid w:val="00180942"/>
    <w:rsid w:val="00180B19"/>
    <w:rsid w:val="00190267"/>
    <w:rsid w:val="001930F0"/>
    <w:rsid w:val="0019321D"/>
    <w:rsid w:val="00193A0D"/>
    <w:rsid w:val="00195B5A"/>
    <w:rsid w:val="00196DE2"/>
    <w:rsid w:val="001A0AA6"/>
    <w:rsid w:val="001A1AB4"/>
    <w:rsid w:val="001A1AFF"/>
    <w:rsid w:val="001A23DB"/>
    <w:rsid w:val="001A5636"/>
    <w:rsid w:val="001B359E"/>
    <w:rsid w:val="001B69AD"/>
    <w:rsid w:val="001C69F2"/>
    <w:rsid w:val="001C6A1A"/>
    <w:rsid w:val="001D0485"/>
    <w:rsid w:val="001D3EBC"/>
    <w:rsid w:val="001D5858"/>
    <w:rsid w:val="001D5F55"/>
    <w:rsid w:val="001D60CF"/>
    <w:rsid w:val="001E2837"/>
    <w:rsid w:val="001E33F7"/>
    <w:rsid w:val="001E5F54"/>
    <w:rsid w:val="001E6D9E"/>
    <w:rsid w:val="001E7E47"/>
    <w:rsid w:val="001F4F1C"/>
    <w:rsid w:val="00203812"/>
    <w:rsid w:val="00207950"/>
    <w:rsid w:val="002129A1"/>
    <w:rsid w:val="0021339B"/>
    <w:rsid w:val="00213E52"/>
    <w:rsid w:val="0022037D"/>
    <w:rsid w:val="002205AD"/>
    <w:rsid w:val="00221D75"/>
    <w:rsid w:val="0022238D"/>
    <w:rsid w:val="002249C7"/>
    <w:rsid w:val="00224ADA"/>
    <w:rsid w:val="00226630"/>
    <w:rsid w:val="002312F8"/>
    <w:rsid w:val="0023274B"/>
    <w:rsid w:val="00232EF0"/>
    <w:rsid w:val="00234660"/>
    <w:rsid w:val="0023777B"/>
    <w:rsid w:val="00242B5D"/>
    <w:rsid w:val="002440B8"/>
    <w:rsid w:val="00252E5B"/>
    <w:rsid w:val="00260B18"/>
    <w:rsid w:val="00264012"/>
    <w:rsid w:val="00275397"/>
    <w:rsid w:val="002845E1"/>
    <w:rsid w:val="00284E77"/>
    <w:rsid w:val="002878C0"/>
    <w:rsid w:val="00292A10"/>
    <w:rsid w:val="002948B0"/>
    <w:rsid w:val="00295870"/>
    <w:rsid w:val="0029777D"/>
    <w:rsid w:val="002A02BA"/>
    <w:rsid w:val="002A0C0D"/>
    <w:rsid w:val="002A5685"/>
    <w:rsid w:val="002A7FB4"/>
    <w:rsid w:val="002B0541"/>
    <w:rsid w:val="002B20CE"/>
    <w:rsid w:val="002B5739"/>
    <w:rsid w:val="002B7AA8"/>
    <w:rsid w:val="002B7EA9"/>
    <w:rsid w:val="002D14EA"/>
    <w:rsid w:val="002D2F39"/>
    <w:rsid w:val="002D66B2"/>
    <w:rsid w:val="002D6736"/>
    <w:rsid w:val="002E11BB"/>
    <w:rsid w:val="002E19EE"/>
    <w:rsid w:val="002E6AF7"/>
    <w:rsid w:val="002E7073"/>
    <w:rsid w:val="002F01C8"/>
    <w:rsid w:val="002F0BCB"/>
    <w:rsid w:val="002F22CC"/>
    <w:rsid w:val="002F2AFE"/>
    <w:rsid w:val="002F36DA"/>
    <w:rsid w:val="00307389"/>
    <w:rsid w:val="00320D0D"/>
    <w:rsid w:val="0032361F"/>
    <w:rsid w:val="00324AD1"/>
    <w:rsid w:val="00324F59"/>
    <w:rsid w:val="0032741A"/>
    <w:rsid w:val="003313AF"/>
    <w:rsid w:val="003327C9"/>
    <w:rsid w:val="00337205"/>
    <w:rsid w:val="0034182B"/>
    <w:rsid w:val="00343869"/>
    <w:rsid w:val="00344640"/>
    <w:rsid w:val="00345B21"/>
    <w:rsid w:val="00347B98"/>
    <w:rsid w:val="003501E2"/>
    <w:rsid w:val="00357846"/>
    <w:rsid w:val="00360EE1"/>
    <w:rsid w:val="003614CD"/>
    <w:rsid w:val="00361CC8"/>
    <w:rsid w:val="00361E6B"/>
    <w:rsid w:val="00361FBF"/>
    <w:rsid w:val="00377640"/>
    <w:rsid w:val="00385DBA"/>
    <w:rsid w:val="0039073F"/>
    <w:rsid w:val="003A198E"/>
    <w:rsid w:val="003A4276"/>
    <w:rsid w:val="003A6A3C"/>
    <w:rsid w:val="003B7595"/>
    <w:rsid w:val="003C452A"/>
    <w:rsid w:val="003C579F"/>
    <w:rsid w:val="003C681F"/>
    <w:rsid w:val="003D07CA"/>
    <w:rsid w:val="003E09F6"/>
    <w:rsid w:val="003E1D7E"/>
    <w:rsid w:val="003E35EF"/>
    <w:rsid w:val="003E39C7"/>
    <w:rsid w:val="003E4087"/>
    <w:rsid w:val="003E7768"/>
    <w:rsid w:val="003F1D98"/>
    <w:rsid w:val="003F33DC"/>
    <w:rsid w:val="003F6262"/>
    <w:rsid w:val="003F6C7B"/>
    <w:rsid w:val="0040130C"/>
    <w:rsid w:val="004013D7"/>
    <w:rsid w:val="00402C1B"/>
    <w:rsid w:val="00403609"/>
    <w:rsid w:val="004045F1"/>
    <w:rsid w:val="00404D95"/>
    <w:rsid w:val="00407235"/>
    <w:rsid w:val="00410B93"/>
    <w:rsid w:val="00411916"/>
    <w:rsid w:val="004164D2"/>
    <w:rsid w:val="004209EA"/>
    <w:rsid w:val="0042320C"/>
    <w:rsid w:val="00426209"/>
    <w:rsid w:val="004304A2"/>
    <w:rsid w:val="004349BF"/>
    <w:rsid w:val="00434A77"/>
    <w:rsid w:val="00437295"/>
    <w:rsid w:val="0044049F"/>
    <w:rsid w:val="0044253D"/>
    <w:rsid w:val="004549DB"/>
    <w:rsid w:val="00454FCB"/>
    <w:rsid w:val="00456754"/>
    <w:rsid w:val="0046697A"/>
    <w:rsid w:val="004708E5"/>
    <w:rsid w:val="00471783"/>
    <w:rsid w:val="00477729"/>
    <w:rsid w:val="00486A02"/>
    <w:rsid w:val="00495955"/>
    <w:rsid w:val="004A2C10"/>
    <w:rsid w:val="004A402E"/>
    <w:rsid w:val="004B1581"/>
    <w:rsid w:val="004B3160"/>
    <w:rsid w:val="004B4CA9"/>
    <w:rsid w:val="004B5C41"/>
    <w:rsid w:val="004C3427"/>
    <w:rsid w:val="004C3E25"/>
    <w:rsid w:val="004C514C"/>
    <w:rsid w:val="004C5E89"/>
    <w:rsid w:val="004C7942"/>
    <w:rsid w:val="004E0CD6"/>
    <w:rsid w:val="004E124D"/>
    <w:rsid w:val="004E60C4"/>
    <w:rsid w:val="00501D8B"/>
    <w:rsid w:val="00503009"/>
    <w:rsid w:val="005100A3"/>
    <w:rsid w:val="005111DF"/>
    <w:rsid w:val="005112F8"/>
    <w:rsid w:val="00530300"/>
    <w:rsid w:val="00530A2E"/>
    <w:rsid w:val="0053428A"/>
    <w:rsid w:val="00541B6A"/>
    <w:rsid w:val="00552A26"/>
    <w:rsid w:val="00571182"/>
    <w:rsid w:val="0057597B"/>
    <w:rsid w:val="00576F18"/>
    <w:rsid w:val="00577981"/>
    <w:rsid w:val="00577DBB"/>
    <w:rsid w:val="00581B9C"/>
    <w:rsid w:val="00581DC5"/>
    <w:rsid w:val="00582558"/>
    <w:rsid w:val="005855FD"/>
    <w:rsid w:val="0058627F"/>
    <w:rsid w:val="00586C51"/>
    <w:rsid w:val="00593EE8"/>
    <w:rsid w:val="00596728"/>
    <w:rsid w:val="005A29AC"/>
    <w:rsid w:val="005A398D"/>
    <w:rsid w:val="005B2FB3"/>
    <w:rsid w:val="005B391D"/>
    <w:rsid w:val="005B4B3A"/>
    <w:rsid w:val="005B673E"/>
    <w:rsid w:val="005C2FA7"/>
    <w:rsid w:val="005C55B5"/>
    <w:rsid w:val="005D0D5A"/>
    <w:rsid w:val="005D4CB7"/>
    <w:rsid w:val="005D5743"/>
    <w:rsid w:val="005D5E69"/>
    <w:rsid w:val="005D7A77"/>
    <w:rsid w:val="005E33DD"/>
    <w:rsid w:val="005E3651"/>
    <w:rsid w:val="005F0CD8"/>
    <w:rsid w:val="005F3578"/>
    <w:rsid w:val="005F4300"/>
    <w:rsid w:val="00605913"/>
    <w:rsid w:val="0061254F"/>
    <w:rsid w:val="00614BE5"/>
    <w:rsid w:val="0061717A"/>
    <w:rsid w:val="00617C71"/>
    <w:rsid w:val="00624DC6"/>
    <w:rsid w:val="0063309D"/>
    <w:rsid w:val="00635385"/>
    <w:rsid w:val="00640F96"/>
    <w:rsid w:val="00640FDB"/>
    <w:rsid w:val="006412B8"/>
    <w:rsid w:val="00645D3C"/>
    <w:rsid w:val="006460E6"/>
    <w:rsid w:val="00656BEA"/>
    <w:rsid w:val="00657945"/>
    <w:rsid w:val="00660DA2"/>
    <w:rsid w:val="00662DE6"/>
    <w:rsid w:val="00663CE8"/>
    <w:rsid w:val="00664450"/>
    <w:rsid w:val="0067225A"/>
    <w:rsid w:val="00677ED8"/>
    <w:rsid w:val="00687B57"/>
    <w:rsid w:val="006959D9"/>
    <w:rsid w:val="006A06EA"/>
    <w:rsid w:val="006A3229"/>
    <w:rsid w:val="006A5E94"/>
    <w:rsid w:val="006B16B8"/>
    <w:rsid w:val="006B4028"/>
    <w:rsid w:val="006B5B42"/>
    <w:rsid w:val="006C48DD"/>
    <w:rsid w:val="006C5D2D"/>
    <w:rsid w:val="006D57A1"/>
    <w:rsid w:val="006E2DAB"/>
    <w:rsid w:val="006E5C2D"/>
    <w:rsid w:val="006E6F64"/>
    <w:rsid w:val="006F7E1F"/>
    <w:rsid w:val="00710993"/>
    <w:rsid w:val="007135F6"/>
    <w:rsid w:val="0071618D"/>
    <w:rsid w:val="00716AEC"/>
    <w:rsid w:val="00721B7C"/>
    <w:rsid w:val="007225F1"/>
    <w:rsid w:val="0072260F"/>
    <w:rsid w:val="007254E1"/>
    <w:rsid w:val="0073084A"/>
    <w:rsid w:val="00731F5C"/>
    <w:rsid w:val="007349C8"/>
    <w:rsid w:val="007529A1"/>
    <w:rsid w:val="00763A32"/>
    <w:rsid w:val="007733AE"/>
    <w:rsid w:val="007834B5"/>
    <w:rsid w:val="00784435"/>
    <w:rsid w:val="00784728"/>
    <w:rsid w:val="007928BE"/>
    <w:rsid w:val="00795190"/>
    <w:rsid w:val="00795CA3"/>
    <w:rsid w:val="007B5DE6"/>
    <w:rsid w:val="007C1F30"/>
    <w:rsid w:val="007C4F8C"/>
    <w:rsid w:val="007D7C84"/>
    <w:rsid w:val="007E4F5D"/>
    <w:rsid w:val="008056B6"/>
    <w:rsid w:val="00816972"/>
    <w:rsid w:val="00820EA6"/>
    <w:rsid w:val="00823A66"/>
    <w:rsid w:val="00824D2A"/>
    <w:rsid w:val="00834D53"/>
    <w:rsid w:val="00842344"/>
    <w:rsid w:val="008433D8"/>
    <w:rsid w:val="00844176"/>
    <w:rsid w:val="00845879"/>
    <w:rsid w:val="00846B74"/>
    <w:rsid w:val="00850CB6"/>
    <w:rsid w:val="00855C19"/>
    <w:rsid w:val="00856649"/>
    <w:rsid w:val="00863DF8"/>
    <w:rsid w:val="00864127"/>
    <w:rsid w:val="00870113"/>
    <w:rsid w:val="00874204"/>
    <w:rsid w:val="008756C8"/>
    <w:rsid w:val="00881281"/>
    <w:rsid w:val="00886259"/>
    <w:rsid w:val="00886F07"/>
    <w:rsid w:val="0089047C"/>
    <w:rsid w:val="0089665F"/>
    <w:rsid w:val="008A18A6"/>
    <w:rsid w:val="008A4B35"/>
    <w:rsid w:val="008A5D97"/>
    <w:rsid w:val="008B464B"/>
    <w:rsid w:val="008B6DB4"/>
    <w:rsid w:val="008C35BD"/>
    <w:rsid w:val="008C707E"/>
    <w:rsid w:val="008D2256"/>
    <w:rsid w:val="008D46E2"/>
    <w:rsid w:val="008E24C1"/>
    <w:rsid w:val="008E3C85"/>
    <w:rsid w:val="008E5D17"/>
    <w:rsid w:val="008F0C1A"/>
    <w:rsid w:val="008F7FAD"/>
    <w:rsid w:val="009006E6"/>
    <w:rsid w:val="009016C3"/>
    <w:rsid w:val="00902AD5"/>
    <w:rsid w:val="00907459"/>
    <w:rsid w:val="00910A07"/>
    <w:rsid w:val="009202F4"/>
    <w:rsid w:val="00923C02"/>
    <w:rsid w:val="009250CF"/>
    <w:rsid w:val="009258EC"/>
    <w:rsid w:val="00927885"/>
    <w:rsid w:val="009306EC"/>
    <w:rsid w:val="009322BF"/>
    <w:rsid w:val="009356D8"/>
    <w:rsid w:val="00935D87"/>
    <w:rsid w:val="0094485F"/>
    <w:rsid w:val="00947845"/>
    <w:rsid w:val="00951B95"/>
    <w:rsid w:val="00955A44"/>
    <w:rsid w:val="00956C46"/>
    <w:rsid w:val="00963E78"/>
    <w:rsid w:val="009673A0"/>
    <w:rsid w:val="009716E3"/>
    <w:rsid w:val="009736A7"/>
    <w:rsid w:val="009752FA"/>
    <w:rsid w:val="00986937"/>
    <w:rsid w:val="00987CBF"/>
    <w:rsid w:val="00991547"/>
    <w:rsid w:val="00991617"/>
    <w:rsid w:val="00995758"/>
    <w:rsid w:val="009A1582"/>
    <w:rsid w:val="009A2503"/>
    <w:rsid w:val="009A3572"/>
    <w:rsid w:val="009B0A54"/>
    <w:rsid w:val="009B41EB"/>
    <w:rsid w:val="009C22AA"/>
    <w:rsid w:val="009C31A2"/>
    <w:rsid w:val="009C466A"/>
    <w:rsid w:val="009D0E89"/>
    <w:rsid w:val="009D23E7"/>
    <w:rsid w:val="009D299B"/>
    <w:rsid w:val="009F0E34"/>
    <w:rsid w:val="009F7B5A"/>
    <w:rsid w:val="00A0012E"/>
    <w:rsid w:val="00A036D4"/>
    <w:rsid w:val="00A11A05"/>
    <w:rsid w:val="00A1270F"/>
    <w:rsid w:val="00A17D25"/>
    <w:rsid w:val="00A2075B"/>
    <w:rsid w:val="00A2641A"/>
    <w:rsid w:val="00A3631E"/>
    <w:rsid w:val="00A36945"/>
    <w:rsid w:val="00A417CC"/>
    <w:rsid w:val="00A41D94"/>
    <w:rsid w:val="00A41E3D"/>
    <w:rsid w:val="00A478ED"/>
    <w:rsid w:val="00A47F45"/>
    <w:rsid w:val="00A507E7"/>
    <w:rsid w:val="00A50E43"/>
    <w:rsid w:val="00A52910"/>
    <w:rsid w:val="00A53065"/>
    <w:rsid w:val="00A544E9"/>
    <w:rsid w:val="00A55161"/>
    <w:rsid w:val="00A60824"/>
    <w:rsid w:val="00A61489"/>
    <w:rsid w:val="00A61AFE"/>
    <w:rsid w:val="00A61FB5"/>
    <w:rsid w:val="00A64EDE"/>
    <w:rsid w:val="00A66001"/>
    <w:rsid w:val="00A66C11"/>
    <w:rsid w:val="00A72CBD"/>
    <w:rsid w:val="00A7560B"/>
    <w:rsid w:val="00A81CB2"/>
    <w:rsid w:val="00A8760D"/>
    <w:rsid w:val="00A900F6"/>
    <w:rsid w:val="00A949FE"/>
    <w:rsid w:val="00AA053B"/>
    <w:rsid w:val="00AA11FC"/>
    <w:rsid w:val="00AA5FE1"/>
    <w:rsid w:val="00AB0A03"/>
    <w:rsid w:val="00AC0434"/>
    <w:rsid w:val="00AC233E"/>
    <w:rsid w:val="00AC2924"/>
    <w:rsid w:val="00AC6FE4"/>
    <w:rsid w:val="00AD0238"/>
    <w:rsid w:val="00AD2293"/>
    <w:rsid w:val="00AD2D92"/>
    <w:rsid w:val="00AD3F58"/>
    <w:rsid w:val="00AD5991"/>
    <w:rsid w:val="00AD5B37"/>
    <w:rsid w:val="00AD6289"/>
    <w:rsid w:val="00AD7532"/>
    <w:rsid w:val="00AE1466"/>
    <w:rsid w:val="00AE2B08"/>
    <w:rsid w:val="00AE3776"/>
    <w:rsid w:val="00AE459D"/>
    <w:rsid w:val="00AE7BBB"/>
    <w:rsid w:val="00AF2BE7"/>
    <w:rsid w:val="00AF4342"/>
    <w:rsid w:val="00B008A8"/>
    <w:rsid w:val="00B01554"/>
    <w:rsid w:val="00B0764E"/>
    <w:rsid w:val="00B12C5E"/>
    <w:rsid w:val="00B17450"/>
    <w:rsid w:val="00B21BA4"/>
    <w:rsid w:val="00B241FB"/>
    <w:rsid w:val="00B26090"/>
    <w:rsid w:val="00B27C2E"/>
    <w:rsid w:val="00B33A55"/>
    <w:rsid w:val="00B351D7"/>
    <w:rsid w:val="00B36435"/>
    <w:rsid w:val="00B462E2"/>
    <w:rsid w:val="00B528FF"/>
    <w:rsid w:val="00B54498"/>
    <w:rsid w:val="00B545D0"/>
    <w:rsid w:val="00B55191"/>
    <w:rsid w:val="00B61A21"/>
    <w:rsid w:val="00B641BE"/>
    <w:rsid w:val="00B66B7D"/>
    <w:rsid w:val="00B701C0"/>
    <w:rsid w:val="00B71E63"/>
    <w:rsid w:val="00B76AC4"/>
    <w:rsid w:val="00B800BB"/>
    <w:rsid w:val="00B803B2"/>
    <w:rsid w:val="00B83BBE"/>
    <w:rsid w:val="00B83F2C"/>
    <w:rsid w:val="00B904FC"/>
    <w:rsid w:val="00B90529"/>
    <w:rsid w:val="00B92E53"/>
    <w:rsid w:val="00BA0A9B"/>
    <w:rsid w:val="00BA6D19"/>
    <w:rsid w:val="00BB53BB"/>
    <w:rsid w:val="00BB6107"/>
    <w:rsid w:val="00BB770B"/>
    <w:rsid w:val="00BC14BC"/>
    <w:rsid w:val="00BC61F5"/>
    <w:rsid w:val="00BC7DE4"/>
    <w:rsid w:val="00BD0803"/>
    <w:rsid w:val="00BD0CF3"/>
    <w:rsid w:val="00BD329E"/>
    <w:rsid w:val="00BD3646"/>
    <w:rsid w:val="00BD5496"/>
    <w:rsid w:val="00BE1EE7"/>
    <w:rsid w:val="00BE31EF"/>
    <w:rsid w:val="00BF4302"/>
    <w:rsid w:val="00BF65BA"/>
    <w:rsid w:val="00C00164"/>
    <w:rsid w:val="00C04F37"/>
    <w:rsid w:val="00C05CC8"/>
    <w:rsid w:val="00C14969"/>
    <w:rsid w:val="00C1654B"/>
    <w:rsid w:val="00C16AD3"/>
    <w:rsid w:val="00C16E50"/>
    <w:rsid w:val="00C177A0"/>
    <w:rsid w:val="00C33966"/>
    <w:rsid w:val="00C35E89"/>
    <w:rsid w:val="00C4169B"/>
    <w:rsid w:val="00C43A67"/>
    <w:rsid w:val="00C53977"/>
    <w:rsid w:val="00C562F4"/>
    <w:rsid w:val="00C62B9F"/>
    <w:rsid w:val="00C65992"/>
    <w:rsid w:val="00C7079F"/>
    <w:rsid w:val="00C827E6"/>
    <w:rsid w:val="00C87DA1"/>
    <w:rsid w:val="00C901A8"/>
    <w:rsid w:val="00C910E8"/>
    <w:rsid w:val="00C94DF5"/>
    <w:rsid w:val="00C95F4F"/>
    <w:rsid w:val="00CA20A5"/>
    <w:rsid w:val="00CB07CA"/>
    <w:rsid w:val="00CC0B4C"/>
    <w:rsid w:val="00CC1E74"/>
    <w:rsid w:val="00CC2D6B"/>
    <w:rsid w:val="00CC4912"/>
    <w:rsid w:val="00CD4C69"/>
    <w:rsid w:val="00CD7A00"/>
    <w:rsid w:val="00CE3681"/>
    <w:rsid w:val="00CE4715"/>
    <w:rsid w:val="00CE55C6"/>
    <w:rsid w:val="00CE72D5"/>
    <w:rsid w:val="00CE7F91"/>
    <w:rsid w:val="00CF0FF0"/>
    <w:rsid w:val="00CF11A2"/>
    <w:rsid w:val="00CF37B7"/>
    <w:rsid w:val="00CF5B69"/>
    <w:rsid w:val="00CF66B6"/>
    <w:rsid w:val="00CF7E05"/>
    <w:rsid w:val="00D0173D"/>
    <w:rsid w:val="00D02911"/>
    <w:rsid w:val="00D02995"/>
    <w:rsid w:val="00D0432B"/>
    <w:rsid w:val="00D05732"/>
    <w:rsid w:val="00D13550"/>
    <w:rsid w:val="00D15C8A"/>
    <w:rsid w:val="00D20271"/>
    <w:rsid w:val="00D214BB"/>
    <w:rsid w:val="00D23144"/>
    <w:rsid w:val="00D37192"/>
    <w:rsid w:val="00D37354"/>
    <w:rsid w:val="00D42B95"/>
    <w:rsid w:val="00D441C5"/>
    <w:rsid w:val="00D5012C"/>
    <w:rsid w:val="00D50977"/>
    <w:rsid w:val="00D53E69"/>
    <w:rsid w:val="00D618D2"/>
    <w:rsid w:val="00D65F48"/>
    <w:rsid w:val="00D70C12"/>
    <w:rsid w:val="00D767E7"/>
    <w:rsid w:val="00D77B50"/>
    <w:rsid w:val="00D840FB"/>
    <w:rsid w:val="00D86A9F"/>
    <w:rsid w:val="00D90B92"/>
    <w:rsid w:val="00D91CA7"/>
    <w:rsid w:val="00D93A47"/>
    <w:rsid w:val="00D953FD"/>
    <w:rsid w:val="00DA20F6"/>
    <w:rsid w:val="00DA39CE"/>
    <w:rsid w:val="00DA4DEC"/>
    <w:rsid w:val="00DA600B"/>
    <w:rsid w:val="00DA6694"/>
    <w:rsid w:val="00DB087A"/>
    <w:rsid w:val="00DB0B05"/>
    <w:rsid w:val="00DB1DC6"/>
    <w:rsid w:val="00DB2128"/>
    <w:rsid w:val="00DB560B"/>
    <w:rsid w:val="00DB6D23"/>
    <w:rsid w:val="00DC0EC4"/>
    <w:rsid w:val="00DC1ABC"/>
    <w:rsid w:val="00DC237C"/>
    <w:rsid w:val="00DE563F"/>
    <w:rsid w:val="00DF18F9"/>
    <w:rsid w:val="00DF1F44"/>
    <w:rsid w:val="00DF53B4"/>
    <w:rsid w:val="00DF71FF"/>
    <w:rsid w:val="00E0769C"/>
    <w:rsid w:val="00E10957"/>
    <w:rsid w:val="00E179D4"/>
    <w:rsid w:val="00E17CB1"/>
    <w:rsid w:val="00E222B3"/>
    <w:rsid w:val="00E26156"/>
    <w:rsid w:val="00E3081E"/>
    <w:rsid w:val="00E329E8"/>
    <w:rsid w:val="00E34DF8"/>
    <w:rsid w:val="00E35EF2"/>
    <w:rsid w:val="00E36244"/>
    <w:rsid w:val="00E36B0C"/>
    <w:rsid w:val="00E46A50"/>
    <w:rsid w:val="00E50D56"/>
    <w:rsid w:val="00E6044C"/>
    <w:rsid w:val="00E60D52"/>
    <w:rsid w:val="00E6760B"/>
    <w:rsid w:val="00E717A1"/>
    <w:rsid w:val="00E7429B"/>
    <w:rsid w:val="00E75097"/>
    <w:rsid w:val="00E752C4"/>
    <w:rsid w:val="00E763D3"/>
    <w:rsid w:val="00E76618"/>
    <w:rsid w:val="00E82210"/>
    <w:rsid w:val="00E82262"/>
    <w:rsid w:val="00E9038F"/>
    <w:rsid w:val="00E92275"/>
    <w:rsid w:val="00E926BA"/>
    <w:rsid w:val="00E95D25"/>
    <w:rsid w:val="00EA30C4"/>
    <w:rsid w:val="00EA3A51"/>
    <w:rsid w:val="00EB43D5"/>
    <w:rsid w:val="00EB4A42"/>
    <w:rsid w:val="00EB53FD"/>
    <w:rsid w:val="00EC3771"/>
    <w:rsid w:val="00EC3C01"/>
    <w:rsid w:val="00ED0C60"/>
    <w:rsid w:val="00ED2F00"/>
    <w:rsid w:val="00ED5558"/>
    <w:rsid w:val="00EE6786"/>
    <w:rsid w:val="00EF203B"/>
    <w:rsid w:val="00EF5DA2"/>
    <w:rsid w:val="00F002EC"/>
    <w:rsid w:val="00F0187C"/>
    <w:rsid w:val="00F12845"/>
    <w:rsid w:val="00F12D87"/>
    <w:rsid w:val="00F1774F"/>
    <w:rsid w:val="00F211A1"/>
    <w:rsid w:val="00F22CEA"/>
    <w:rsid w:val="00F2423A"/>
    <w:rsid w:val="00F271C2"/>
    <w:rsid w:val="00F30145"/>
    <w:rsid w:val="00F446E7"/>
    <w:rsid w:val="00F44749"/>
    <w:rsid w:val="00F45A40"/>
    <w:rsid w:val="00F46B34"/>
    <w:rsid w:val="00F46F80"/>
    <w:rsid w:val="00F4789E"/>
    <w:rsid w:val="00F515DA"/>
    <w:rsid w:val="00F52F68"/>
    <w:rsid w:val="00F54BED"/>
    <w:rsid w:val="00F62B92"/>
    <w:rsid w:val="00F84B55"/>
    <w:rsid w:val="00F8682A"/>
    <w:rsid w:val="00F90450"/>
    <w:rsid w:val="00F95BEE"/>
    <w:rsid w:val="00FA00DE"/>
    <w:rsid w:val="00FA015F"/>
    <w:rsid w:val="00FA55E0"/>
    <w:rsid w:val="00FB2492"/>
    <w:rsid w:val="00FB4FF5"/>
    <w:rsid w:val="00FB6270"/>
    <w:rsid w:val="00FB75C5"/>
    <w:rsid w:val="00FC374D"/>
    <w:rsid w:val="00FD2AAF"/>
    <w:rsid w:val="00FD3FAD"/>
    <w:rsid w:val="00FD67ED"/>
    <w:rsid w:val="00FD6ACF"/>
    <w:rsid w:val="00FF076B"/>
    <w:rsid w:val="00FF31E7"/>
    <w:rsid w:val="00FF4E74"/>
    <w:rsid w:val="00FF54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9AC63"/>
  <w15:docId w15:val="{AD3E1DDE-DE2A-41D3-89C7-0C3D72BB1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450"/>
    <w:pPr>
      <w:spacing w:after="80" w:line="240" w:lineRule="auto"/>
      <w:ind w:firstLine="284"/>
      <w:jc w:val="both"/>
    </w:pPr>
    <w:rPr>
      <w:rFonts w:ascii="Times New Roman" w:hAnsi="Times New Roman"/>
      <w:sz w:val="20"/>
    </w:rPr>
  </w:style>
  <w:style w:type="paragraph" w:styleId="Ttulo1">
    <w:name w:val="heading 1"/>
    <w:basedOn w:val="Normal"/>
    <w:next w:val="Textoindependiente"/>
    <w:link w:val="Ttulo1Car"/>
    <w:qFormat/>
    <w:rsid w:val="00FC374D"/>
    <w:pPr>
      <w:suppressAutoHyphens/>
      <w:spacing w:before="160" w:after="160"/>
      <w:jc w:val="center"/>
      <w:outlineLvl w:val="0"/>
    </w:pPr>
    <w:rPr>
      <w:rFonts w:eastAsia="Times New Roman" w:cs="Times New Roman"/>
      <w:b/>
      <w:bCs/>
      <w:kern w:val="1"/>
      <w:szCs w:val="48"/>
      <w:lang w:val="es-ES" w:eastAsia="ar-SA"/>
    </w:rPr>
  </w:style>
  <w:style w:type="paragraph" w:styleId="Ttulo2">
    <w:name w:val="heading 2"/>
    <w:basedOn w:val="Normal"/>
    <w:next w:val="Normal"/>
    <w:link w:val="Ttulo2Car"/>
    <w:unhideWhenUsed/>
    <w:qFormat/>
    <w:rsid w:val="00FC374D"/>
    <w:pPr>
      <w:keepNext/>
      <w:keepLines/>
      <w:spacing w:before="8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ar"/>
    <w:unhideWhenUsed/>
    <w:qFormat/>
    <w:rsid w:val="008D2256"/>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8D225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C374D"/>
    <w:rPr>
      <w:rFonts w:ascii="Times New Roman" w:eastAsia="Times New Roman" w:hAnsi="Times New Roman" w:cs="Times New Roman"/>
      <w:b/>
      <w:bCs/>
      <w:kern w:val="1"/>
      <w:sz w:val="20"/>
      <w:szCs w:val="48"/>
      <w:lang w:val="es-ES" w:eastAsia="ar-SA"/>
    </w:rPr>
  </w:style>
  <w:style w:type="paragraph" w:styleId="Sinespaciado">
    <w:name w:val="No Spacing"/>
    <w:uiPriority w:val="1"/>
    <w:qFormat/>
    <w:rsid w:val="00F12D87"/>
    <w:pPr>
      <w:spacing w:after="0" w:line="240" w:lineRule="auto"/>
    </w:pPr>
    <w:rPr>
      <w:lang w:val="es-ES"/>
    </w:rPr>
  </w:style>
  <w:style w:type="character" w:styleId="Hipervnculo">
    <w:name w:val="Hyperlink"/>
    <w:basedOn w:val="Fuentedeprrafopredeter"/>
    <w:uiPriority w:val="99"/>
    <w:unhideWhenUsed/>
    <w:rsid w:val="00F12D87"/>
    <w:rPr>
      <w:color w:val="0000FF" w:themeColor="hyperlink"/>
      <w:u w:val="single"/>
    </w:rPr>
  </w:style>
  <w:style w:type="paragraph" w:styleId="Prrafodelista">
    <w:name w:val="List Paragraph"/>
    <w:basedOn w:val="Normal"/>
    <w:link w:val="PrrafodelistaCar"/>
    <w:uiPriority w:val="34"/>
    <w:qFormat/>
    <w:rsid w:val="00F12D87"/>
    <w:pPr>
      <w:ind w:left="720"/>
      <w:contextualSpacing/>
    </w:pPr>
  </w:style>
  <w:style w:type="character" w:customStyle="1" w:styleId="PrrafodelistaCar">
    <w:name w:val="Párrafo de lista Car"/>
    <w:link w:val="Prrafodelista"/>
    <w:uiPriority w:val="34"/>
    <w:locked/>
    <w:rsid w:val="00F12D87"/>
  </w:style>
  <w:style w:type="paragraph" w:styleId="Textoindependiente">
    <w:name w:val="Body Text"/>
    <w:basedOn w:val="Normal"/>
    <w:link w:val="TextoindependienteCar"/>
    <w:uiPriority w:val="99"/>
    <w:unhideWhenUsed/>
    <w:rsid w:val="00F12D87"/>
    <w:pPr>
      <w:spacing w:after="120"/>
    </w:pPr>
  </w:style>
  <w:style w:type="character" w:customStyle="1" w:styleId="TextoindependienteCar">
    <w:name w:val="Texto independiente Car"/>
    <w:basedOn w:val="Fuentedeprrafopredeter"/>
    <w:link w:val="Textoindependiente"/>
    <w:uiPriority w:val="99"/>
    <w:rsid w:val="00F12D87"/>
  </w:style>
  <w:style w:type="paragraph" w:styleId="Encabezado">
    <w:name w:val="header"/>
    <w:basedOn w:val="Normal"/>
    <w:link w:val="EncabezadoCar"/>
    <w:uiPriority w:val="99"/>
    <w:unhideWhenUsed/>
    <w:rsid w:val="001768C1"/>
    <w:pPr>
      <w:tabs>
        <w:tab w:val="center" w:pos="4419"/>
        <w:tab w:val="right" w:pos="8838"/>
      </w:tabs>
      <w:spacing w:after="0"/>
    </w:pPr>
  </w:style>
  <w:style w:type="character" w:customStyle="1" w:styleId="EncabezadoCar">
    <w:name w:val="Encabezado Car"/>
    <w:basedOn w:val="Fuentedeprrafopredeter"/>
    <w:link w:val="Encabezado"/>
    <w:uiPriority w:val="99"/>
    <w:rsid w:val="001768C1"/>
  </w:style>
  <w:style w:type="paragraph" w:styleId="Piedepgina">
    <w:name w:val="footer"/>
    <w:basedOn w:val="Normal"/>
    <w:link w:val="PiedepginaCar"/>
    <w:uiPriority w:val="99"/>
    <w:unhideWhenUsed/>
    <w:rsid w:val="001768C1"/>
    <w:pPr>
      <w:tabs>
        <w:tab w:val="center" w:pos="4419"/>
        <w:tab w:val="right" w:pos="8838"/>
      </w:tabs>
      <w:spacing w:after="0"/>
    </w:pPr>
  </w:style>
  <w:style w:type="character" w:customStyle="1" w:styleId="PiedepginaCar">
    <w:name w:val="Pie de página Car"/>
    <w:basedOn w:val="Fuentedeprrafopredeter"/>
    <w:link w:val="Piedepgina"/>
    <w:uiPriority w:val="99"/>
    <w:rsid w:val="001768C1"/>
  </w:style>
  <w:style w:type="paragraph" w:styleId="Textodeglobo">
    <w:name w:val="Balloon Text"/>
    <w:basedOn w:val="Normal"/>
    <w:link w:val="TextodegloboCar"/>
    <w:uiPriority w:val="99"/>
    <w:semiHidden/>
    <w:unhideWhenUsed/>
    <w:rsid w:val="001768C1"/>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68C1"/>
    <w:rPr>
      <w:rFonts w:ascii="Tahoma" w:hAnsi="Tahoma" w:cs="Tahoma"/>
      <w:sz w:val="16"/>
      <w:szCs w:val="16"/>
    </w:rPr>
  </w:style>
  <w:style w:type="paragraph" w:styleId="Textonotapie">
    <w:name w:val="footnote text"/>
    <w:basedOn w:val="Normal"/>
    <w:link w:val="TextonotapieCar"/>
    <w:uiPriority w:val="99"/>
    <w:unhideWhenUsed/>
    <w:rsid w:val="00B641BE"/>
    <w:pPr>
      <w:spacing w:after="0"/>
    </w:pPr>
    <w:rPr>
      <w:szCs w:val="20"/>
    </w:rPr>
  </w:style>
  <w:style w:type="character" w:customStyle="1" w:styleId="TextonotapieCar">
    <w:name w:val="Texto nota pie Car"/>
    <w:basedOn w:val="Fuentedeprrafopredeter"/>
    <w:link w:val="Textonotapie"/>
    <w:uiPriority w:val="99"/>
    <w:rsid w:val="00B641BE"/>
    <w:rPr>
      <w:sz w:val="20"/>
      <w:szCs w:val="20"/>
    </w:rPr>
  </w:style>
  <w:style w:type="character" w:styleId="Refdenotaalpie">
    <w:name w:val="footnote reference"/>
    <w:basedOn w:val="Fuentedeprrafopredeter"/>
    <w:uiPriority w:val="99"/>
    <w:unhideWhenUsed/>
    <w:rsid w:val="00B641BE"/>
    <w:rPr>
      <w:vertAlign w:val="superscript"/>
    </w:rPr>
  </w:style>
  <w:style w:type="character" w:styleId="Refdecomentario">
    <w:name w:val="annotation reference"/>
    <w:basedOn w:val="Fuentedeprrafopredeter"/>
    <w:uiPriority w:val="99"/>
    <w:semiHidden/>
    <w:unhideWhenUsed/>
    <w:rsid w:val="00A949FE"/>
    <w:rPr>
      <w:sz w:val="16"/>
      <w:szCs w:val="16"/>
    </w:rPr>
  </w:style>
  <w:style w:type="paragraph" w:styleId="Textocomentario">
    <w:name w:val="annotation text"/>
    <w:basedOn w:val="Normal"/>
    <w:link w:val="TextocomentarioCar"/>
    <w:uiPriority w:val="99"/>
    <w:unhideWhenUsed/>
    <w:rsid w:val="00A949FE"/>
    <w:rPr>
      <w:szCs w:val="20"/>
    </w:rPr>
  </w:style>
  <w:style w:type="character" w:customStyle="1" w:styleId="TextocomentarioCar">
    <w:name w:val="Texto comentario Car"/>
    <w:basedOn w:val="Fuentedeprrafopredeter"/>
    <w:link w:val="Textocomentario"/>
    <w:uiPriority w:val="99"/>
    <w:rsid w:val="00A949FE"/>
    <w:rPr>
      <w:sz w:val="20"/>
      <w:szCs w:val="20"/>
    </w:rPr>
  </w:style>
  <w:style w:type="paragraph" w:styleId="Asuntodelcomentario">
    <w:name w:val="annotation subject"/>
    <w:basedOn w:val="Textocomentario"/>
    <w:next w:val="Textocomentario"/>
    <w:link w:val="AsuntodelcomentarioCar"/>
    <w:uiPriority w:val="99"/>
    <w:semiHidden/>
    <w:unhideWhenUsed/>
    <w:rsid w:val="00A949FE"/>
    <w:rPr>
      <w:b/>
      <w:bCs/>
    </w:rPr>
  </w:style>
  <w:style w:type="character" w:customStyle="1" w:styleId="AsuntodelcomentarioCar">
    <w:name w:val="Asunto del comentario Car"/>
    <w:basedOn w:val="TextocomentarioCar"/>
    <w:link w:val="Asuntodelcomentario"/>
    <w:uiPriority w:val="99"/>
    <w:semiHidden/>
    <w:rsid w:val="00A949FE"/>
    <w:rPr>
      <w:b/>
      <w:bCs/>
      <w:sz w:val="20"/>
      <w:szCs w:val="20"/>
    </w:rPr>
  </w:style>
  <w:style w:type="character" w:customStyle="1" w:styleId="Ttulo2Car">
    <w:name w:val="Título 2 Car"/>
    <w:basedOn w:val="Fuentedeprrafopredeter"/>
    <w:link w:val="Ttulo2"/>
    <w:rsid w:val="00FC374D"/>
    <w:rPr>
      <w:rFonts w:asciiTheme="majorHAnsi" w:eastAsiaTheme="majorEastAsia" w:hAnsiTheme="majorHAnsi" w:cstheme="majorBidi"/>
      <w:b/>
      <w:bCs/>
      <w:sz w:val="20"/>
      <w:szCs w:val="26"/>
    </w:rPr>
  </w:style>
  <w:style w:type="paragraph" w:customStyle="1" w:styleId="IEEENormal">
    <w:name w:val="IEEE Normal"/>
    <w:link w:val="IEEENormalCar"/>
    <w:qFormat/>
    <w:rsid w:val="001A23DB"/>
    <w:pPr>
      <w:spacing w:after="120" w:line="240" w:lineRule="auto"/>
      <w:ind w:firstLine="289"/>
      <w:jc w:val="both"/>
    </w:pPr>
    <w:rPr>
      <w:rFonts w:ascii="Times New Roman" w:eastAsia="Calibri" w:hAnsi="Times New Roman" w:cs="Times New Roman"/>
      <w:sz w:val="20"/>
    </w:rPr>
  </w:style>
  <w:style w:type="character" w:customStyle="1" w:styleId="IEEENormalCar">
    <w:name w:val="IEEE Normal Car"/>
    <w:basedOn w:val="TextoindependienteCar"/>
    <w:link w:val="IEEENormal"/>
    <w:rsid w:val="001A23DB"/>
    <w:rPr>
      <w:rFonts w:ascii="Times New Roman" w:eastAsia="Calibri" w:hAnsi="Times New Roman" w:cs="Times New Roman"/>
      <w:sz w:val="20"/>
    </w:rPr>
  </w:style>
  <w:style w:type="paragraph" w:customStyle="1" w:styleId="IEEETitulo">
    <w:name w:val="IEEE Titulo"/>
    <w:basedOn w:val="IEEENormal"/>
    <w:next w:val="Normal"/>
    <w:qFormat/>
    <w:rsid w:val="008D2256"/>
    <w:pPr>
      <w:numPr>
        <w:numId w:val="5"/>
      </w:numPr>
      <w:jc w:val="center"/>
      <w:outlineLvl w:val="0"/>
    </w:pPr>
    <w:rPr>
      <w:rFonts w:eastAsia="MS Mincho"/>
      <w:noProof/>
      <w:sz w:val="48"/>
      <w:szCs w:val="48"/>
    </w:rPr>
  </w:style>
  <w:style w:type="paragraph" w:customStyle="1" w:styleId="IEEETitulo1">
    <w:name w:val="IEEE Titulo 1"/>
    <w:basedOn w:val="Ttulo1"/>
    <w:next w:val="IEEENormal"/>
    <w:link w:val="IEEETitulo1Car"/>
    <w:qFormat/>
    <w:rsid w:val="008D2256"/>
    <w:pPr>
      <w:keepNext/>
      <w:keepLines/>
      <w:numPr>
        <w:ilvl w:val="1"/>
        <w:numId w:val="5"/>
      </w:numPr>
      <w:tabs>
        <w:tab w:val="left" w:pos="216"/>
      </w:tabs>
      <w:suppressAutoHyphens w:val="0"/>
      <w:spacing w:before="120" w:after="120"/>
      <w:outlineLvl w:val="1"/>
    </w:pPr>
    <w:rPr>
      <w:rFonts w:eastAsia="SimSun"/>
      <w:b w:val="0"/>
      <w:bCs w:val="0"/>
      <w:smallCaps/>
      <w:noProof/>
      <w:kern w:val="0"/>
      <w:szCs w:val="20"/>
      <w:lang w:val="es-CO" w:eastAsia="en-US"/>
    </w:rPr>
  </w:style>
  <w:style w:type="paragraph" w:customStyle="1" w:styleId="IEEETitulo2">
    <w:name w:val="IEEE Titulo 2"/>
    <w:basedOn w:val="Ttulo2"/>
    <w:link w:val="IEEETitulo2Car"/>
    <w:qFormat/>
    <w:rsid w:val="008D2256"/>
    <w:pPr>
      <w:numPr>
        <w:ilvl w:val="2"/>
        <w:numId w:val="5"/>
      </w:numPr>
      <w:spacing w:before="120" w:after="120"/>
      <w:ind w:left="289" w:firstLine="0"/>
      <w:outlineLvl w:val="2"/>
    </w:pPr>
    <w:rPr>
      <w:rFonts w:ascii="Times New Roman" w:eastAsia="SimSun" w:hAnsi="Times New Roman" w:cs="Times New Roman"/>
      <w:b w:val="0"/>
      <w:bCs w:val="0"/>
      <w:i/>
      <w:iCs/>
      <w:noProof/>
      <w:szCs w:val="20"/>
    </w:rPr>
  </w:style>
  <w:style w:type="paragraph" w:customStyle="1" w:styleId="IEEETitulo3">
    <w:name w:val="IEEE Titulo 3"/>
    <w:basedOn w:val="Ttulo3"/>
    <w:next w:val="IEEENormal"/>
    <w:link w:val="IEEETitulo3Car"/>
    <w:qFormat/>
    <w:rsid w:val="008D2256"/>
    <w:pPr>
      <w:keepNext w:val="0"/>
      <w:keepLines w:val="0"/>
      <w:numPr>
        <w:ilvl w:val="3"/>
        <w:numId w:val="5"/>
      </w:numPr>
      <w:tabs>
        <w:tab w:val="num" w:pos="360"/>
      </w:tabs>
      <w:spacing w:before="120" w:after="120"/>
      <w:ind w:left="346" w:firstLine="0"/>
      <w:outlineLvl w:val="3"/>
    </w:pPr>
    <w:rPr>
      <w:rFonts w:ascii="Times New Roman" w:eastAsia="SimSun" w:hAnsi="Times New Roman" w:cs="Times New Roman"/>
      <w:b w:val="0"/>
      <w:bCs w:val="0"/>
      <w:i/>
      <w:iCs/>
      <w:noProof/>
      <w:color w:val="auto"/>
      <w:szCs w:val="20"/>
    </w:rPr>
  </w:style>
  <w:style w:type="paragraph" w:customStyle="1" w:styleId="IEEETitulo4">
    <w:name w:val="IEEE Titulo 4"/>
    <w:basedOn w:val="Ttulo4"/>
    <w:next w:val="IEEENormal"/>
    <w:link w:val="IEEETitulo4Car"/>
    <w:qFormat/>
    <w:rsid w:val="008D2256"/>
    <w:pPr>
      <w:keepNext w:val="0"/>
      <w:keepLines w:val="0"/>
      <w:numPr>
        <w:ilvl w:val="4"/>
        <w:numId w:val="5"/>
      </w:numPr>
      <w:spacing w:before="120" w:after="120"/>
      <w:ind w:left="403" w:firstLine="0"/>
      <w:outlineLvl w:val="4"/>
    </w:pPr>
    <w:rPr>
      <w:rFonts w:ascii="Times New Roman" w:eastAsia="Calibri" w:hAnsi="Times New Roman" w:cs="Times New Roman"/>
      <w:b w:val="0"/>
      <w:bCs w:val="0"/>
      <w:noProof/>
    </w:rPr>
  </w:style>
  <w:style w:type="character" w:customStyle="1" w:styleId="IEEETitulo4Car">
    <w:name w:val="IEEE Titulo 4 Car"/>
    <w:basedOn w:val="Ttulo4Car"/>
    <w:link w:val="IEEETitulo4"/>
    <w:rsid w:val="008D2256"/>
    <w:rPr>
      <w:rFonts w:ascii="Times New Roman" w:eastAsia="Calibri" w:hAnsi="Times New Roman" w:cs="Times New Roman"/>
      <w:b w:val="0"/>
      <w:bCs w:val="0"/>
      <w:i/>
      <w:iCs/>
      <w:noProof/>
      <w:color w:val="4F81BD" w:themeColor="accent1"/>
      <w:sz w:val="20"/>
    </w:rPr>
  </w:style>
  <w:style w:type="character" w:customStyle="1" w:styleId="Ttulo3Car">
    <w:name w:val="Título 3 Car"/>
    <w:basedOn w:val="Fuentedeprrafopredeter"/>
    <w:link w:val="Ttulo3"/>
    <w:uiPriority w:val="9"/>
    <w:semiHidden/>
    <w:rsid w:val="008D2256"/>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8D2256"/>
    <w:rPr>
      <w:rFonts w:asciiTheme="majorHAnsi" w:eastAsiaTheme="majorEastAsia" w:hAnsiTheme="majorHAnsi" w:cstheme="majorBidi"/>
      <w:b/>
      <w:bCs/>
      <w:i/>
      <w:iCs/>
      <w:color w:val="4F81BD" w:themeColor="accent1"/>
    </w:rPr>
  </w:style>
  <w:style w:type="character" w:customStyle="1" w:styleId="IEEETitulo2Car">
    <w:name w:val="IEEE Titulo 2 Car"/>
    <w:basedOn w:val="Ttulo2Car"/>
    <w:link w:val="IEEETitulo2"/>
    <w:rsid w:val="0007383D"/>
    <w:rPr>
      <w:rFonts w:ascii="Times New Roman" w:eastAsia="SimSun" w:hAnsi="Times New Roman" w:cs="Times New Roman"/>
      <w:b w:val="0"/>
      <w:bCs w:val="0"/>
      <w:i/>
      <w:iCs/>
      <w:noProof/>
      <w:color w:val="4F81BD" w:themeColor="accent1"/>
      <w:sz w:val="20"/>
      <w:szCs w:val="20"/>
    </w:rPr>
  </w:style>
  <w:style w:type="character" w:customStyle="1" w:styleId="IEEETitulo3Car">
    <w:name w:val="IEEE Titulo 3 Car"/>
    <w:basedOn w:val="Ttulo3Car"/>
    <w:link w:val="IEEETitulo3"/>
    <w:rsid w:val="0007383D"/>
    <w:rPr>
      <w:rFonts w:ascii="Times New Roman" w:eastAsia="SimSun" w:hAnsi="Times New Roman" w:cs="Times New Roman"/>
      <w:b w:val="0"/>
      <w:bCs w:val="0"/>
      <w:i/>
      <w:iCs/>
      <w:noProof/>
      <w:color w:val="4F81BD" w:themeColor="accent1"/>
      <w:sz w:val="20"/>
      <w:szCs w:val="20"/>
    </w:rPr>
  </w:style>
  <w:style w:type="character" w:customStyle="1" w:styleId="IEEETitulo1Car">
    <w:name w:val="IEEE Titulo 1 Car"/>
    <w:basedOn w:val="Ttulo1Car"/>
    <w:link w:val="IEEETitulo1"/>
    <w:rsid w:val="00B008A8"/>
    <w:rPr>
      <w:rFonts w:ascii="Times New Roman" w:eastAsia="SimSun" w:hAnsi="Times New Roman" w:cs="Times New Roman"/>
      <w:b w:val="0"/>
      <w:bCs w:val="0"/>
      <w:smallCaps/>
      <w:noProof/>
      <w:kern w:val="1"/>
      <w:sz w:val="20"/>
      <w:szCs w:val="20"/>
      <w:lang w:val="es-ES" w:eastAsia="ar-SA"/>
    </w:rPr>
  </w:style>
  <w:style w:type="paragraph" w:customStyle="1" w:styleId="IEEEReferencias">
    <w:name w:val="IEEE Referencias"/>
    <w:basedOn w:val="IEEENormal"/>
    <w:link w:val="IEEEReferenciasCar"/>
    <w:qFormat/>
    <w:rsid w:val="00614BE5"/>
    <w:pPr>
      <w:spacing w:after="0"/>
      <w:ind w:firstLine="0"/>
    </w:pPr>
    <w:rPr>
      <w:sz w:val="16"/>
    </w:rPr>
  </w:style>
  <w:style w:type="character" w:customStyle="1" w:styleId="IEEEReferenciasCar">
    <w:name w:val="IEEE Referencias Car"/>
    <w:basedOn w:val="IEEENormalCar"/>
    <w:link w:val="IEEEReferencias"/>
    <w:rsid w:val="00614BE5"/>
    <w:rPr>
      <w:rFonts w:ascii="Times New Roman" w:eastAsia="Calibri" w:hAnsi="Times New Roman" w:cs="Times New Roman"/>
      <w:sz w:val="16"/>
    </w:rPr>
  </w:style>
  <w:style w:type="character" w:customStyle="1" w:styleId="apple-converted-space">
    <w:name w:val="apple-converted-space"/>
    <w:basedOn w:val="Fuentedeprrafopredeter"/>
    <w:rsid w:val="007529A1"/>
  </w:style>
  <w:style w:type="character" w:styleId="Fuerte">
    <w:name w:val="Strong"/>
    <w:basedOn w:val="Fuentedeprrafopredeter"/>
    <w:uiPriority w:val="22"/>
    <w:qFormat/>
    <w:rsid w:val="00CD4C69"/>
    <w:rPr>
      <w:b/>
      <w:bCs/>
    </w:rPr>
  </w:style>
  <w:style w:type="paragraph" w:customStyle="1" w:styleId="Abstract">
    <w:name w:val="Abstract"/>
    <w:basedOn w:val="Normal"/>
    <w:next w:val="Normal"/>
    <w:rsid w:val="002E6AF7"/>
    <w:pPr>
      <w:spacing w:before="20" w:after="0" w:line="252" w:lineRule="auto"/>
      <w:ind w:firstLine="240"/>
    </w:pPr>
    <w:rPr>
      <w:rFonts w:eastAsia="Times New Roman" w:cs="Times New Roman"/>
      <w:b/>
      <w:sz w:val="18"/>
      <w:szCs w:val="20"/>
      <w:lang w:val="en-US"/>
    </w:rPr>
  </w:style>
  <w:style w:type="paragraph" w:customStyle="1" w:styleId="Predeterminado">
    <w:name w:val="Predeterminado"/>
    <w:rsid w:val="002E6AF7"/>
    <w:pPr>
      <w:tabs>
        <w:tab w:val="left" w:pos="709"/>
      </w:tabs>
      <w:suppressAutoHyphens/>
      <w:spacing w:line="276" w:lineRule="atLeast"/>
    </w:pPr>
    <w:rPr>
      <w:rFonts w:ascii="Calibri" w:eastAsia="DejaVu Sans" w:hAnsi="Calibri" w:cs="Times New Roman"/>
      <w:lang w:eastAsia="ja-JP" w:bidi="he-IL"/>
    </w:rPr>
  </w:style>
  <w:style w:type="paragraph" w:customStyle="1" w:styleId="Text">
    <w:name w:val="Text"/>
    <w:basedOn w:val="Normal"/>
    <w:rsid w:val="001D0485"/>
    <w:pPr>
      <w:widowControl w:val="0"/>
      <w:spacing w:after="0" w:line="252" w:lineRule="auto"/>
      <w:ind w:firstLine="240"/>
    </w:pPr>
    <w:rPr>
      <w:rFonts w:eastAsia="Times New Roman" w:cs="Times New Roman"/>
      <w:szCs w:val="20"/>
      <w:lang w:val="en-US"/>
    </w:rPr>
  </w:style>
  <w:style w:type="paragraph" w:styleId="Textoindependiente2">
    <w:name w:val="Body Text 2"/>
    <w:basedOn w:val="Normal"/>
    <w:link w:val="Textoindependiente2Car"/>
    <w:uiPriority w:val="99"/>
    <w:semiHidden/>
    <w:unhideWhenUsed/>
    <w:rsid w:val="001D0485"/>
    <w:pPr>
      <w:spacing w:after="120" w:line="480" w:lineRule="auto"/>
    </w:pPr>
  </w:style>
  <w:style w:type="character" w:customStyle="1" w:styleId="Textoindependiente2Car">
    <w:name w:val="Texto independiente 2 Car"/>
    <w:basedOn w:val="Fuentedeprrafopredeter"/>
    <w:link w:val="Textoindependiente2"/>
    <w:uiPriority w:val="99"/>
    <w:semiHidden/>
    <w:rsid w:val="001D0485"/>
  </w:style>
  <w:style w:type="paragraph" w:styleId="NormalWeb">
    <w:name w:val="Normal (Web)"/>
    <w:basedOn w:val="Normal"/>
    <w:uiPriority w:val="99"/>
    <w:rsid w:val="001D0485"/>
    <w:pPr>
      <w:spacing w:before="100" w:beforeAutospacing="1" w:after="100" w:afterAutospacing="1" w:line="252" w:lineRule="auto"/>
    </w:pPr>
    <w:rPr>
      <w:rFonts w:eastAsia="Times New Roman" w:cs="Times New Roman"/>
      <w:color w:val="000000"/>
      <w:sz w:val="24"/>
      <w:szCs w:val="24"/>
      <w:lang w:val="es-ES" w:eastAsia="es-ES"/>
    </w:rPr>
  </w:style>
  <w:style w:type="paragraph" w:customStyle="1" w:styleId="textonormal">
    <w:name w:val="texto_normal"/>
    <w:basedOn w:val="Normal"/>
    <w:rsid w:val="001D0485"/>
    <w:pPr>
      <w:spacing w:before="100" w:beforeAutospacing="1" w:after="100" w:afterAutospacing="1"/>
    </w:pPr>
    <w:rPr>
      <w:rFonts w:ascii="Verdana" w:eastAsia="Times New Roman" w:hAnsi="Verdana" w:cs="Times New Roman"/>
      <w:color w:val="666666"/>
      <w:szCs w:val="20"/>
      <w:lang w:val="es-ES" w:eastAsia="es-ES"/>
    </w:rPr>
  </w:style>
  <w:style w:type="table" w:styleId="Tablaconcuadrcula">
    <w:name w:val="Table Grid"/>
    <w:basedOn w:val="Tablanormal"/>
    <w:uiPriority w:val="59"/>
    <w:rsid w:val="001D0485"/>
    <w:pPr>
      <w:spacing w:after="0" w:line="240" w:lineRule="auto"/>
    </w:pPr>
    <w:rPr>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eferences">
    <w:name w:val="References"/>
    <w:basedOn w:val="Listaconnmeros"/>
    <w:rsid w:val="00845879"/>
    <w:pPr>
      <w:spacing w:after="0"/>
      <w:ind w:left="720"/>
      <w:contextualSpacing w:val="0"/>
    </w:pPr>
    <w:rPr>
      <w:rFonts w:eastAsia="Times New Roman" w:cs="Times New Roman"/>
      <w:sz w:val="16"/>
      <w:szCs w:val="20"/>
      <w:lang w:val="en-US"/>
    </w:rPr>
  </w:style>
  <w:style w:type="paragraph" w:styleId="Listaconnmeros">
    <w:name w:val="List Number"/>
    <w:basedOn w:val="Normal"/>
    <w:uiPriority w:val="99"/>
    <w:semiHidden/>
    <w:unhideWhenUsed/>
    <w:rsid w:val="00845879"/>
    <w:pPr>
      <w:tabs>
        <w:tab w:val="num" w:pos="502"/>
      </w:tabs>
      <w:ind w:left="502" w:hanging="360"/>
      <w:contextualSpacing/>
    </w:pPr>
  </w:style>
  <w:style w:type="character" w:styleId="Hipervnculovisitado">
    <w:name w:val="FollowedHyperlink"/>
    <w:basedOn w:val="Fuentedeprrafopredeter"/>
    <w:uiPriority w:val="99"/>
    <w:semiHidden/>
    <w:unhideWhenUsed/>
    <w:rsid w:val="0032741A"/>
    <w:rPr>
      <w:color w:val="800080" w:themeColor="followedHyperlink"/>
      <w:u w:val="single"/>
    </w:rPr>
  </w:style>
  <w:style w:type="character" w:styleId="Referenciasutil">
    <w:name w:val="Subtle Reference"/>
    <w:basedOn w:val="Nmerodelnea"/>
    <w:uiPriority w:val="31"/>
    <w:qFormat/>
    <w:rsid w:val="005D5743"/>
    <w:rPr>
      <w:rFonts w:ascii="Times New Roman" w:hAnsi="Times New Roman"/>
      <w:caps w:val="0"/>
      <w:smallCaps w:val="0"/>
      <w:color w:val="5A5A5A" w:themeColor="text1" w:themeTint="A5"/>
      <w:sz w:val="20"/>
    </w:rPr>
  </w:style>
  <w:style w:type="character" w:styleId="Nmerodelnea">
    <w:name w:val="line number"/>
    <w:basedOn w:val="Fuentedeprrafopredeter"/>
    <w:uiPriority w:val="99"/>
    <w:semiHidden/>
    <w:unhideWhenUsed/>
    <w:rsid w:val="005D5743"/>
  </w:style>
  <w:style w:type="character" w:customStyle="1" w:styleId="Mencinsinresolver1">
    <w:name w:val="Mención sin resolver1"/>
    <w:basedOn w:val="Fuentedeprrafopredeter"/>
    <w:uiPriority w:val="99"/>
    <w:semiHidden/>
    <w:unhideWhenUsed/>
    <w:rsid w:val="00856649"/>
    <w:rPr>
      <w:color w:val="605E5C"/>
      <w:shd w:val="clear" w:color="auto" w:fill="E1DFDD"/>
    </w:rPr>
  </w:style>
  <w:style w:type="paragraph" w:styleId="Revisin">
    <w:name w:val="Revision"/>
    <w:hidden/>
    <w:uiPriority w:val="99"/>
    <w:semiHidden/>
    <w:rsid w:val="002B7AA8"/>
    <w:pPr>
      <w:spacing w:after="0" w:line="240" w:lineRule="auto"/>
    </w:pPr>
    <w:rPr>
      <w:rFonts w:ascii="Times New Roman" w:hAnsi="Times New Roman"/>
      <w:sz w:val="20"/>
    </w:rPr>
  </w:style>
  <w:style w:type="paragraph" w:styleId="Descripcin">
    <w:name w:val="caption"/>
    <w:basedOn w:val="Normal"/>
    <w:next w:val="Normal"/>
    <w:uiPriority w:val="35"/>
    <w:unhideWhenUsed/>
    <w:qFormat/>
    <w:rsid w:val="007349C8"/>
    <w:pPr>
      <w:spacing w:after="200"/>
    </w:pPr>
    <w:rPr>
      <w:i/>
      <w:iCs/>
      <w:color w:val="1F497D" w:themeColor="text2"/>
      <w:sz w:val="18"/>
      <w:szCs w:val="18"/>
    </w:rPr>
  </w:style>
  <w:style w:type="paragraph" w:styleId="Citadestacada">
    <w:name w:val="Intense Quote"/>
    <w:basedOn w:val="Normal"/>
    <w:next w:val="Normal"/>
    <w:link w:val="CitadestacadaCar"/>
    <w:uiPriority w:val="30"/>
    <w:qFormat/>
    <w:rsid w:val="007349C8"/>
    <w:pPr>
      <w:pBdr>
        <w:top w:val="single" w:sz="4" w:space="10" w:color="4F81BD" w:themeColor="accent1"/>
        <w:bottom w:val="single" w:sz="4" w:space="10" w:color="4F81BD" w:themeColor="accent1"/>
      </w:pBdr>
      <w:spacing w:before="360" w:after="360"/>
      <w:ind w:left="864" w:right="864"/>
      <w:jc w:val="center"/>
    </w:pPr>
    <w:rPr>
      <w:i/>
      <w:iCs/>
      <w:sz w:val="16"/>
    </w:rPr>
  </w:style>
  <w:style w:type="character" w:customStyle="1" w:styleId="CitadestacadaCar">
    <w:name w:val="Cita destacada Car"/>
    <w:basedOn w:val="Fuentedeprrafopredeter"/>
    <w:link w:val="Citadestacada"/>
    <w:uiPriority w:val="30"/>
    <w:rsid w:val="007349C8"/>
    <w:rPr>
      <w:rFonts w:ascii="Times New Roman" w:hAnsi="Times New Roman"/>
      <w:i/>
      <w:iCs/>
      <w:sz w:val="16"/>
    </w:rPr>
  </w:style>
  <w:style w:type="paragraph" w:styleId="Cita">
    <w:name w:val="Quote"/>
    <w:basedOn w:val="Normal"/>
    <w:next w:val="Normal"/>
    <w:link w:val="CitaCar"/>
    <w:uiPriority w:val="29"/>
    <w:qFormat/>
    <w:rsid w:val="007349C8"/>
    <w:pPr>
      <w:ind w:firstLine="0"/>
      <w:jc w:val="center"/>
    </w:pPr>
    <w:rPr>
      <w:i/>
      <w:iCs/>
      <w:color w:val="000000" w:themeColor="text1"/>
      <w:sz w:val="16"/>
    </w:rPr>
  </w:style>
  <w:style w:type="character" w:customStyle="1" w:styleId="CitaCar">
    <w:name w:val="Cita Car"/>
    <w:basedOn w:val="Fuentedeprrafopredeter"/>
    <w:link w:val="Cita"/>
    <w:uiPriority w:val="29"/>
    <w:rsid w:val="007349C8"/>
    <w:rPr>
      <w:rFonts w:ascii="Times New Roman" w:hAnsi="Times New Roman"/>
      <w:i/>
      <w:iCs/>
      <w:color w:val="000000" w:themeColor="text1"/>
      <w:sz w:val="16"/>
    </w:rPr>
  </w:style>
  <w:style w:type="character" w:styleId="Textodelmarcadordeposicin">
    <w:name w:val="Placeholder Text"/>
    <w:basedOn w:val="Fuentedeprrafopredeter"/>
    <w:uiPriority w:val="99"/>
    <w:semiHidden/>
    <w:rsid w:val="00A417CC"/>
    <w:rPr>
      <w:color w:val="666666"/>
    </w:rPr>
  </w:style>
  <w:style w:type="paragraph" w:styleId="Bibliografa">
    <w:name w:val="Bibliography"/>
    <w:basedOn w:val="Normal"/>
    <w:next w:val="Normal"/>
    <w:uiPriority w:val="37"/>
    <w:unhideWhenUsed/>
    <w:rsid w:val="002205AD"/>
  </w:style>
  <w:style w:type="character" w:styleId="Mencinsinresolver">
    <w:name w:val="Unresolved Mention"/>
    <w:basedOn w:val="Fuentedeprrafopredeter"/>
    <w:uiPriority w:val="99"/>
    <w:semiHidden/>
    <w:unhideWhenUsed/>
    <w:rsid w:val="00220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69134">
      <w:bodyDiv w:val="1"/>
      <w:marLeft w:val="0"/>
      <w:marRight w:val="0"/>
      <w:marTop w:val="0"/>
      <w:marBottom w:val="0"/>
      <w:divBdr>
        <w:top w:val="none" w:sz="0" w:space="0" w:color="auto"/>
        <w:left w:val="none" w:sz="0" w:space="0" w:color="auto"/>
        <w:bottom w:val="none" w:sz="0" w:space="0" w:color="auto"/>
        <w:right w:val="none" w:sz="0" w:space="0" w:color="auto"/>
      </w:divBdr>
    </w:div>
    <w:div w:id="470052045">
      <w:bodyDiv w:val="1"/>
      <w:marLeft w:val="0"/>
      <w:marRight w:val="0"/>
      <w:marTop w:val="0"/>
      <w:marBottom w:val="0"/>
      <w:divBdr>
        <w:top w:val="none" w:sz="0" w:space="0" w:color="auto"/>
        <w:left w:val="none" w:sz="0" w:space="0" w:color="auto"/>
        <w:bottom w:val="none" w:sz="0" w:space="0" w:color="auto"/>
        <w:right w:val="none" w:sz="0" w:space="0" w:color="auto"/>
      </w:divBdr>
    </w:div>
    <w:div w:id="478496815">
      <w:bodyDiv w:val="1"/>
      <w:marLeft w:val="0"/>
      <w:marRight w:val="0"/>
      <w:marTop w:val="0"/>
      <w:marBottom w:val="0"/>
      <w:divBdr>
        <w:top w:val="none" w:sz="0" w:space="0" w:color="auto"/>
        <w:left w:val="none" w:sz="0" w:space="0" w:color="auto"/>
        <w:bottom w:val="none" w:sz="0" w:space="0" w:color="auto"/>
        <w:right w:val="none" w:sz="0" w:space="0" w:color="auto"/>
      </w:divBdr>
    </w:div>
    <w:div w:id="1039627658">
      <w:bodyDiv w:val="1"/>
      <w:marLeft w:val="0"/>
      <w:marRight w:val="0"/>
      <w:marTop w:val="0"/>
      <w:marBottom w:val="0"/>
      <w:divBdr>
        <w:top w:val="none" w:sz="0" w:space="0" w:color="auto"/>
        <w:left w:val="none" w:sz="0" w:space="0" w:color="auto"/>
        <w:bottom w:val="none" w:sz="0" w:space="0" w:color="auto"/>
        <w:right w:val="none" w:sz="0" w:space="0" w:color="auto"/>
      </w:divBdr>
      <w:divsChild>
        <w:div w:id="423377968">
          <w:marLeft w:val="0"/>
          <w:marRight w:val="0"/>
          <w:marTop w:val="0"/>
          <w:marBottom w:val="0"/>
          <w:divBdr>
            <w:top w:val="none" w:sz="0" w:space="0" w:color="auto"/>
            <w:left w:val="none" w:sz="0" w:space="0" w:color="auto"/>
            <w:bottom w:val="none" w:sz="0" w:space="0" w:color="auto"/>
            <w:right w:val="none" w:sz="0" w:space="0" w:color="auto"/>
          </w:divBdr>
          <w:divsChild>
            <w:div w:id="449057414">
              <w:marLeft w:val="0"/>
              <w:marRight w:val="0"/>
              <w:marTop w:val="0"/>
              <w:marBottom w:val="0"/>
              <w:divBdr>
                <w:top w:val="none" w:sz="0" w:space="0" w:color="auto"/>
                <w:left w:val="none" w:sz="0" w:space="0" w:color="auto"/>
                <w:bottom w:val="none" w:sz="0" w:space="0" w:color="auto"/>
                <w:right w:val="none" w:sz="0" w:space="0" w:color="auto"/>
              </w:divBdr>
              <w:divsChild>
                <w:div w:id="892884472">
                  <w:marLeft w:val="0"/>
                  <w:marRight w:val="0"/>
                  <w:marTop w:val="0"/>
                  <w:marBottom w:val="0"/>
                  <w:divBdr>
                    <w:top w:val="none" w:sz="0" w:space="0" w:color="auto"/>
                    <w:left w:val="none" w:sz="0" w:space="0" w:color="auto"/>
                    <w:bottom w:val="none" w:sz="0" w:space="0" w:color="auto"/>
                    <w:right w:val="none" w:sz="0" w:space="0" w:color="auto"/>
                  </w:divBdr>
                  <w:divsChild>
                    <w:div w:id="1838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756127">
          <w:marLeft w:val="0"/>
          <w:marRight w:val="0"/>
          <w:marTop w:val="0"/>
          <w:marBottom w:val="0"/>
          <w:divBdr>
            <w:top w:val="none" w:sz="0" w:space="0" w:color="auto"/>
            <w:left w:val="none" w:sz="0" w:space="0" w:color="auto"/>
            <w:bottom w:val="none" w:sz="0" w:space="0" w:color="auto"/>
            <w:right w:val="none" w:sz="0" w:space="0" w:color="auto"/>
          </w:divBdr>
          <w:divsChild>
            <w:div w:id="1986739293">
              <w:marLeft w:val="0"/>
              <w:marRight w:val="0"/>
              <w:marTop w:val="0"/>
              <w:marBottom w:val="0"/>
              <w:divBdr>
                <w:top w:val="none" w:sz="0" w:space="0" w:color="auto"/>
                <w:left w:val="none" w:sz="0" w:space="0" w:color="auto"/>
                <w:bottom w:val="none" w:sz="0" w:space="0" w:color="auto"/>
                <w:right w:val="none" w:sz="0" w:space="0" w:color="auto"/>
              </w:divBdr>
              <w:divsChild>
                <w:div w:id="2112162246">
                  <w:marLeft w:val="0"/>
                  <w:marRight w:val="0"/>
                  <w:marTop w:val="0"/>
                  <w:marBottom w:val="0"/>
                  <w:divBdr>
                    <w:top w:val="none" w:sz="0" w:space="0" w:color="auto"/>
                    <w:left w:val="none" w:sz="0" w:space="0" w:color="auto"/>
                    <w:bottom w:val="none" w:sz="0" w:space="0" w:color="auto"/>
                    <w:right w:val="none" w:sz="0" w:space="0" w:color="auto"/>
                  </w:divBdr>
                  <w:divsChild>
                    <w:div w:id="205384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111359">
          <w:marLeft w:val="0"/>
          <w:marRight w:val="0"/>
          <w:marTop w:val="0"/>
          <w:marBottom w:val="0"/>
          <w:divBdr>
            <w:top w:val="none" w:sz="0" w:space="0" w:color="auto"/>
            <w:left w:val="none" w:sz="0" w:space="0" w:color="auto"/>
            <w:bottom w:val="none" w:sz="0" w:space="0" w:color="auto"/>
            <w:right w:val="none" w:sz="0" w:space="0" w:color="auto"/>
          </w:divBdr>
          <w:divsChild>
            <w:div w:id="1523938648">
              <w:marLeft w:val="0"/>
              <w:marRight w:val="0"/>
              <w:marTop w:val="0"/>
              <w:marBottom w:val="0"/>
              <w:divBdr>
                <w:top w:val="none" w:sz="0" w:space="0" w:color="auto"/>
                <w:left w:val="none" w:sz="0" w:space="0" w:color="auto"/>
                <w:bottom w:val="none" w:sz="0" w:space="0" w:color="auto"/>
                <w:right w:val="none" w:sz="0" w:space="0" w:color="auto"/>
              </w:divBdr>
              <w:divsChild>
                <w:div w:id="1330643714">
                  <w:marLeft w:val="0"/>
                  <w:marRight w:val="0"/>
                  <w:marTop w:val="0"/>
                  <w:marBottom w:val="0"/>
                  <w:divBdr>
                    <w:top w:val="none" w:sz="0" w:space="0" w:color="auto"/>
                    <w:left w:val="none" w:sz="0" w:space="0" w:color="auto"/>
                    <w:bottom w:val="none" w:sz="0" w:space="0" w:color="auto"/>
                    <w:right w:val="none" w:sz="0" w:space="0" w:color="auto"/>
                  </w:divBdr>
                  <w:divsChild>
                    <w:div w:id="15675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475841">
          <w:marLeft w:val="0"/>
          <w:marRight w:val="0"/>
          <w:marTop w:val="0"/>
          <w:marBottom w:val="0"/>
          <w:divBdr>
            <w:top w:val="none" w:sz="0" w:space="0" w:color="auto"/>
            <w:left w:val="none" w:sz="0" w:space="0" w:color="auto"/>
            <w:bottom w:val="none" w:sz="0" w:space="0" w:color="auto"/>
            <w:right w:val="none" w:sz="0" w:space="0" w:color="auto"/>
          </w:divBdr>
          <w:divsChild>
            <w:div w:id="145361376">
              <w:marLeft w:val="0"/>
              <w:marRight w:val="0"/>
              <w:marTop w:val="0"/>
              <w:marBottom w:val="0"/>
              <w:divBdr>
                <w:top w:val="none" w:sz="0" w:space="0" w:color="auto"/>
                <w:left w:val="none" w:sz="0" w:space="0" w:color="auto"/>
                <w:bottom w:val="none" w:sz="0" w:space="0" w:color="auto"/>
                <w:right w:val="none" w:sz="0" w:space="0" w:color="auto"/>
              </w:divBdr>
              <w:divsChild>
                <w:div w:id="114057793">
                  <w:marLeft w:val="0"/>
                  <w:marRight w:val="0"/>
                  <w:marTop w:val="0"/>
                  <w:marBottom w:val="0"/>
                  <w:divBdr>
                    <w:top w:val="none" w:sz="0" w:space="0" w:color="auto"/>
                    <w:left w:val="none" w:sz="0" w:space="0" w:color="auto"/>
                    <w:bottom w:val="none" w:sz="0" w:space="0" w:color="auto"/>
                    <w:right w:val="none" w:sz="0" w:space="0" w:color="auto"/>
                  </w:divBdr>
                  <w:divsChild>
                    <w:div w:id="1302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62407">
          <w:marLeft w:val="0"/>
          <w:marRight w:val="0"/>
          <w:marTop w:val="0"/>
          <w:marBottom w:val="0"/>
          <w:divBdr>
            <w:top w:val="none" w:sz="0" w:space="0" w:color="auto"/>
            <w:left w:val="none" w:sz="0" w:space="0" w:color="auto"/>
            <w:bottom w:val="none" w:sz="0" w:space="0" w:color="auto"/>
            <w:right w:val="none" w:sz="0" w:space="0" w:color="auto"/>
          </w:divBdr>
          <w:divsChild>
            <w:div w:id="150565766">
              <w:marLeft w:val="0"/>
              <w:marRight w:val="0"/>
              <w:marTop w:val="0"/>
              <w:marBottom w:val="0"/>
              <w:divBdr>
                <w:top w:val="none" w:sz="0" w:space="0" w:color="auto"/>
                <w:left w:val="none" w:sz="0" w:space="0" w:color="auto"/>
                <w:bottom w:val="none" w:sz="0" w:space="0" w:color="auto"/>
                <w:right w:val="none" w:sz="0" w:space="0" w:color="auto"/>
              </w:divBdr>
              <w:divsChild>
                <w:div w:id="872156808">
                  <w:marLeft w:val="0"/>
                  <w:marRight w:val="0"/>
                  <w:marTop w:val="0"/>
                  <w:marBottom w:val="0"/>
                  <w:divBdr>
                    <w:top w:val="none" w:sz="0" w:space="0" w:color="auto"/>
                    <w:left w:val="none" w:sz="0" w:space="0" w:color="auto"/>
                    <w:bottom w:val="none" w:sz="0" w:space="0" w:color="auto"/>
                    <w:right w:val="none" w:sz="0" w:space="0" w:color="auto"/>
                  </w:divBdr>
                  <w:divsChild>
                    <w:div w:id="11151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675737">
      <w:bodyDiv w:val="1"/>
      <w:marLeft w:val="0"/>
      <w:marRight w:val="0"/>
      <w:marTop w:val="0"/>
      <w:marBottom w:val="0"/>
      <w:divBdr>
        <w:top w:val="none" w:sz="0" w:space="0" w:color="auto"/>
        <w:left w:val="none" w:sz="0" w:space="0" w:color="auto"/>
        <w:bottom w:val="none" w:sz="0" w:space="0" w:color="auto"/>
        <w:right w:val="none" w:sz="0" w:space="0" w:color="auto"/>
      </w:divBdr>
    </w:div>
    <w:div w:id="2027172213">
      <w:bodyDiv w:val="1"/>
      <w:marLeft w:val="0"/>
      <w:marRight w:val="0"/>
      <w:marTop w:val="0"/>
      <w:marBottom w:val="0"/>
      <w:divBdr>
        <w:top w:val="none" w:sz="0" w:space="0" w:color="auto"/>
        <w:left w:val="none" w:sz="0" w:space="0" w:color="auto"/>
        <w:bottom w:val="none" w:sz="0" w:space="0" w:color="auto"/>
        <w:right w:val="none" w:sz="0" w:space="0" w:color="auto"/>
      </w:divBdr>
    </w:div>
    <w:div w:id="205653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Dep21</b:Tag>
    <b:SourceType>Book</b:SourceType>
    <b:Guid>{924F80CE-9BD2-4CCC-B86F-6E3EAAF449AF}</b:Guid>
    <b:Author>
      <b:Author>
        <b:Corporate>Departamento Administrativo de Gestión del Riesgo de Desastres de Antioquia (DAGRAN)</b:Corporate>
      </b:Author>
    </b:Author>
    <b:Title>Inventario de eventos por inundaciones en el departamento de Antioquia [Base de datos]</b:Title>
    <b:Year>2021</b:Year>
    <b:City>Medellín</b:City>
    <b:Publisher>Gobernación de Antioquia</b:Publisher>
    <b:RefOrder>1</b:RefOrder>
  </b:Source>
  <b:Source>
    <b:Tag>GEO26</b:Tag>
    <b:SourceType>InternetSite</b:SourceType>
    <b:Guid>{D50E7767-BC5F-4BBE-84C8-D801C3A0CCA2}</b:Guid>
    <b:Author>
      <b:Author>
        <b:Corporate>GEOHAZARD UNAL</b:Corporate>
      </b:Author>
    </b:Author>
    <b:Title>Inventarios Geohazard</b:Title>
    <b:Year>2026</b:Year>
    <b:InternetSiteTitle>Inventarios de Movimientos en Masa para Antioquia y Colombia.</b:InternetSiteTitle>
    <b:URL>https://geohazards.com.co/</b:URL>
    <b:RefOrder>2</b:RefOrder>
  </b:Source>
  <b:Source>
    <b:Tag>Lai24</b:Tag>
    <b:SourceType>JournalArticle</b:SourceType>
    <b:Guid>{7E311BD6-432F-4C56-A22C-AF9C2D22E111}</b:Guid>
    <b:Title>ANADEM: A Digital Terrain Model for South America</b:Title>
    <b:Year>2024</b:Year>
    <b:Month>06</b:Month>
    <b:Day>25</b:Day>
    <b:URL>https://www.mdpi.com/2072-4292/16/13/2321</b:URL>
    <b:Author>
      <b:Author>
        <b:NameList>
          <b:Person>
            <b:Last>Laipelt</b:Last>
            <b:First>Leonardo</b:First>
          </b:Person>
          <b:Person>
            <b:Last>Comini de Andrade</b:Last>
            <b:First>Bruno</b:First>
          </b:Person>
          <b:Person>
            <b:Last>Collischonn</b:Last>
            <b:First>Walter</b:First>
          </b:Person>
          <b:Person>
            <b:Last>Teixeira</b:Last>
            <b:Middle>de Amorim</b:Middle>
            <b:First>Alexandre</b:First>
          </b:Person>
          <b:Person>
            <b:Last>Dias de Paiva</b:Last>
            <b:Middle>Cauduro</b:Middle>
            <b:First>Rodrigo</b:First>
          </b:Person>
          <b:Person>
            <b:Last>Rudhoff</b:Last>
            <b:First>Anderson</b:First>
          </b:Person>
        </b:NameList>
      </b:Author>
    </b:Author>
    <b:JournalName>Instituto de Pesquisas Hidráulicas, Universidade Federal do Rio Grande do Sul</b:JournalName>
    <b:City>Porto Alegre</b:City>
    <b:DOI>https://doi.org/10.3390/rs16132321</b:DOI>
    <b:RefOrder>4</b:RefOrder>
  </b:Source>
  <b:Source>
    <b:Tag>Nat26</b:Tag>
    <b:SourceType>InternetSite</b:SourceType>
    <b:Guid>{B468C308-7EEA-47BC-88B1-63C74BB01420}</b:Guid>
    <b:Author>
      <b:Author>
        <b:Corporate>National Aeronautics and Space Administration (NASA)</b:Corporate>
      </b:Author>
    </b:Author>
    <b:Title>EarthData Catalog</b:Title>
    <b:Year>2026</b:Year>
    <b:InternetSiteTitle>MOD15A2H MODIS/Terra leaf area index/FPAR 8-day L4 global 500 m SIN grid (Version 6.1) [Data set] LP DAAC</b:InternetSiteTitle>
    <b:URL>https://www.earthdata.nasa.gov/data/catalog/lpcloud-mod15a2h-061</b:URL>
    <b:RefOrder>3</b:RefOrder>
  </b:Source>
</b:Sources>
</file>

<file path=customXml/itemProps1.xml><?xml version="1.0" encoding="utf-8"?>
<ds:datastoreItem xmlns:ds="http://schemas.openxmlformats.org/officeDocument/2006/customXml" ds:itemID="{FCA59166-1C1F-4D25-8250-4A7E989E0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1420</TotalTime>
  <Pages>1</Pages>
  <Words>4995</Words>
  <Characters>27474</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Rectoria</dc:creator>
  <cp:keywords/>
  <dc:description/>
  <cp:lastModifiedBy>Juan David  Zuluaga Ortiz</cp:lastModifiedBy>
  <cp:revision>17</cp:revision>
  <cp:lastPrinted>2026-08-06T05:55:00Z</cp:lastPrinted>
  <dcterms:created xsi:type="dcterms:W3CDTF">2026-08-02T02:40:00Z</dcterms:created>
  <dcterms:modified xsi:type="dcterms:W3CDTF">2026-08-06T05:58:00Z</dcterms:modified>
</cp:coreProperties>
</file>