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1.svg" ContentType="image/svg+xml"/>
  <Override PartName="/word/media/image6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459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ind w:left="0"/>
        <w:textAlignment w:val="auto"/>
        <w:rPr>
          <w:rFonts w:hint="default"/>
          <w:lang w:val="en-US" w:eastAsia="zh-CN"/>
        </w:rPr>
      </w:pPr>
      <w:r>
        <w:rPr>
          <w:b/>
          <w:bCs/>
          <w:sz w:val="18"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-553085</wp:posOffset>
            </wp:positionH>
            <wp:positionV relativeFrom="page">
              <wp:posOffset>469265</wp:posOffset>
            </wp:positionV>
            <wp:extent cx="7584440" cy="1262380"/>
            <wp:effectExtent l="0" t="0" r="5080" b="2540"/>
            <wp:wrapNone/>
            <wp:docPr id="3" name="Drawing 0" descr="base_info_head_icon_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base_info_head_icon_bg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8444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-553085</wp:posOffset>
            </wp:positionH>
            <wp:positionV relativeFrom="page">
              <wp:posOffset>317500</wp:posOffset>
            </wp:positionV>
            <wp:extent cx="7584440" cy="165735"/>
            <wp:effectExtent l="0" t="0" r="5080" b="1905"/>
            <wp:wrapNone/>
            <wp:docPr id="2" name="Drawing 0" descr="head_icon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head_icon_split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84440" cy="16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160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5" w:lineRule="exact"/>
        <w:ind w:left="0"/>
        <w:textAlignment w:val="center"/>
        <w:rPr>
          <w:rFonts w:hint="default" w:eastAsia="微软雅黑"/>
          <w:b/>
          <w:bCs/>
          <w:sz w:val="15"/>
          <w:szCs w:val="18"/>
          <w:lang w:val="en-US" w:eastAsia="zh-CN"/>
        </w:rPr>
      </w:pPr>
      <w:r>
        <w:rPr>
          <w:b/>
          <w:bCs/>
          <w:sz w:val="15"/>
          <w:szCs w:val="1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4399915</wp:posOffset>
            </wp:positionH>
            <wp:positionV relativeFrom="paragraph">
              <wp:posOffset>177800</wp:posOffset>
            </wp:positionV>
            <wp:extent cx="2092325" cy="147320"/>
            <wp:effectExtent l="0" t="0" r="0" b="0"/>
            <wp:wrapNone/>
            <wp:docPr id="4" name="Drawing 0" descr="s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spag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2567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color w:val="FFFFFF"/>
          <w:sz w:val="36"/>
          <w:szCs w:val="18"/>
        </w:rPr>
        <w:t>何友锋</w:t>
      </w:r>
      <w:r>
        <w:rPr>
          <w:rFonts w:hint="eastAsia" w:ascii="微软雅黑" w:hAnsi="微软雅黑" w:eastAsia="微软雅黑" w:cs="微软雅黑"/>
          <w:b/>
          <w:bCs/>
          <w:color w:val="FFFFFF"/>
          <w:sz w:val="36"/>
          <w:szCs w:val="18"/>
          <w:lang w:val="en-US" w:eastAsia="zh-CN"/>
        </w:rPr>
        <w:t xml:space="preserve"> - JAVA开发工程师</w:t>
      </w:r>
    </w:p>
    <w:tbl>
      <w:tblPr>
        <w:tblStyle w:val="3"/>
        <w:tblpPr w:leftFromText="180" w:rightFromText="180" w:vertAnchor="text" w:horzAnchor="page" w:tblpX="892" w:tblpY="44"/>
        <w:tblOverlap w:val="never"/>
        <w:tblW w:w="915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71"/>
        <w:gridCol w:w="4887"/>
      </w:tblGrid>
      <w:tr w14:paraId="2C6EB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exact"/>
        </w:trPr>
        <w:tc>
          <w:tcPr>
            <w:tcW w:w="4271" w:type="dxa"/>
            <w:tcBorders>
              <w:tl2br w:val="nil"/>
              <w:tr2bl w:val="nil"/>
            </w:tcBorders>
            <w:vAlign w:val="center"/>
          </w:tcPr>
          <w:p w14:paraId="18FD1A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1" w:lineRule="exact"/>
              <w:ind w:left="72" w:right="72"/>
              <w:jc w:val="left"/>
              <w:textAlignment w:val="center"/>
              <w:rPr>
                <w:rFonts w:hint="eastAsia" w:eastAsia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性别：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  <w:sz w:val="21"/>
                <w:szCs w:val="21"/>
                <w:lang w:val="en-US" w:eastAsia="zh-CN"/>
              </w:rPr>
              <w:t>男</w:t>
            </w:r>
          </w:p>
        </w:tc>
        <w:tc>
          <w:tcPr>
            <w:tcW w:w="4887" w:type="dxa"/>
            <w:tcBorders>
              <w:tl2br w:val="nil"/>
              <w:tr2bl w:val="nil"/>
            </w:tcBorders>
            <w:vAlign w:val="center"/>
          </w:tcPr>
          <w:p w14:paraId="072097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1" w:lineRule="exact"/>
              <w:ind w:left="72" w:right="72"/>
              <w:jc w:val="left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电话：</w:t>
            </w:r>
            <w:r>
              <w:rPr>
                <w:rFonts w:hint="eastAsia" w:ascii="微软雅黑" w:hAnsi="微软雅黑" w:eastAsia="微软雅黑" w:cs="微软雅黑"/>
                <w:color w:val="FFFFFF"/>
                <w:sz w:val="21"/>
                <w:szCs w:val="21"/>
              </w:rPr>
              <w:t>13042296286</w:t>
            </w:r>
          </w:p>
        </w:tc>
      </w:tr>
      <w:tr w14:paraId="120BF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exact"/>
        </w:trPr>
        <w:tc>
          <w:tcPr>
            <w:tcW w:w="4271" w:type="dxa"/>
            <w:tcBorders>
              <w:tl2br w:val="nil"/>
              <w:tr2bl w:val="nil"/>
            </w:tcBorders>
            <w:vAlign w:val="center"/>
          </w:tcPr>
          <w:p w14:paraId="5CE789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1" w:lineRule="exact"/>
              <w:ind w:left="72" w:right="72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1"/>
                <w:lang w:val="en-US" w:eastAsia="zh-CN"/>
              </w:rPr>
              <w:t>年龄：</w:t>
            </w:r>
            <w:r>
              <w:rPr>
                <w:rFonts w:hint="eastAsia" w:ascii="微软雅黑" w:hAnsi="微软雅黑" w:eastAsia="微软雅黑" w:cs="微软雅黑"/>
                <w:b w:val="0"/>
                <w:color w:val="FFFFFF"/>
                <w:sz w:val="21"/>
                <w:szCs w:val="21"/>
                <w:lang w:val="en-US" w:eastAsia="zh-CN"/>
              </w:rPr>
              <w:t>30岁（7年工作经验）</w:t>
            </w:r>
          </w:p>
        </w:tc>
        <w:tc>
          <w:tcPr>
            <w:tcW w:w="4887" w:type="dxa"/>
            <w:tcBorders>
              <w:tl2br w:val="nil"/>
              <w:tr2bl w:val="nil"/>
            </w:tcBorders>
            <w:vAlign w:val="center"/>
          </w:tcPr>
          <w:p w14:paraId="20238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61" w:lineRule="exact"/>
              <w:ind w:left="72" w:right="72"/>
              <w:jc w:val="left"/>
              <w:textAlignment w:val="center"/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邮箱：</w:t>
            </w:r>
            <w:r>
              <w:rPr>
                <w:rFonts w:hint="eastAsia" w:ascii="微软雅黑" w:hAnsi="微软雅黑" w:eastAsia="微软雅黑" w:cs="微软雅黑"/>
                <w:color w:val="FFFFFF"/>
                <w:sz w:val="21"/>
                <w:szCs w:val="21"/>
              </w:rPr>
              <w:t>13042296286@163.com</w:t>
            </w:r>
          </w:p>
        </w:tc>
      </w:tr>
    </w:tbl>
    <w:p w14:paraId="6364F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4D8CC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6D7F4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16090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36EFF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61229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15826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7A026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1EE71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30A49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36C1F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4801A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12364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693E1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3B1F0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69D4F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7D534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4C42F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2969A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02748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" w:lineRule="exact"/>
        <w:ind w:left="0"/>
        <w:textAlignment w:val="auto"/>
        <w:rPr>
          <w:rFonts w:hint="default"/>
          <w:lang w:val="en-US" w:eastAsia="zh-CN"/>
        </w:rPr>
      </w:pPr>
    </w:p>
    <w:p w14:paraId="127AC4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" w:lineRule="exact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</w:pPr>
    </w:p>
    <w:p w14:paraId="08129D17">
      <w:pPr>
        <w:spacing w:before="0" w:after="0" w:line="29" w:lineRule="exact"/>
        <w:jc w:val="left"/>
      </w:pPr>
      <w:r>
        <w:rPr>
          <w:rFonts w:ascii="微软雅黑" w:hAnsi="微软雅黑" w:eastAsia="微软雅黑" w:cs="微软雅黑"/>
          <w:b/>
          <w:color w:val="374957"/>
          <w:sz w:val="24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12700</wp:posOffset>
            </wp:positionV>
            <wp:extent cx="295275" cy="295275"/>
            <wp:effectExtent l="0" t="0" r="9525" b="9525"/>
            <wp:wrapNone/>
            <wp:docPr id="17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DD98EE">
      <w:pPr>
        <w:spacing w:before="0" w:after="0" w:line="29" w:lineRule="exact"/>
        <w:jc w:val="left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295275" cy="295275"/>
            <wp:effectExtent l="0" t="0" r="0" b="0"/>
            <wp:wrapNone/>
            <wp:docPr id="6" name="Drawing 0" descr="在校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在校经历.svg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501F9">
      <w:pPr>
        <w:spacing w:before="0" w:after="0" w:line="464" w:lineRule="exact"/>
        <w:ind w:left="769"/>
        <w:textAlignment w:val="center"/>
        <w:rPr>
          <w:rFonts w:hint="default" w:ascii="微软雅黑" w:hAnsi="微软雅黑" w:eastAsia="微软雅黑" w:cs="微软雅黑"/>
          <w:b/>
          <w:color w:val="374957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374957"/>
          <w:sz w:val="24"/>
          <w:lang w:val="en-US" w:eastAsia="zh-CN"/>
        </w:rPr>
        <w:t>个人摘要</w:t>
      </w:r>
    </w:p>
    <w:p w14:paraId="7672CAA6">
      <w:pPr>
        <w:spacing w:before="0" w:after="0" w:line="72" w:lineRule="exact"/>
        <w:rPr>
          <w:rFonts w:hint="eastAsia" w:eastAsiaTheme="minorEastAsia"/>
          <w:sz w:val="21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15875</wp:posOffset>
            </wp:positionV>
            <wp:extent cx="6452870" cy="18415"/>
            <wp:effectExtent l="0" t="0" r="8890" b="4445"/>
            <wp:wrapNone/>
            <wp:docPr id="5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2870" cy="1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8F2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" w:lineRule="exact"/>
        <w:textAlignment w:val="auto"/>
        <w:rPr>
          <w:rFonts w:hint="eastAsia" w:eastAsiaTheme="minorEastAsia"/>
          <w:sz w:val="21"/>
          <w:lang w:val="en-US" w:eastAsia="zh-CN"/>
        </w:rPr>
      </w:pPr>
    </w:p>
    <w:p w14:paraId="1891D3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420" w:firstLineChars="0"/>
        <w:textAlignment w:val="center"/>
        <w:rPr>
          <w:rFonts w:hint="default" w:ascii="微软雅黑" w:hAnsi="微软雅黑" w:eastAsia="微软雅黑" w:cs="微软雅黑"/>
          <w:b/>
          <w:color w:val="374957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pacing w:val="-6"/>
          <w:sz w:val="20"/>
          <w:szCs w:val="20"/>
        </w:rPr>
        <w:t>拥有7年金融科技领域经验的Java后端工程师，熟悉Spring Cloud微服务架构及相关组件，具备消息队列、分布式缓存等技术的实际应用经验。参与过高并发、高可用系统的设计与开发，能够独立完成模块设计与功能实现。曾参与核心报表查询模块的优化，通过索引优化与查询逻辑调整，显著提升了查询性能，有效支持了业务的高效运行。</w:t>
      </w:r>
    </w:p>
    <w:p w14:paraId="0D7655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100" w:lineRule="exact"/>
        <w:textAlignment w:val="center"/>
        <w:rPr>
          <w:rFonts w:hint="default" w:ascii="微软雅黑" w:hAnsi="微软雅黑" w:eastAsia="微软雅黑" w:cs="微软雅黑"/>
          <w:color w:val="666666"/>
          <w:sz w:val="20"/>
          <w:szCs w:val="20"/>
          <w:lang w:val="en-US" w:eastAsia="zh-CN"/>
        </w:rPr>
      </w:pPr>
    </w:p>
    <w:p w14:paraId="2340D2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100" w:lineRule="exact"/>
        <w:textAlignment w:val="center"/>
        <w:rPr>
          <w:rFonts w:hint="default" w:ascii="微软雅黑" w:hAnsi="微软雅黑" w:eastAsia="微软雅黑" w:cs="微软雅黑"/>
          <w:color w:val="666666"/>
          <w:sz w:val="20"/>
          <w:szCs w:val="20"/>
          <w:lang w:val="en-US" w:eastAsia="zh-CN"/>
        </w:rPr>
      </w:pPr>
    </w:p>
    <w:p w14:paraId="17D401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100" w:lineRule="exact"/>
        <w:textAlignment w:val="center"/>
        <w:rPr>
          <w:rFonts w:hint="default" w:ascii="微软雅黑" w:hAnsi="微软雅黑" w:eastAsia="微软雅黑" w:cs="微软雅黑"/>
          <w:color w:val="666666"/>
          <w:sz w:val="20"/>
          <w:szCs w:val="20"/>
          <w:lang w:val="en-US" w:eastAsia="zh-CN"/>
        </w:rPr>
      </w:pPr>
    </w:p>
    <w:p w14:paraId="75C7C46B">
      <w:pPr>
        <w:spacing w:before="0" w:after="0" w:line="29" w:lineRule="exact"/>
        <w:jc w:val="left"/>
      </w:pPr>
    </w:p>
    <w:p w14:paraId="3209D1AE">
      <w:pPr>
        <w:spacing w:before="0" w:after="0" w:line="464" w:lineRule="exact"/>
        <w:ind w:left="769"/>
        <w:textAlignment w:val="center"/>
        <w:rPr>
          <w:sz w:val="21"/>
        </w:rPr>
      </w:pPr>
      <w:r>
        <w:rPr>
          <w:rFonts w:hint="eastAsia" w:ascii="微软雅黑" w:hAnsi="微软雅黑" w:eastAsia="微软雅黑" w:cs="微软雅黑"/>
          <w:b/>
          <w:color w:val="374957"/>
          <w:sz w:val="24"/>
          <w:lang w:val="en-US" w:eastAsia="zh-CN"/>
        </w:rPr>
        <w:t>工作</w:t>
      </w:r>
      <w:r>
        <w:rPr>
          <w:rFonts w:ascii="微软雅黑" w:hAnsi="微软雅黑" w:eastAsia="微软雅黑" w:cs="微软雅黑"/>
          <w:b/>
          <w:color w:val="374957"/>
          <w:sz w:val="24"/>
        </w:rPr>
        <w:t>经历</w:t>
      </w:r>
      <w:r>
        <w:rPr>
          <w:rFonts w:ascii="微软雅黑" w:hAnsi="微软雅黑" w:eastAsia="微软雅黑" w:cs="微软雅黑"/>
          <w:b/>
          <w:color w:val="374957"/>
          <w:sz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9525" b="9525"/>
            <wp:wrapNone/>
            <wp:docPr id="1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10160"/>
            <wp:wrapNone/>
            <wp:docPr id="15" name="Drawing 0" descr="实习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0" descr="实习经历.svg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349885</wp:posOffset>
            </wp:positionV>
            <wp:extent cx="6452870" cy="18415"/>
            <wp:effectExtent l="0" t="0" r="8890" b="4445"/>
            <wp:wrapNone/>
            <wp:docPr id="16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2852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D675F">
      <w:pPr>
        <w:spacing w:before="0" w:after="0" w:line="116" w:lineRule="exact"/>
        <w:rPr>
          <w:sz w:val="21"/>
        </w:rPr>
      </w:pPr>
    </w:p>
    <w:p w14:paraId="6BCEEA14">
      <w:pPr>
        <w:spacing w:before="0" w:after="0" w:line="10" w:lineRule="exact"/>
        <w:jc w:val="left"/>
        <w:rPr>
          <w:sz w:val="20"/>
          <w:szCs w:val="20"/>
        </w:rPr>
      </w:pPr>
    </w:p>
    <w:p w14:paraId="1D1BBFC5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jc w:val="left"/>
        <w:textAlignment w:val="center"/>
        <w:rPr>
          <w:rFonts w:hint="eastAsia" w:ascii="微软雅黑" w:hAnsi="微软雅黑" w:eastAsia="微软雅黑" w:cs="微软雅黑"/>
          <w:b/>
          <w:color w:val="374957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374957"/>
          <w:sz w:val="21"/>
          <w:szCs w:val="21"/>
          <w:lang w:val="en-US" w:eastAsia="zh-CN"/>
        </w:rPr>
        <w:t xml:space="preserve">2020/08 - 至今 | 高阳通联 | Java后端工程师                                                                                      </w:t>
      </w:r>
    </w:p>
    <w:p w14:paraId="7EEF720F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00" w:lineRule="exact"/>
        <w:jc w:val="left"/>
        <w:textAlignment w:val="center"/>
        <w:rPr>
          <w:rFonts w:hint="default" w:ascii="微软雅黑" w:hAnsi="微软雅黑" w:eastAsia="微软雅黑" w:cs="微软雅黑"/>
          <w:b/>
          <w:color w:val="374957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374957"/>
          <w:sz w:val="21"/>
          <w:szCs w:val="21"/>
          <w:lang w:val="en-US" w:eastAsia="zh-CN"/>
        </w:rPr>
        <w:t>【集团风险管理综合门户项目】</w:t>
      </w:r>
    </w:p>
    <w:p w14:paraId="5D8B53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一、</w:t>
      </w: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</w:rPr>
        <w:t>项目背景：</w:t>
      </w:r>
      <w:r>
        <w:rPr>
          <w:rFonts w:hint="eastAsia" w:ascii="微软雅黑" w:hAnsi="微软雅黑" w:eastAsia="微软雅黑" w:cs="微软雅黑"/>
          <w:color w:val="666666"/>
          <w:spacing w:val="-6"/>
          <w:sz w:val="20"/>
          <w:szCs w:val="20"/>
        </w:rPr>
        <w:t>为加强集团整体风险管控，系统性梳理子公司与集团业务关联，汇总关键风险指标，自动化生成各类监管与内部管理报表。</w:t>
      </w:r>
    </w:p>
    <w:p w14:paraId="6FAFBB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/>
        <w:textAlignment w:val="center"/>
        <w:rPr>
          <w:rFonts w:hint="default" w:ascii="微软雅黑" w:hAnsi="微软雅黑" w:eastAsia="微软雅黑" w:cs="微软雅黑"/>
          <w:color w:val="666666"/>
          <w:spacing w:val="-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二、项目总体架构：</w:t>
      </w:r>
      <w:r>
        <w:rPr>
          <w:rFonts w:hint="eastAsia" w:ascii="微软雅黑" w:hAnsi="微软雅黑" w:eastAsia="微软雅黑" w:cs="微软雅黑"/>
          <w:color w:val="666666"/>
          <w:spacing w:val="-6"/>
          <w:sz w:val="20"/>
          <w:szCs w:val="20"/>
        </w:rPr>
        <w:t>主导/深度参与微服务架构设计，包含管理、用户、认证、数据同步、报表五大核心服务。通过API网关统一路由，服务间采用Kafka消息队列和OpenFeign进行异步/同步通信，实现了系统高可用与可扩展性。</w:t>
      </w:r>
    </w:p>
    <w:p w14:paraId="0CE8E6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/>
        <w:textAlignment w:val="center"/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三、</w:t>
      </w:r>
      <w:r>
        <w:rPr>
          <w:rFonts w:hint="eastAsia" w:ascii="微软雅黑" w:hAnsi="微软雅黑" w:eastAsia="微软雅黑" w:cs="微软雅黑"/>
          <w:color w:val="666666"/>
          <w:spacing w:val="-6"/>
          <w:sz w:val="20"/>
          <w:szCs w:val="20"/>
          <w:lang w:val="en-US" w:eastAsia="zh-CN"/>
        </w:rPr>
        <w:t>核心贡献</w:t>
      </w:r>
    </w:p>
    <w:p w14:paraId="5BE6A7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/>
        <w:textAlignment w:val="center"/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1、</w:t>
      </w: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</w:rPr>
        <w:t>管理端</w:t>
      </w:r>
    </w:p>
    <w:p w14:paraId="144394F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666666"/>
          <w:spacing w:val="-6"/>
          <w:sz w:val="20"/>
          <w:szCs w:val="20"/>
          <w:lang w:val="en-US" w:eastAsia="zh-CN"/>
        </w:rPr>
        <w:t>设计并实现了管理端与数据中台的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666666"/>
          <w:spacing w:val="-6"/>
          <w:sz w:val="20"/>
          <w:szCs w:val="20"/>
          <w:lang w:val="en-US" w:eastAsia="zh-CN"/>
        </w:rPr>
        <w:t>异步解耦通信机制，解决了[历史系统数据变更实时性差、耦合度高的问题]。基于Kafka消息队列构建事件驱动架构，确保数据变更实时推送，将数据同步延迟从分钟级降低到秒级，显著提升集团风险指标数据的时效性与准确性。</w:t>
      </w:r>
    </w:p>
    <w:p w14:paraId="03D6143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pacing w:val="-6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666666"/>
          <w:spacing w:val="-6"/>
          <w:sz w:val="20"/>
          <w:szCs w:val="20"/>
          <w:lang w:val="en-US" w:eastAsia="zh-CN"/>
        </w:rPr>
        <w:t>优化了核心业务指标定义与阈值管理模块，引入第三方引擎支持复杂业务逻辑配置，使运营人员能自主配置超过500种风险指标，大幅提升系统业务灵活性和响应速度。</w:t>
      </w:r>
    </w:p>
    <w:p w14:paraId="2167FA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/>
        <w:textAlignment w:val="center"/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2、用户端</w:t>
      </w:r>
    </w:p>
    <w:p w14:paraId="3767CBB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负责用户端核心模块的高可用设计与实现，采用分布式架构部署（多台服务器，Nginx负载均衡），针对高并发场景引入Sentinel进行熔断降级，确保系统在流量高峰期仍能保持99.99%的可用性。</w:t>
      </w:r>
    </w:p>
    <w:p w14:paraId="517A162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szCs w:val="20"/>
        </w:rPr>
        <w:t>设计并实现了系统内部服务间数据交换的HTTPS混合加密方案，利用非对称加密（RSA）安全交换对称密钥（AES），确保数据传输的机密性和完整性，并通过性能优化将加密解密开销控制在20ms以内。。</w:t>
      </w:r>
    </w:p>
    <w:p w14:paraId="1FB26D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/>
        <w:textAlignment w:val="center"/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3、认证端</w:t>
      </w:r>
    </w:p>
    <w:p w14:paraId="548FD69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主导设计并实现了认证端的多租户架构，承接集团从OA认证升级至IAM系统的战略。通过OAuth2.0协议与集团IAM系统无缝对接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</w:rPr>
        <w:t>。</w:t>
      </w:r>
    </w:p>
    <w:p w14:paraId="23446A7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确保不同子系统用户数据和权限策略的逻辑与物理隔离，提升了系统的灵活性与安全性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</w:rPr>
        <w:t>。</w:t>
      </w:r>
    </w:p>
    <w:p w14:paraId="01E833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/>
        <w:textAlignment w:val="center"/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4、数据同步端</w:t>
      </w:r>
    </w:p>
    <w:p w14:paraId="33A947C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构建了基于Kafka的增量数据同步机制，接收数据中台指令，动态连接查询Oracle/PostgreSQL前置数据库，确保风险指标数据的时效性与准确性。</w:t>
      </w:r>
    </w:p>
    <w:p w14:paraId="054176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Chars="0"/>
        <w:textAlignment w:val="center"/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5、报表端</w:t>
      </w:r>
    </w:p>
    <w:p w14:paraId="0010A7F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设计并实现了基于XXL-Job的分布式定时报表生成任务，支持复杂报表的自动化生成。</w:t>
      </w:r>
    </w:p>
    <w:p w14:paraId="223B9C2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报表生成采用异步方式，完成后通过消息通知用户下载查看，优化了用户体验，降低了系统压力。</w:t>
      </w:r>
    </w:p>
    <w:p w14:paraId="0213CB0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szCs w:val="20"/>
        </w:rPr>
        <w:t>针对每年约700万条数据量的历史报表存储与查询性能瓶颈，主导设计并实施了水平分表方案，将平均查询响应时间从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</w:rPr>
        <w:t>秒优化至1秒以内</w:t>
      </w:r>
    </w:p>
    <w:p w14:paraId="1DDCD4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20" w:lineRule="exact"/>
        <w:ind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四、</w:t>
      </w: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</w:rPr>
        <w:t>设计与参与模块：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</w:rPr>
        <w:t>指标监测（实时预警）、指标修订（流程优化）、保监会关联方报表信息（合规性保障）、预警整改（闭环跟踪）、风控子系统（核心风险评估）、重点客户管理（专项画像）。</w:t>
      </w:r>
    </w:p>
    <w:p w14:paraId="62C858A5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jc w:val="left"/>
        <w:textAlignment w:val="center"/>
        <w:rPr>
          <w:rFonts w:hint="eastAsia" w:ascii="微软雅黑" w:hAnsi="微软雅黑" w:eastAsia="微软雅黑" w:cs="微软雅黑"/>
          <w:b/>
          <w:color w:val="374957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374957"/>
          <w:sz w:val="21"/>
          <w:szCs w:val="21"/>
          <w:lang w:val="en-US" w:eastAsia="zh-CN"/>
        </w:rPr>
        <w:t xml:space="preserve">2018/06 - 2020/07 | 北京长亮科技有限公司 | 交付二部 | Java后端工程师                                              </w:t>
      </w:r>
    </w:p>
    <w:p w14:paraId="1B6263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一、项目背景：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</w:rPr>
        <w:t>为为财务公司构建统一、高效的结算系统，实现理财产品、同业业务及资金拆借全面数字化管理。</w:t>
      </w:r>
    </w:p>
    <w:p w14:paraId="766D26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二、项目总体架构：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</w:rPr>
        <w:t>:基于SpringMVC的集中式架构，通过自研流程引擎驱动业务，结合MQ消息中间件与Zookeeper进行异步通信与分布式协调。</w:t>
      </w:r>
    </w:p>
    <w:p w14:paraId="722F76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0" w:leftChars="0" w:firstLine="0"/>
        <w:textAlignment w:val="center"/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三、项目详细设计</w:t>
      </w:r>
    </w:p>
    <w:p w14:paraId="185E5BD7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jc w:val="left"/>
        <w:textAlignment w:val="center"/>
        <w:rPr>
          <w:rFonts w:hint="eastAsia" w:ascii="微软雅黑" w:hAnsi="微软雅黑" w:eastAsia="微软雅黑" w:cs="微软雅黑"/>
          <w:b/>
          <w:color w:val="374957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374957"/>
          <w:sz w:val="21"/>
          <w:szCs w:val="21"/>
          <w:lang w:val="en-US" w:eastAsia="zh-CN"/>
        </w:rPr>
        <w:t>【北京中兴项目 - 结算系统】</w:t>
      </w:r>
    </w:p>
    <w:p w14:paraId="40B97A8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核心职责：</w:t>
      </w:r>
      <w:r>
        <w:rPr>
          <w:rFonts w:hint="eastAsia" w:ascii="微软雅黑" w:hAnsi="微软雅黑" w:eastAsia="微软雅黑" w:cs="微软雅黑"/>
          <w:color w:val="666666"/>
          <w:spacing w:val="-6"/>
          <w:sz w:val="20"/>
          <w:szCs w:val="20"/>
        </w:rPr>
        <w:t>负责结算系统中理财产品相关业务全流程功能开发与实现，对财务公司及其子公司在各银行购买的理财产品进行统一留底、登记与价值管理。</w:t>
      </w:r>
    </w:p>
    <w:p w14:paraId="051C3E9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技术架构：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基于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</w:rPr>
        <w:t>SpringMVC作为核心Web框架，使用Oracle作为核心业务数据库，通过MQ消息中间件与Zookeeper实现系统间协同与分布式协调，基于公司自主研发的流程引擎驱动和配置业务审批流程。</w:t>
      </w:r>
    </w:p>
    <w:p w14:paraId="390F78B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核心贡献：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</w:rPr>
        <w:t>主导理财产品相关业务全流程（买入、增持、补录、公允价值变动、分红、产品到期结算）的功能设计与开发。通过深入理解金融业务逻辑，成功将复杂金融产品规则转化为可配置的系统功能。</w:t>
      </w:r>
    </w:p>
    <w:p w14:paraId="51E6774C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jc w:val="left"/>
        <w:textAlignment w:val="center"/>
        <w:rPr>
          <w:rFonts w:hint="eastAsia" w:ascii="微软雅黑" w:hAnsi="微软雅黑" w:eastAsia="微软雅黑" w:cs="微软雅黑"/>
          <w:b/>
          <w:color w:val="374957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374957"/>
          <w:sz w:val="21"/>
          <w:szCs w:val="21"/>
          <w:lang w:val="en-US" w:eastAsia="zh-CN"/>
        </w:rPr>
        <w:t>【郑州宇通项目 - 结算系统】</w:t>
      </w:r>
    </w:p>
    <w:p w14:paraId="3354C28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核心贡献：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独立设计并实现了同业授信与资金拆借核心模块，构建了完善的同业授信体系，实现了对交易对手信用风险的有效管理与控制，确保了所有同业交易均在授信额度内进行，有效规避了潜在的信用风险。</w:t>
      </w:r>
    </w:p>
    <w:p w14:paraId="47224FC5">
      <w:pPr>
        <w:spacing w:before="0" w:after="0" w:line="29" w:lineRule="exact"/>
        <w:jc w:val="left"/>
      </w:pPr>
    </w:p>
    <w:p w14:paraId="783E1247">
      <w:pPr>
        <w:spacing w:before="0" w:after="0" w:line="29" w:lineRule="exact"/>
        <w:jc w:val="left"/>
      </w:pPr>
    </w:p>
    <w:p w14:paraId="7D928CB2">
      <w:pPr>
        <w:spacing w:before="0" w:after="0" w:line="29" w:lineRule="exact"/>
        <w:jc w:val="left"/>
      </w:pPr>
    </w:p>
    <w:p w14:paraId="1E4BC111">
      <w:pPr>
        <w:spacing w:before="0" w:after="0" w:line="29" w:lineRule="exact"/>
        <w:jc w:val="left"/>
      </w:pPr>
    </w:p>
    <w:p w14:paraId="2C789152">
      <w:pPr>
        <w:spacing w:before="0" w:after="0" w:line="29" w:lineRule="exact"/>
        <w:jc w:val="left"/>
      </w:pPr>
    </w:p>
    <w:p w14:paraId="3DC80716">
      <w:pPr>
        <w:spacing w:before="0" w:after="0" w:line="29" w:lineRule="exact"/>
        <w:jc w:val="left"/>
      </w:pPr>
    </w:p>
    <w:p w14:paraId="2F1A9C6F">
      <w:pPr>
        <w:spacing w:before="0" w:after="0" w:line="29" w:lineRule="exact"/>
        <w:jc w:val="left"/>
      </w:pPr>
    </w:p>
    <w:p w14:paraId="61431618">
      <w:pPr>
        <w:spacing w:before="0" w:after="0" w:line="29" w:lineRule="exact"/>
        <w:jc w:val="left"/>
      </w:pPr>
    </w:p>
    <w:p w14:paraId="1C646509">
      <w:pPr>
        <w:spacing w:before="0" w:after="0" w:line="29" w:lineRule="exact"/>
        <w:jc w:val="left"/>
      </w:pPr>
    </w:p>
    <w:p w14:paraId="515D192A">
      <w:pPr>
        <w:spacing w:before="0" w:after="0" w:line="29" w:lineRule="exact"/>
        <w:jc w:val="left"/>
      </w:pPr>
    </w:p>
    <w:p w14:paraId="41CC09C6">
      <w:pPr>
        <w:spacing w:before="0" w:after="0" w:line="29" w:lineRule="exact"/>
        <w:jc w:val="left"/>
      </w:pPr>
    </w:p>
    <w:p w14:paraId="4691DC3C">
      <w:pPr>
        <w:spacing w:before="0" w:after="0" w:line="29" w:lineRule="exact"/>
        <w:jc w:val="left"/>
      </w:pPr>
    </w:p>
    <w:p w14:paraId="6D007CAC">
      <w:pPr>
        <w:spacing w:before="0" w:after="0" w:line="29" w:lineRule="exact"/>
        <w:jc w:val="left"/>
      </w:pPr>
    </w:p>
    <w:p w14:paraId="042EC64D">
      <w:pPr>
        <w:spacing w:before="0" w:after="0" w:line="29" w:lineRule="exact"/>
        <w:jc w:val="left"/>
      </w:pPr>
    </w:p>
    <w:p w14:paraId="445B1620">
      <w:pPr>
        <w:spacing w:before="0" w:after="0" w:line="464" w:lineRule="exact"/>
        <w:ind w:left="769"/>
        <w:textAlignment w:val="center"/>
        <w:rPr>
          <w:rFonts w:hint="default" w:ascii="微软雅黑" w:hAnsi="微软雅黑" w:cs="微软雅黑" w:eastAsiaTheme="minorEastAsia"/>
          <w:b/>
          <w:color w:val="374957"/>
          <w:sz w:val="24"/>
          <w:lang w:val="en-US" w:eastAsia="zh-CN"/>
        </w:rPr>
      </w:pPr>
      <w:r>
        <w:rPr>
          <w:rFonts w:ascii="微软雅黑" w:hAnsi="微软雅黑" w:eastAsia="微软雅黑" w:cs="微软雅黑"/>
          <w:b/>
          <w:color w:val="374957"/>
          <w:sz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27305</wp:posOffset>
            </wp:positionV>
            <wp:extent cx="295275" cy="295275"/>
            <wp:effectExtent l="0" t="0" r="0" b="0"/>
            <wp:wrapNone/>
            <wp:docPr id="20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30480</wp:posOffset>
            </wp:positionV>
            <wp:extent cx="295275" cy="295275"/>
            <wp:effectExtent l="0" t="0" r="0" b="0"/>
            <wp:wrapNone/>
            <wp:docPr id="21" name="Drawing 0" descr="自我评价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rawing 0" descr="自我评价.svg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技术技能</w:t>
      </w:r>
    </w:p>
    <w:p w14:paraId="06062E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161" w:lineRule="exact"/>
        <w:ind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67945</wp:posOffset>
            </wp:positionV>
            <wp:extent cx="6452870" cy="18415"/>
            <wp:effectExtent l="0" t="0" r="0" b="0"/>
            <wp:wrapNone/>
            <wp:docPr id="22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2852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3AAC99">
      <w:pPr>
        <w:spacing w:before="0" w:after="0" w:line="72" w:lineRule="exact"/>
        <w:rPr>
          <w:rFonts w:hint="eastAsia" w:eastAsiaTheme="minorEastAsia"/>
          <w:sz w:val="21"/>
          <w:lang w:val="en-US" w:eastAsia="zh-CN"/>
        </w:rPr>
      </w:pPr>
    </w:p>
    <w:p w14:paraId="1FD99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" w:lineRule="exact"/>
        <w:textAlignment w:val="auto"/>
        <w:rPr>
          <w:rFonts w:hint="eastAsia" w:eastAsiaTheme="minorEastAsia"/>
          <w:sz w:val="21"/>
          <w:lang w:val="en-US" w:eastAsia="zh-CN"/>
        </w:rPr>
      </w:pPr>
    </w:p>
    <w:p w14:paraId="4177167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编程语言：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Java</w:t>
      </w:r>
    </w:p>
    <w:p w14:paraId="1AE11D5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核心框架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 xml:space="preserve">：Spring Boot , Spring Cloud , MyBatis </w:t>
      </w:r>
    </w:p>
    <w:p w14:paraId="553EE56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微服务生态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：Nacos, OpenFeign, Sentinel</w:t>
      </w:r>
    </w:p>
    <w:p w14:paraId="2347F97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消息队列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：Kafka</w:t>
      </w:r>
    </w:p>
    <w:p w14:paraId="0E8D47D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缓存/搜索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：Redis</w:t>
      </w:r>
    </w:p>
    <w:p w14:paraId="573882C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数据库：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MySQL、Oracle</w:t>
      </w:r>
    </w:p>
    <w:p w14:paraId="01C1C88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0" w:leftChars="0" w:firstLine="0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操作系统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： Linux</w:t>
      </w:r>
    </w:p>
    <w:p w14:paraId="2B656F0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exact"/>
        <w:ind w:left="0" w:leftChars="0" w:firstLine="0" w:firstLineChars="0"/>
        <w:textAlignment w:val="center"/>
        <w:rPr>
          <w:rFonts w:hint="default" w:ascii="微软雅黑" w:hAnsi="微软雅黑" w:eastAsia="微软雅黑" w:cs="微软雅黑"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 w:val="20"/>
          <w:szCs w:val="20"/>
          <w:lang w:val="en-US" w:eastAsia="zh-CN"/>
        </w:rPr>
        <w:t>代码管理：</w:t>
      </w:r>
      <w:r>
        <w:rPr>
          <w:rFonts w:hint="eastAsia" w:ascii="微软雅黑" w:hAnsi="微软雅黑" w:eastAsia="微软雅黑" w:cs="微软雅黑"/>
          <w:color w:val="666666"/>
          <w:sz w:val="20"/>
          <w:szCs w:val="20"/>
          <w:lang w:val="en-US" w:eastAsia="zh-CN"/>
        </w:rPr>
        <w:t>Git</w:t>
      </w:r>
    </w:p>
    <w:p w14:paraId="2540F4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szCs w:val="20"/>
        </w:rPr>
      </w:pPr>
    </w:p>
    <w:sectPr>
      <w:pgSz w:w="11906" w:h="16838"/>
      <w:pgMar w:top="624" w:right="850" w:bottom="510" w:left="85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FB44F"/>
    <w:multiLevelType w:val="singleLevel"/>
    <w:tmpl w:val="DE7FB44F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JmNTAxYTA0NTllZTU0OWY5NWY0MWNlMzBjNGU2OTYifQ=="/>
  </w:docVars>
  <w:rsids>
    <w:rsidRoot w:val="00000000"/>
    <w:rsid w:val="01306F42"/>
    <w:rsid w:val="01CD0FFD"/>
    <w:rsid w:val="02C10E79"/>
    <w:rsid w:val="046250D0"/>
    <w:rsid w:val="047D1717"/>
    <w:rsid w:val="0B2E6D1B"/>
    <w:rsid w:val="0BEA088F"/>
    <w:rsid w:val="0FD55BC2"/>
    <w:rsid w:val="12E80977"/>
    <w:rsid w:val="13001549"/>
    <w:rsid w:val="147A2136"/>
    <w:rsid w:val="148C72E1"/>
    <w:rsid w:val="16514D7F"/>
    <w:rsid w:val="16594AA8"/>
    <w:rsid w:val="18130251"/>
    <w:rsid w:val="19D76D7C"/>
    <w:rsid w:val="1B5F4A3D"/>
    <w:rsid w:val="1D8D0A1D"/>
    <w:rsid w:val="2041582A"/>
    <w:rsid w:val="232C62C7"/>
    <w:rsid w:val="234731C4"/>
    <w:rsid w:val="285A5748"/>
    <w:rsid w:val="28AE60A8"/>
    <w:rsid w:val="28C606E7"/>
    <w:rsid w:val="2ABE39E7"/>
    <w:rsid w:val="2CBE008D"/>
    <w:rsid w:val="2E1F0FC6"/>
    <w:rsid w:val="30CC5DD5"/>
    <w:rsid w:val="329076A7"/>
    <w:rsid w:val="32AB72CC"/>
    <w:rsid w:val="33B03C29"/>
    <w:rsid w:val="343D7A29"/>
    <w:rsid w:val="346965D8"/>
    <w:rsid w:val="34B561E9"/>
    <w:rsid w:val="36333EC6"/>
    <w:rsid w:val="377A101B"/>
    <w:rsid w:val="37895702"/>
    <w:rsid w:val="38FB262F"/>
    <w:rsid w:val="39EE7A9E"/>
    <w:rsid w:val="3A6C19BA"/>
    <w:rsid w:val="40167D4F"/>
    <w:rsid w:val="405968EB"/>
    <w:rsid w:val="46DD79D6"/>
    <w:rsid w:val="4A232255"/>
    <w:rsid w:val="4BC82845"/>
    <w:rsid w:val="4D631A8A"/>
    <w:rsid w:val="4DA70238"/>
    <w:rsid w:val="4E3B7697"/>
    <w:rsid w:val="4E6B787A"/>
    <w:rsid w:val="4F42252D"/>
    <w:rsid w:val="51FB5825"/>
    <w:rsid w:val="5472334E"/>
    <w:rsid w:val="5A1719FC"/>
    <w:rsid w:val="5AB87F28"/>
    <w:rsid w:val="5D485F3B"/>
    <w:rsid w:val="5DF550CF"/>
    <w:rsid w:val="5E8720E6"/>
    <w:rsid w:val="613100ED"/>
    <w:rsid w:val="61D00625"/>
    <w:rsid w:val="62717A76"/>
    <w:rsid w:val="63812C84"/>
    <w:rsid w:val="65D04378"/>
    <w:rsid w:val="66AF24B3"/>
    <w:rsid w:val="677700BB"/>
    <w:rsid w:val="67BF2E98"/>
    <w:rsid w:val="686D1172"/>
    <w:rsid w:val="6A830209"/>
    <w:rsid w:val="6BD864AF"/>
    <w:rsid w:val="6C5E2B90"/>
    <w:rsid w:val="6CFF56D4"/>
    <w:rsid w:val="6E105C5A"/>
    <w:rsid w:val="72997F09"/>
    <w:rsid w:val="74A64681"/>
    <w:rsid w:val="755F2585"/>
    <w:rsid w:val="75706FDE"/>
    <w:rsid w:val="758962F1"/>
    <w:rsid w:val="762A61BC"/>
    <w:rsid w:val="77923D52"/>
    <w:rsid w:val="786101DD"/>
    <w:rsid w:val="7B87641E"/>
    <w:rsid w:val="7E184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sv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svg"/><Relationship Id="rId13" Type="http://schemas.openxmlformats.org/officeDocument/2006/relationships/image" Target="media/image10.png"/><Relationship Id="rId12" Type="http://schemas.openxmlformats.org/officeDocument/2006/relationships/image" Target="media/image9.sv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1687</Words>
  <Characters>1953</Characters>
  <Lines>0</Lines>
  <Paragraphs>0</Paragraphs>
  <TotalTime>89</TotalTime>
  <ScaleCrop>false</ScaleCrop>
  <LinksUpToDate>false</LinksUpToDate>
  <CharactersWithSpaces>2116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2020-10-20T01:53:00Z</dcterms:created>
  <dc:creator>FKYPLX2</dc:creator>
  <cp:lastModifiedBy>何友锋</cp:lastModifiedBy>
  <dcterms:modified xsi:type="dcterms:W3CDTF">2025-09-08T12:59:49Z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04C63208776A44C99619AAFCE2C502B6_13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eyJoZGlkIjoiNTQ2Y2VkNjhhOTE3MjhlZGVhNGEyZGYyMWRlYTEzMDQiLCJ1c2VySWQiOiIxMTgxNzg1MTE5In0=</vt:lpwstr>
  </property>
</Properties>
</file>