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Rahul Sharma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AI Engineer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rahul.sharma.ai@gmail.com   |   +91 98110 33421   |   Cyber City, Gurgaon, Haryana - 122002   |   linkedin.com/in/rahul-sharma-aiengineer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AI Engineer with 7 years of experience designing and deploying NLP and generative AI systems at scale, including a document-intelligence platform processing over 1 million documents monthly. Deep expertise in transformer-based architectures, LLM fine-tuning, and building production-grade AI infrastructure. Experienced in leading small AI engineering teams from prototype to production.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Languages: </w:t>
      </w:r>
      <w:r>
        <w:rPr>
          <w:color w:val="2B2B2B"/>
          <w:sz w:val="20"/>
          <w:szCs w:val="20"/>
        </w:rPr>
        <w:t xml:space="preserve">Python, SQL, Go (basic)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AI/ML: </w:t>
      </w:r>
      <w:r>
        <w:rPr>
          <w:color w:val="2B2B2B"/>
          <w:sz w:val="20"/>
          <w:szCs w:val="20"/>
        </w:rPr>
        <w:t xml:space="preserve">PyTorch, Hugging Face Transformers, LangChain, spaCy, OpenAI/Anthropic APIs, RAG pipelines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Infrastructure: </w:t>
      </w:r>
      <w:r>
        <w:rPr>
          <w:color w:val="2B2B2B"/>
          <w:sz w:val="20"/>
          <w:szCs w:val="20"/>
        </w:rPr>
        <w:t xml:space="preserve">Docker, Kubernetes, AWS (SageMaker, Lambda, Bedrock), Vector DBs (Pinecone, FAISS, Weaviate)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MLOps: </w:t>
      </w:r>
      <w:r>
        <w:rPr>
          <w:color w:val="2B2B2B"/>
          <w:sz w:val="20"/>
          <w:szCs w:val="20"/>
        </w:rPr>
        <w:t xml:space="preserve">MLflow, Weights &amp; Biases, CI/CD for ML, model monitoring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Technical leadership, Cross-functional communication, Research-to-production translation, Mentorship, Strategic prioritization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M.Tech. Artificial Intelligence</w:t>
      </w:r>
      <w:r>
        <w:rPr>
          <w:i/>
          <w:iCs/>
          <w:color w:val="555555"/>
          <w:sz w:val="19"/>
          <w:szCs w:val="19"/>
        </w:rPr>
        <w:t xml:space="preserve">	2017 - 2019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IIT Delhi — CGPA: 8.9/10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B.Tech. Computer Science</w:t>
      </w:r>
      <w:r>
        <w:rPr>
          <w:i/>
          <w:iCs/>
          <w:color w:val="555555"/>
          <w:sz w:val="19"/>
          <w:szCs w:val="19"/>
        </w:rPr>
        <w:t xml:space="preserve">	2013 - 2017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NIT Kurukshetra — CGPA: 8.5/10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DeepLearning.AI TensorFlow Developer Professional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AWS Certified Machine Learning - Specialty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NLP Specialization - deeplearning.ai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AI Engineer (Lead) — DocuMind AI, Gurgaon</w:t>
      </w:r>
      <w:r>
        <w:rPr>
          <w:i/>
          <w:iCs/>
          <w:color w:val="555555"/>
          <w:sz w:val="19"/>
          <w:szCs w:val="19"/>
        </w:rPr>
        <w:t xml:space="preserve">	Mar 2022 -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Lead a team of 4 engineers building an enterprise document-intelligence platform (OCR + NLP + LLM) processing 1M+ documents/month for BFSI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Designed a RAG-based question-answering system over unstructured contracts and policy documents, achieving 91% answer accuracy on an internal benchmark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Fine-tuned a domain-specific transformer model for clause extraction, improving F1 score from 0.74 to 0.89 over the prior rules-based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Own AI infrastructure architecture decisions including vector database selection, model serving, and cost optimization, reducing inference cost per document by 38%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NLP Engineer — Vertex Analytics, Bengaluru</w:t>
      </w:r>
      <w:r>
        <w:rPr>
          <w:i/>
          <w:iCs/>
          <w:color w:val="555555"/>
          <w:sz w:val="19"/>
          <w:szCs w:val="19"/>
        </w:rPr>
        <w:t xml:space="preserve">	Jul 2019 - Feb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named-entity-recognition and document-classification pipeline for financial documents, deployed to 12 enterprise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Developed a text-summarization microservice using fine-tuned BART models, adopted across 3 internal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Reduced model training time by 45% by migrating training pipelines to distributed GPU infrastructure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Enterprise Document Intelligence Platform</w:t>
      </w:r>
      <w:r>
        <w:rPr>
          <w:i/>
          <w:iCs/>
          <w:color w:val="555555"/>
          <w:sz w:val="19"/>
          <w:szCs w:val="19"/>
        </w:rPr>
        <w:t xml:space="preserve">	PyTorch, LangChain, Pinecone, AWS Bedrock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Architected the core RAG pipeline and semantic search layer now used as the flagship product feature at DocuMind AI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Resume Screening &amp; Ranking Engine</w:t>
      </w:r>
      <w:r>
        <w:rPr>
          <w:i/>
          <w:iCs/>
          <w:color w:val="555555"/>
          <w:sz w:val="19"/>
          <w:szCs w:val="19"/>
        </w:rPr>
        <w:t xml:space="preserve">	Hugging Face Transformers, FAISS,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semantic resume-to-JD matching engine using sentence-transformer embeddings, cutting recruiter screening time by 55% in a pilot with 2 clients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Filed 1 patent application for a hybrid rules + LLM clause-extraction method (India Patent Office,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Speaker, PyData Delhi 2023 - 'Production RAG: Lessons from Real Enterprise Deployments'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Led team that won 'Best AI Product Innovation' at company-wide innovation showcase, 2023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Hindi (Native)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2026-07-03T02:08:38.436Z</dcterms:created>
  <dcterms:modified xsi:type="dcterms:W3CDTF">2026-07-03T02:08:38.436Z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