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נחתנו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התעוררתי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המלטונין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שיעבור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המלטונין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ספארק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ולעבור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ACL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סופש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hdmi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הסתכלתי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בטלויזיה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באייפד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מטלוויזיה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כסא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שציפיתי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ענקית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מרפסת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טלוויזיה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אמבטיה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באייפד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לרקוד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נסתדר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הלפטופ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נסתדר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האייפד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בגיטהאב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לאייפד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ניתקע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 24/7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האייפד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בקטנה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אמבטיות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וכאלה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מתחתנת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בעלה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קיצונית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מבחינתם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האויב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חירות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לאומי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הבחנה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חירות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