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כתרומה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לנרמל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ההכנסות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לשחיתות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ביטקוין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בקומוניזם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דלתא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כנורמל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לקומוניזם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השיפוע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דועכת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דועכת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אקספוננציאלית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בקפיטליזם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דועכת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מקפיטליזם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תתפלג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הכישרון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וביקוש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בגדים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הבגדים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למונופול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דיור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תחבורה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שהכניסו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בתחבורה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ומיסוי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פרדוקס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פרמי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שנקח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גרעיני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והפיצוץ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גרעינים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גרעינים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2.5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לעשירית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מאלפית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גרעינים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600 </w:t>
      </w:r>
      <w:r w:rsidDel="00000000" w:rsidR="00000000" w:rsidRPr="00000000">
        <w:rPr>
          <w:rtl w:val="1"/>
        </w:rPr>
        <w:t xml:space="preserve">עשיריות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10000 </w:t>
      </w:r>
      <w:r w:rsidDel="00000000" w:rsidR="00000000" w:rsidRPr="00000000">
        <w:rPr>
          <w:rtl w:val="1"/>
        </w:rPr>
        <w:t xml:space="preserve">כוכבים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 1000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10000 </w:t>
      </w:r>
      <w:r w:rsidDel="00000000" w:rsidR="00000000" w:rsidRPr="00000000">
        <w:rPr>
          <w:rtl w:val="1"/>
        </w:rPr>
        <w:t xml:space="preserve">פיצוצים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יתפוצצו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10 ,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50 50)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למדוד</w:t>
      </w:r>
      <w:r w:rsidDel="00000000" w:rsidR="00000000" w:rsidRPr="00000000">
        <w:rPr>
          <w:rtl w:val="1"/>
        </w:rPr>
        <w:t xml:space="preserve"> 10000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בקצוות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אפסי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שעם</w:t>
      </w:r>
      <w:r w:rsidDel="00000000" w:rsidR="00000000" w:rsidRPr="00000000">
        <w:rPr>
          <w:rtl w:val="1"/>
        </w:rPr>
        <w:t xml:space="preserve"> 10000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10^10)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שהנמוכים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לרעתי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מתפלגת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והשיאן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המערבי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מכירים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גינס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חייזרים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חידה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שאצלו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65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= 65+/-X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65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65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= 65 + X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=65,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130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= 65 - X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= 65 - X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= 65 + X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ותחומים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