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לתכנות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המתוכנתים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הקולקטיבי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הקולקטיב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האינדיבידואל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ממוחשבת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הבשרית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