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לקיחה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תודעה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לוטו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מודעות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פוקוס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להתפקס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מויקיפדיה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יתפקסו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ליבות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פוקוס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מכונות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