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אינטנסיבי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אדרנלין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האדרנלין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שמשחררים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סרוטונין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