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מוניקה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ואיציק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מרענן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לפגוש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האוננות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עסוק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להתגעגע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יזרום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רישיון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500$ </w:t>
      </w:r>
      <w:r w:rsidDel="00000000" w:rsidR="00000000" w:rsidRPr="00000000">
        <w:rPr>
          <w:rtl w:val="1"/>
        </w:rPr>
        <w:t xml:space="preserve">לפנסיה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ועדיף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ועשרים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30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הפוליטיקה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אמריקאי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מנצחים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ברהמ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שבעצם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הצבא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חרב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לבוש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אקדמי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המחדלים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אאגיס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מיליארד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מיליארד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בואינג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רעים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רווחים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שדחף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הנפט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אצלי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מבחינתי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בורחת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מחסום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בקיבינימט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מחסום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תינוק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מתכלה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גביש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