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סלון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הדיפולטי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מטבח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שינה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בסטודיו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השירותים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ופסולת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המטבח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לסלון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פרטיות</w:t>
      </w:r>
      <w:r w:rsidDel="00000000" w:rsidR="00000000" w:rsidRPr="00000000">
        <w:rPr>
          <w:rtl w:val="1"/>
        </w:rPr>
        <w:t xml:space="preserve">, 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כפרקטל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ביגוד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השירותים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לשטיפה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אסלה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צרכים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לשטיפת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משנית</w:t>
      </w:r>
      <w:r w:rsidDel="00000000" w:rsidR="00000000" w:rsidRPr="00000000">
        <w:rPr>
          <w:rtl w:val="1"/>
        </w:rPr>
        <w:t xml:space="preserve">, 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המטבח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לאיחסון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מקרר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מזון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1"/>
        </w:rPr>
        <w:t xml:space="preserve">״, </w:t>
      </w:r>
      <w:r w:rsidDel="00000000" w:rsidR="00000000" w:rsidRPr="00000000">
        <w:rPr>
          <w:rtl w:val="1"/>
        </w:rPr>
        <w:t xml:space="preserve">תנור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ומיקרוגל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לצריכה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לשטיפת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הסלון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וכורסא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ושולחן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חפצים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בגדים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מזון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לישון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זורמים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