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doesn’t have a common denominator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2 - has common denominator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3 - has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4 - has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5 - doesn’t have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6 - has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7 - doesn’t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8 - has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9 - has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10 - has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11 - doesn’t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12 - is the number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