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בגיימיפיקציה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קאן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אקדמי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טאסקים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דראפטים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ריוויו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מדינות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יפים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מסויימים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מינימלית</w:t>
      </w:r>
      <w:r w:rsidDel="00000000" w:rsidR="00000000" w:rsidRPr="00000000">
        <w:rPr>
          <w:rtl w:val="1"/>
        </w:rPr>
        <w:t xml:space="preserve"> 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לגופים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הרגילים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מינהור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איכשהו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קלסיפיקציה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וכו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המשפטים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