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std(x) = (sum((x_i-e(x))^2))^1/2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std+(x) = (mult(x_i/e(x)^^2))^^½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^^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*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**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++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