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4E6B93" w:rsidTr="00502765">
        <w:trPr>
          <w:trHeight w:val="712"/>
        </w:trPr>
        <w:tc>
          <w:tcPr>
            <w:tcW w:w="177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0" w:name="_Ref193779937"/>
            <w:r w:rsidRPr="004E6B93">
              <w:rPr>
                <w:rFonts w:ascii="Arial" w:hAnsi="Arial" w:cs="Arial"/>
                <w:b/>
                <w:bCs/>
                <w:sz w:val="22"/>
                <w:szCs w:val="22"/>
                <w:lang w:val="es-MX"/>
              </w:rPr>
              <w:t>Versión</w:t>
            </w:r>
          </w:p>
        </w:tc>
        <w:tc>
          <w:tcPr>
            <w:tcW w:w="6593"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1" w:name="_Descripción_de_los"/>
            <w:bookmarkEnd w:id="1"/>
            <w:r w:rsidRPr="004E6B93">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2" w:name="_Toc180298371"/>
            <w:r w:rsidRPr="004E6B93">
              <w:rPr>
                <w:rFonts w:ascii="Arial" w:hAnsi="Arial" w:cs="Arial"/>
                <w:b/>
                <w:bCs/>
                <w:sz w:val="22"/>
                <w:szCs w:val="22"/>
                <w:lang w:val="es-MX"/>
              </w:rPr>
              <w:t xml:space="preserve">Fecha </w:t>
            </w:r>
            <w:bookmarkEnd w:id="2"/>
          </w:p>
        </w:tc>
      </w:tr>
      <w:tr w:rsidR="009504E5" w:rsidRPr="004E6B93" w:rsidTr="00502765">
        <w:trPr>
          <w:trHeight w:val="235"/>
        </w:trPr>
        <w:tc>
          <w:tcPr>
            <w:tcW w:w="1771" w:type="dxa"/>
          </w:tcPr>
          <w:p w:rsidR="009504E5" w:rsidRPr="009504E5" w:rsidRDefault="009504E5" w:rsidP="00502765">
            <w:pPr>
              <w:rPr>
                <w:rFonts w:ascii="Arial" w:hAnsi="Arial" w:cs="Arial"/>
                <w:sz w:val="22"/>
                <w:szCs w:val="22"/>
                <w:lang w:val="es-MX"/>
              </w:rPr>
            </w:pPr>
          </w:p>
        </w:tc>
        <w:tc>
          <w:tcPr>
            <w:tcW w:w="6593" w:type="dxa"/>
          </w:tcPr>
          <w:p w:rsidR="009504E5" w:rsidRPr="009504E5" w:rsidRDefault="009504E5" w:rsidP="00502765">
            <w:pPr>
              <w:rPr>
                <w:rFonts w:ascii="Arial" w:hAnsi="Arial" w:cs="Arial"/>
                <w:sz w:val="22"/>
                <w:szCs w:val="22"/>
                <w:lang w:val="es-MX"/>
              </w:rPr>
            </w:pPr>
          </w:p>
        </w:tc>
        <w:tc>
          <w:tcPr>
            <w:tcW w:w="1701" w:type="dxa"/>
          </w:tcPr>
          <w:p w:rsidR="009504E5" w:rsidRPr="009504E5" w:rsidRDefault="009504E5" w:rsidP="009504E5">
            <w:pPr>
              <w:jc w:val="center"/>
              <w:rPr>
                <w:rFonts w:ascii="Arial" w:hAnsi="Arial" w:cs="Arial"/>
                <w:sz w:val="22"/>
                <w:szCs w:val="22"/>
                <w:lang w:val="es-MX"/>
              </w:rPr>
            </w:pPr>
          </w:p>
        </w:tc>
      </w:tr>
      <w:tr w:rsidR="009504E5" w:rsidRPr="004E6B93" w:rsidTr="00502765">
        <w:trPr>
          <w:trHeight w:val="6018"/>
        </w:trPr>
        <w:tc>
          <w:tcPr>
            <w:tcW w:w="1771" w:type="dxa"/>
          </w:tcPr>
          <w:p w:rsidR="009504E5" w:rsidRPr="004E6B93" w:rsidRDefault="009504E5" w:rsidP="00502765">
            <w:pPr>
              <w:rPr>
                <w:rFonts w:ascii="Arial" w:hAnsi="Arial" w:cs="Arial"/>
                <w:b/>
                <w:sz w:val="22"/>
                <w:szCs w:val="22"/>
                <w:lang w:val="es-MX"/>
              </w:rPr>
            </w:pPr>
          </w:p>
        </w:tc>
        <w:tc>
          <w:tcPr>
            <w:tcW w:w="6593" w:type="dxa"/>
          </w:tcPr>
          <w:p w:rsidR="000864AF" w:rsidRDefault="000864AF" w:rsidP="00502765">
            <w:pPr>
              <w:rPr>
                <w:rFonts w:ascii="Arial" w:hAnsi="Arial" w:cs="Arial"/>
                <w:b/>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Default="000864AF" w:rsidP="000864AF">
            <w:pPr>
              <w:rPr>
                <w:rFonts w:ascii="Arial" w:hAnsi="Arial" w:cs="Arial"/>
                <w:sz w:val="22"/>
                <w:szCs w:val="22"/>
                <w:lang w:val="es-MX"/>
              </w:rPr>
            </w:pPr>
          </w:p>
          <w:p w:rsidR="009504E5" w:rsidRPr="000864AF" w:rsidRDefault="000864AF" w:rsidP="000864AF">
            <w:pPr>
              <w:tabs>
                <w:tab w:val="left" w:pos="2265"/>
              </w:tabs>
              <w:rPr>
                <w:rFonts w:ascii="Arial" w:hAnsi="Arial" w:cs="Arial"/>
                <w:sz w:val="22"/>
                <w:szCs w:val="22"/>
                <w:lang w:val="es-MX"/>
              </w:rPr>
            </w:pPr>
            <w:r>
              <w:rPr>
                <w:rFonts w:ascii="Arial" w:hAnsi="Arial" w:cs="Arial"/>
                <w:sz w:val="22"/>
                <w:szCs w:val="22"/>
                <w:lang w:val="es-MX"/>
              </w:rPr>
              <w:tab/>
            </w:r>
          </w:p>
        </w:tc>
        <w:tc>
          <w:tcPr>
            <w:tcW w:w="1701" w:type="dxa"/>
          </w:tcPr>
          <w:p w:rsidR="009504E5" w:rsidRPr="004E6B93" w:rsidRDefault="009504E5" w:rsidP="00502765">
            <w:pPr>
              <w:rPr>
                <w:rFonts w:ascii="Arial" w:hAnsi="Arial" w:cs="Arial"/>
                <w:b/>
                <w:sz w:val="22"/>
                <w:szCs w:val="22"/>
                <w:lang w:val="es-MX"/>
              </w:rPr>
            </w:pPr>
          </w:p>
        </w:tc>
      </w:tr>
      <w:bookmarkEnd w:id="0"/>
    </w:tbl>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4E6B93" w:rsidTr="00502765">
        <w:trPr>
          <w:jc w:val="center"/>
        </w:trPr>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Elaborado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Revisado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Autorizado por:</w:t>
            </w:r>
          </w:p>
        </w:tc>
      </w:tr>
      <w:tr w:rsidR="009504E5" w:rsidRPr="004E6B93" w:rsidTr="00502765">
        <w:trPr>
          <w:jc w:val="center"/>
        </w:trPr>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r>
      <w:tr w:rsidR="009504E5" w:rsidRPr="004E6B93" w:rsidTr="00502765">
        <w:trPr>
          <w:trHeight w:val="1395"/>
          <w:jc w:val="center"/>
        </w:trPr>
        <w:tc>
          <w:tcPr>
            <w:tcW w:w="3402" w:type="dxa"/>
          </w:tcPr>
          <w:p w:rsidR="009504E5" w:rsidRPr="004E6B93" w:rsidRDefault="009504E5" w:rsidP="00502765">
            <w:pPr>
              <w:rPr>
                <w:rFonts w:ascii="Arial" w:hAnsi="Arial" w:cs="Arial"/>
                <w:b/>
                <w:bCs/>
                <w:sz w:val="22"/>
                <w:szCs w:val="22"/>
                <w:lang w:val="es-MX"/>
              </w:rPr>
            </w:pPr>
          </w:p>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r>
    </w:tbl>
    <w:p w:rsidR="006B40D4" w:rsidRDefault="006B40D4" w:rsidP="00710A13">
      <w:pPr>
        <w:jc w:val="both"/>
        <w:rPr>
          <w:rFonts w:ascii="Helvetica" w:hAnsi="Helvetica"/>
          <w:b/>
          <w:lang w:val="es-MX" w:eastAsia="en-US"/>
        </w:rPr>
      </w:pPr>
    </w:p>
    <w:p w:rsidR="006B40D4" w:rsidRDefault="006B40D4" w:rsidP="00710A13">
      <w:pPr>
        <w:jc w:val="both"/>
        <w:rPr>
          <w:rFonts w:ascii="Helvetica" w:hAnsi="Helvetica"/>
          <w:b/>
          <w:lang w:val="es-MX" w:eastAsia="en-US"/>
        </w:rPr>
      </w:pPr>
    </w:p>
    <w:p w:rsidR="008804D1" w:rsidRDefault="008804D1" w:rsidP="008804D1">
      <w:pPr>
        <w:jc w:val="center"/>
        <w:rPr>
          <w:rFonts w:ascii="Helvetica" w:hAnsi="Helvetica"/>
          <w:b/>
          <w:u w:val="single"/>
        </w:rPr>
      </w:pPr>
      <w:r>
        <w:rPr>
          <w:rFonts w:ascii="Helvetica" w:hAnsi="Helvetica"/>
          <w:b/>
          <w:u w:val="single"/>
        </w:rPr>
        <w:lastRenderedPageBreak/>
        <w:t>Política del Uso de Gafete</w:t>
      </w:r>
    </w:p>
    <w:p w:rsidR="008804D1" w:rsidRDefault="008804D1" w:rsidP="008804D1">
      <w:pPr>
        <w:rPr>
          <w:rFonts w:ascii="Helvetica" w:hAnsi="Helvetica"/>
          <w:b/>
          <w:u w:val="single"/>
        </w:rPr>
      </w:pPr>
    </w:p>
    <w:p w:rsidR="008804D1" w:rsidRDefault="008804D1" w:rsidP="008804D1">
      <w:pPr>
        <w:pStyle w:val="Encabezado"/>
        <w:numPr>
          <w:ilvl w:val="0"/>
          <w:numId w:val="27"/>
        </w:numPr>
        <w:tabs>
          <w:tab w:val="clear" w:pos="4419"/>
          <w:tab w:val="clear" w:pos="8838"/>
          <w:tab w:val="center" w:pos="4252"/>
          <w:tab w:val="right" w:pos="8504"/>
        </w:tabs>
        <w:jc w:val="both"/>
        <w:rPr>
          <w:rFonts w:ascii="Helvetica" w:hAnsi="Helvetica"/>
          <w:sz w:val="20"/>
          <w:szCs w:val="20"/>
        </w:rPr>
      </w:pPr>
      <w:r>
        <w:rPr>
          <w:rFonts w:ascii="Helvetica" w:hAnsi="Helvetica"/>
        </w:rPr>
        <w:t xml:space="preserve">El personal operativo que labora en OAQ </w:t>
      </w:r>
      <w:r>
        <w:rPr>
          <w:rFonts w:ascii="Helvetica" w:hAnsi="Helvetica"/>
          <w:b/>
          <w:u w:val="single"/>
        </w:rPr>
        <w:t>(SIN EXCEPCIÓN ALGUNA)</w:t>
      </w:r>
      <w:r>
        <w:rPr>
          <w:rFonts w:ascii="Helvetica" w:hAnsi="Helvetica"/>
        </w:rPr>
        <w:t xml:space="preserve"> cuando se encuentre en las instalaciones de la aduana deberá portar  el Gafete de Identificación en un lugar visible. </w:t>
      </w:r>
    </w:p>
    <w:p w:rsidR="008804D1" w:rsidRDefault="008804D1" w:rsidP="008804D1">
      <w:pPr>
        <w:pStyle w:val="Encabezado"/>
        <w:jc w:val="both"/>
        <w:rPr>
          <w:rFonts w:ascii="Helvetica" w:hAnsi="Helvetica"/>
        </w:rPr>
      </w:pPr>
    </w:p>
    <w:p w:rsidR="008804D1" w:rsidRDefault="008804D1" w:rsidP="008804D1">
      <w:pPr>
        <w:pStyle w:val="Encabezado"/>
        <w:tabs>
          <w:tab w:val="left" w:pos="708"/>
        </w:tabs>
        <w:jc w:val="both"/>
        <w:rPr>
          <w:rFonts w:ascii="Helvetica" w:hAnsi="Helvetica"/>
        </w:rPr>
      </w:pPr>
    </w:p>
    <w:p w:rsidR="008804D1" w:rsidRDefault="008804D1" w:rsidP="008804D1">
      <w:pPr>
        <w:pStyle w:val="Encabezado"/>
        <w:numPr>
          <w:ilvl w:val="0"/>
          <w:numId w:val="27"/>
        </w:numPr>
        <w:tabs>
          <w:tab w:val="clear" w:pos="4419"/>
          <w:tab w:val="clear" w:pos="8838"/>
          <w:tab w:val="center" w:pos="4252"/>
          <w:tab w:val="right" w:pos="8504"/>
        </w:tabs>
        <w:jc w:val="both"/>
        <w:rPr>
          <w:rFonts w:ascii="Helvetica" w:hAnsi="Helvetica"/>
        </w:rPr>
      </w:pPr>
      <w:r>
        <w:rPr>
          <w:rFonts w:ascii="Helvetica" w:hAnsi="Helvetica"/>
        </w:rPr>
        <w:t>Los trabajadores deberán portar el Gafete de Lunes a Viernes durante la jornada de trabajo, dentro de las instalaciones de la aduana.</w:t>
      </w:r>
    </w:p>
    <w:p w:rsidR="008804D1" w:rsidRDefault="008804D1" w:rsidP="008804D1">
      <w:pPr>
        <w:pStyle w:val="Encabezado"/>
        <w:tabs>
          <w:tab w:val="left" w:pos="708"/>
        </w:tabs>
        <w:jc w:val="both"/>
        <w:rPr>
          <w:rFonts w:ascii="Helvetica" w:hAnsi="Helvetica"/>
        </w:rPr>
      </w:pPr>
    </w:p>
    <w:p w:rsidR="008804D1" w:rsidRDefault="008804D1" w:rsidP="008804D1">
      <w:pPr>
        <w:pStyle w:val="Encabezado"/>
        <w:numPr>
          <w:ilvl w:val="0"/>
          <w:numId w:val="27"/>
        </w:numPr>
        <w:tabs>
          <w:tab w:val="clear" w:pos="4419"/>
          <w:tab w:val="clear" w:pos="8838"/>
          <w:tab w:val="center" w:pos="4252"/>
          <w:tab w:val="right" w:pos="8504"/>
        </w:tabs>
        <w:jc w:val="both"/>
        <w:rPr>
          <w:rFonts w:ascii="Helvetica" w:hAnsi="Helvetica"/>
        </w:rPr>
      </w:pPr>
      <w:r>
        <w:rPr>
          <w:rFonts w:ascii="Helvetica" w:hAnsi="Helvetica"/>
        </w:rPr>
        <w:t>El personal que no haga uso del gafete, se hará acreedor a una sanción por parte de la aduana</w:t>
      </w:r>
    </w:p>
    <w:p w:rsidR="008804D1" w:rsidRDefault="008804D1" w:rsidP="008804D1">
      <w:pPr>
        <w:pStyle w:val="Prrafodelista"/>
        <w:rPr>
          <w:rFonts w:ascii="Helvetica" w:hAnsi="Helvetica"/>
        </w:rPr>
      </w:pPr>
    </w:p>
    <w:p w:rsidR="008804D1" w:rsidRDefault="008804D1" w:rsidP="008804D1">
      <w:pPr>
        <w:pStyle w:val="Encabezado"/>
        <w:numPr>
          <w:ilvl w:val="0"/>
          <w:numId w:val="27"/>
        </w:numPr>
        <w:tabs>
          <w:tab w:val="clear" w:pos="4419"/>
          <w:tab w:val="clear" w:pos="8838"/>
          <w:tab w:val="center" w:pos="4252"/>
          <w:tab w:val="right" w:pos="8504"/>
        </w:tabs>
        <w:jc w:val="both"/>
        <w:rPr>
          <w:rFonts w:ascii="Helvetica" w:hAnsi="Helvetica"/>
        </w:rPr>
      </w:pPr>
      <w:r>
        <w:rPr>
          <w:rFonts w:ascii="Helvetica" w:hAnsi="Helvetica"/>
        </w:rPr>
        <w:t>En caso de pérdida, robo, extravío o daño, se deberá reportar inmediatamente al departamento de Operaciones.</w:t>
      </w:r>
    </w:p>
    <w:p w:rsidR="008804D1" w:rsidRDefault="008804D1" w:rsidP="008804D1">
      <w:pPr>
        <w:pStyle w:val="Encabezado"/>
        <w:tabs>
          <w:tab w:val="left" w:pos="708"/>
        </w:tabs>
        <w:jc w:val="both"/>
        <w:rPr>
          <w:rFonts w:ascii="Helvetica" w:hAnsi="Helvetica"/>
        </w:rPr>
      </w:pPr>
    </w:p>
    <w:p w:rsidR="008804D1" w:rsidRDefault="008804D1" w:rsidP="008804D1">
      <w:pPr>
        <w:pStyle w:val="Encabezado"/>
        <w:numPr>
          <w:ilvl w:val="0"/>
          <w:numId w:val="27"/>
        </w:numPr>
        <w:tabs>
          <w:tab w:val="clear" w:pos="4419"/>
          <w:tab w:val="clear" w:pos="8838"/>
          <w:tab w:val="center" w:pos="4252"/>
          <w:tab w:val="right" w:pos="8504"/>
        </w:tabs>
        <w:jc w:val="both"/>
        <w:rPr>
          <w:rFonts w:ascii="Helvetica" w:hAnsi="Helvetica"/>
          <w:bCs/>
        </w:rPr>
      </w:pPr>
      <w:r>
        <w:rPr>
          <w:rFonts w:ascii="Helvetica" w:hAnsi="Helvetica"/>
        </w:rPr>
        <w:t>El gafete es propiedad de la Aduana y deberá entregarse al Departamento de Operaciones en el momento que el empleado termine la relación laboral.</w:t>
      </w:r>
    </w:p>
    <w:p w:rsidR="008804D1" w:rsidRDefault="008804D1" w:rsidP="008804D1">
      <w:pPr>
        <w:pStyle w:val="Prrafodelista"/>
        <w:rPr>
          <w:rFonts w:ascii="Helvetica" w:hAnsi="Helvetica"/>
          <w:bCs/>
        </w:rPr>
      </w:pPr>
    </w:p>
    <w:p w:rsidR="008804D1" w:rsidRDefault="008804D1" w:rsidP="008804D1">
      <w:pPr>
        <w:pStyle w:val="Encabezado"/>
        <w:numPr>
          <w:ilvl w:val="0"/>
          <w:numId w:val="27"/>
        </w:numPr>
        <w:tabs>
          <w:tab w:val="clear" w:pos="4419"/>
          <w:tab w:val="clear" w:pos="8838"/>
          <w:tab w:val="center" w:pos="4252"/>
          <w:tab w:val="right" w:pos="8504"/>
        </w:tabs>
        <w:jc w:val="both"/>
        <w:rPr>
          <w:rFonts w:ascii="Helvetica" w:hAnsi="Helvetica"/>
          <w:bCs/>
        </w:rPr>
      </w:pPr>
      <w:r>
        <w:rPr>
          <w:rFonts w:ascii="Helvetica" w:hAnsi="Helvetica"/>
          <w:bCs/>
        </w:rPr>
        <w:t xml:space="preserve">El empleado firmara un escrito de entrega de gafete </w:t>
      </w:r>
    </w:p>
    <w:p w:rsidR="008804D1" w:rsidRDefault="008804D1" w:rsidP="008804D1">
      <w:pPr>
        <w:pStyle w:val="Encabezado"/>
        <w:tabs>
          <w:tab w:val="left" w:pos="708"/>
        </w:tabs>
        <w:jc w:val="both"/>
        <w:rPr>
          <w:rFonts w:ascii="Helvetica" w:hAnsi="Helvetica"/>
          <w:bCs/>
        </w:rPr>
      </w:pPr>
    </w:p>
    <w:p w:rsidR="008804D1" w:rsidRPr="008804D1" w:rsidRDefault="008804D1" w:rsidP="008804D1">
      <w:pPr>
        <w:pStyle w:val="Encabezado"/>
        <w:numPr>
          <w:ilvl w:val="0"/>
          <w:numId w:val="27"/>
        </w:numPr>
        <w:tabs>
          <w:tab w:val="clear" w:pos="4419"/>
          <w:tab w:val="clear" w:pos="8838"/>
          <w:tab w:val="center" w:pos="4252"/>
          <w:tab w:val="right" w:pos="8504"/>
        </w:tabs>
        <w:jc w:val="both"/>
        <w:rPr>
          <w:rFonts w:ascii="Helvetica" w:hAnsi="Helvetica"/>
          <w:bCs/>
        </w:rPr>
      </w:pPr>
      <w:r>
        <w:rPr>
          <w:rFonts w:ascii="Helvetica" w:hAnsi="Helvetica"/>
        </w:rPr>
        <w:t>En caso de que el gafete no sea entregado al término de la relación laboral, será necesario que el trabajador lo haya reportado como extraviado para poder hacer su baja.</w:t>
      </w:r>
    </w:p>
    <w:p w:rsidR="008804D1" w:rsidRDefault="008804D1" w:rsidP="008804D1">
      <w:pPr>
        <w:pStyle w:val="Prrafodelista"/>
        <w:rPr>
          <w:rFonts w:ascii="Helvetica" w:hAnsi="Helvetica"/>
          <w:bCs/>
        </w:rPr>
      </w:pPr>
    </w:p>
    <w:p w:rsidR="008804D1" w:rsidRDefault="008804D1" w:rsidP="008804D1">
      <w:pPr>
        <w:pStyle w:val="Encabezado"/>
        <w:numPr>
          <w:ilvl w:val="0"/>
          <w:numId w:val="27"/>
        </w:numPr>
        <w:tabs>
          <w:tab w:val="clear" w:pos="4419"/>
          <w:tab w:val="clear" w:pos="8838"/>
          <w:tab w:val="center" w:pos="4252"/>
          <w:tab w:val="right" w:pos="8504"/>
        </w:tabs>
        <w:jc w:val="both"/>
      </w:pPr>
      <w:r w:rsidRPr="008804D1">
        <w:rPr>
          <w:rFonts w:ascii="Helvetica" w:hAnsi="Helvetica"/>
          <w:bCs/>
        </w:rPr>
        <w:t xml:space="preserve">Todo el personal  de OAQ debe portar su gafete de empleado, en un lugar visible, durante el tiempo que permanezca en las instalaciones, dicho gafete será entregado una vez que haya sido contratado por Recursos Humanos, </w:t>
      </w:r>
      <w:r>
        <w:rPr>
          <w:rFonts w:ascii="Helvetica" w:hAnsi="Helvetica"/>
          <w:bCs/>
        </w:rPr>
        <w:t>el no usarlo o uso indebido del mismo será motivo de incumplimiento a estas políticas, y podría ser acreedor a un acta admin</w:t>
      </w:r>
      <w:r w:rsidR="00BC4BC5">
        <w:rPr>
          <w:rFonts w:ascii="Helvetica" w:hAnsi="Helvetica"/>
          <w:bCs/>
        </w:rPr>
        <w:t>istrativa</w:t>
      </w:r>
      <w:r>
        <w:rPr>
          <w:rFonts w:ascii="Helvetica" w:hAnsi="Helvetica"/>
          <w:bCs/>
        </w:rPr>
        <w:t>.</w:t>
      </w:r>
    </w:p>
    <w:p w:rsidR="008D35E5" w:rsidRPr="008804D1" w:rsidRDefault="008D35E5" w:rsidP="008804D1">
      <w:pPr>
        <w:ind w:left="-426" w:right="-150"/>
        <w:jc w:val="both"/>
      </w:pPr>
      <w:bookmarkStart w:id="3" w:name="_GoBack"/>
      <w:bookmarkEnd w:id="3"/>
    </w:p>
    <w:sectPr w:rsidR="008D35E5" w:rsidRPr="008804D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EC5" w:rsidRDefault="00305EC5" w:rsidP="002E4A22">
      <w:r>
        <w:separator/>
      </w:r>
    </w:p>
  </w:endnote>
  <w:endnote w:type="continuationSeparator" w:id="0">
    <w:p w:rsidR="00305EC5" w:rsidRDefault="00305EC5"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D45981" w:rsidP="002E4A22">
          <w:pPr>
            <w:pStyle w:val="Piedepgina"/>
            <w:jc w:val="center"/>
            <w:rPr>
              <w:sz w:val="18"/>
              <w:szCs w:val="18"/>
            </w:rPr>
          </w:pPr>
          <w:r>
            <w:rPr>
              <w:noProof/>
              <w:lang w:val="es-MX" w:eastAsia="es-MX"/>
            </w:rPr>
            <w:drawing>
              <wp:inline distT="0" distB="0" distL="0" distR="0" wp14:anchorId="570957F2" wp14:editId="6EF026F7">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EC5" w:rsidRDefault="00305EC5" w:rsidP="002E4A22">
      <w:r>
        <w:separator/>
      </w:r>
    </w:p>
  </w:footnote>
  <w:footnote w:type="continuationSeparator" w:id="0">
    <w:p w:rsidR="00305EC5" w:rsidRDefault="00305EC5"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3F2E33" w:rsidP="00E822EB">
          <w:pPr>
            <w:jc w:val="center"/>
            <w:rPr>
              <w:rFonts w:asciiTheme="minorHAnsi" w:hAnsiTheme="minorHAnsi" w:cstheme="minorHAnsi"/>
              <w:b/>
              <w:sz w:val="20"/>
              <w:lang w:val="es-MX"/>
            </w:rPr>
          </w:pPr>
          <w:r>
            <w:rPr>
              <w:noProof/>
              <w:lang w:val="es-MX" w:eastAsia="es-MX"/>
            </w:rPr>
            <w:drawing>
              <wp:inline distT="0" distB="0" distL="0" distR="0" wp14:anchorId="547E4AFC" wp14:editId="0C0F8F6D">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B6712B"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BC4BC5">
                <w:rPr>
                  <w:rFonts w:asciiTheme="minorHAnsi" w:hAnsiTheme="minorHAnsi" w:cstheme="minorHAnsi"/>
                  <w:b/>
                  <w:noProof/>
                  <w:sz w:val="20"/>
                  <w:szCs w:val="20"/>
                </w:rPr>
                <w:t>2</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9504E5" w:rsidP="00E822EB">
          <w:pPr>
            <w:jc w:val="center"/>
            <w:rPr>
              <w:rFonts w:asciiTheme="minorHAnsi" w:hAnsiTheme="minorHAnsi" w:cstheme="minorHAnsi"/>
              <w:b/>
              <w:sz w:val="20"/>
              <w:szCs w:val="20"/>
            </w:rPr>
          </w:pPr>
          <w:r>
            <w:rPr>
              <w:rFonts w:asciiTheme="minorHAnsi" w:hAnsiTheme="minorHAnsi" w:cstheme="minorHAnsi"/>
              <w:b/>
              <w:sz w:val="20"/>
              <w:szCs w:val="20"/>
            </w:rPr>
            <w:t>2</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8804D1" w:rsidP="00E822EB">
          <w:pPr>
            <w:jc w:val="center"/>
            <w:rPr>
              <w:rFonts w:asciiTheme="minorHAnsi" w:hAnsiTheme="minorHAnsi" w:cstheme="minorHAnsi"/>
              <w:b/>
              <w:color w:val="002060"/>
              <w:lang w:val="es-MX"/>
            </w:rPr>
          </w:pPr>
          <w:r>
            <w:rPr>
              <w:rFonts w:asciiTheme="minorHAnsi" w:hAnsiTheme="minorHAnsi" w:cstheme="minorHAnsi"/>
              <w:b/>
              <w:color w:val="002060"/>
              <w:lang w:val="es-MX"/>
            </w:rPr>
            <w:t>Políticas de Uso de Gafetes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2E4A22" w:rsidP="00E822EB">
          <w:pPr>
            <w:rPr>
              <w:rFonts w:asciiTheme="minorHAnsi" w:hAnsiTheme="minorHAnsi" w:cstheme="minorHAnsi"/>
              <w:b/>
              <w:sz w:val="20"/>
              <w:szCs w:val="20"/>
              <w:lang w:val="es-MX"/>
            </w:rPr>
          </w:pPr>
        </w:p>
      </w:tc>
    </w:tr>
  </w:tbl>
  <w:p w:rsidR="002E4A22" w:rsidRDefault="002E4A22">
    <w:pPr>
      <w:pStyle w:val="Encabezado"/>
    </w:pPr>
  </w:p>
  <w:p w:rsidR="002E4A22" w:rsidRDefault="002E4A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F98"/>
    <w:multiLevelType w:val="multilevel"/>
    <w:tmpl w:val="84A8BEE4"/>
    <w:lvl w:ilvl="0">
      <w:start w:val="1"/>
      <w:numFmt w:val="decimal"/>
      <w:lvlText w:val="%1."/>
      <w:lvlJc w:val="left"/>
      <w:pPr>
        <w:ind w:left="720" w:hanging="360"/>
      </w:pPr>
    </w:lvl>
    <w:lvl w:ilvl="1">
      <w:start w:val="1"/>
      <w:numFmt w:val="decimal"/>
      <w:isLgl/>
      <w:lvlText w:val="%1.%2"/>
      <w:lvlJc w:val="left"/>
      <w:pPr>
        <w:ind w:left="360" w:hanging="360"/>
      </w:pPr>
      <w:rPr>
        <w:rFonts w:ascii="Calibri" w:hAnsi="Calibri" w:cs="Calibri" w:hint="default"/>
        <w:b/>
        <w:i w:val="0"/>
        <w:sz w:val="20"/>
        <w:szCs w:val="20"/>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1">
    <w:nsid w:val="05B8132F"/>
    <w:multiLevelType w:val="hybridMultilevel"/>
    <w:tmpl w:val="7016611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8805F0"/>
    <w:multiLevelType w:val="hybridMultilevel"/>
    <w:tmpl w:val="EDD4A5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8304C1"/>
    <w:multiLevelType w:val="hybridMultilevel"/>
    <w:tmpl w:val="2B4A3C94"/>
    <w:lvl w:ilvl="0" w:tplc="080A000D">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5">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21DB0A5E"/>
    <w:multiLevelType w:val="hybridMultilevel"/>
    <w:tmpl w:val="E196D8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8">
    <w:nsid w:val="34893B94"/>
    <w:multiLevelType w:val="hybridMultilevel"/>
    <w:tmpl w:val="BC7467F4"/>
    <w:lvl w:ilvl="0" w:tplc="080A0001">
      <w:start w:val="1"/>
      <w:numFmt w:val="bullet"/>
      <w:lvlText w:val=""/>
      <w:lvlJc w:val="left"/>
      <w:pPr>
        <w:ind w:left="720" w:hanging="360"/>
      </w:pPr>
      <w:rPr>
        <w:rFonts w:ascii="Symbol" w:hAnsi="Symbo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0745380"/>
    <w:multiLevelType w:val="hybridMultilevel"/>
    <w:tmpl w:val="4330DC3A"/>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0">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7464B4"/>
    <w:multiLevelType w:val="hybridMultilevel"/>
    <w:tmpl w:val="34983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5CF332A3"/>
    <w:multiLevelType w:val="hybridMultilevel"/>
    <w:tmpl w:val="B67A04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35C176A"/>
    <w:multiLevelType w:val="hybridMultilevel"/>
    <w:tmpl w:val="BF2C9C5E"/>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7">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18">
    <w:nsid w:val="665B0B1D"/>
    <w:multiLevelType w:val="hybridMultilevel"/>
    <w:tmpl w:val="FB908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A8B1869"/>
    <w:multiLevelType w:val="hybridMultilevel"/>
    <w:tmpl w:val="61764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BCC3ACB"/>
    <w:multiLevelType w:val="hybridMultilevel"/>
    <w:tmpl w:val="9686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C6069F2"/>
    <w:multiLevelType w:val="hybridMultilevel"/>
    <w:tmpl w:val="6538B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0960757"/>
    <w:multiLevelType w:val="hybridMultilevel"/>
    <w:tmpl w:val="0846D0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nsid w:val="79F86575"/>
    <w:multiLevelType w:val="hybridMultilevel"/>
    <w:tmpl w:val="1EFCF2E0"/>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25">
    <w:nsid w:val="7FC459A1"/>
    <w:multiLevelType w:val="hybridMultilevel"/>
    <w:tmpl w:val="5DDC14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2"/>
  </w:num>
  <w:num w:numId="4">
    <w:abstractNumId w:val="11"/>
  </w:num>
  <w:num w:numId="5">
    <w:abstractNumId w:val="23"/>
  </w:num>
  <w:num w:numId="6">
    <w:abstractNumId w:val="2"/>
  </w:num>
  <w:num w:numId="7">
    <w:abstractNumId w:val="5"/>
  </w:num>
  <w:num w:numId="8">
    <w:abstractNumId w:val="7"/>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8"/>
  </w:num>
  <w:num w:numId="13">
    <w:abstractNumId w:val="3"/>
  </w:num>
  <w:num w:numId="14">
    <w:abstractNumId w:val="4"/>
  </w:num>
  <w:num w:numId="15">
    <w:abstractNumId w:val="25"/>
  </w:num>
  <w:num w:numId="16">
    <w:abstractNumId w:val="22"/>
  </w:num>
  <w:num w:numId="17">
    <w:abstractNumId w:val="18"/>
  </w:num>
  <w:num w:numId="18">
    <w:abstractNumId w:val="6"/>
  </w:num>
  <w:num w:numId="19">
    <w:abstractNumId w:val="19"/>
  </w:num>
  <w:num w:numId="20">
    <w:abstractNumId w:val="21"/>
  </w:num>
  <w:num w:numId="21">
    <w:abstractNumId w:val="20"/>
  </w:num>
  <w:num w:numId="22">
    <w:abstractNumId w:val="15"/>
  </w:num>
  <w:num w:numId="23">
    <w:abstractNumId w:val="1"/>
  </w:num>
  <w:num w:numId="24">
    <w:abstractNumId w:val="13"/>
  </w:num>
  <w:num w:numId="25">
    <w:abstractNumId w:val="16"/>
  </w:num>
  <w:num w:numId="26">
    <w:abstractNumId w:val="9"/>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15A57"/>
    <w:rsid w:val="000864AF"/>
    <w:rsid w:val="0016765A"/>
    <w:rsid w:val="001749D0"/>
    <w:rsid w:val="0017502C"/>
    <w:rsid w:val="001945A8"/>
    <w:rsid w:val="001C3101"/>
    <w:rsid w:val="001F1539"/>
    <w:rsid w:val="0026160A"/>
    <w:rsid w:val="002671BE"/>
    <w:rsid w:val="00291D7C"/>
    <w:rsid w:val="002B13EC"/>
    <w:rsid w:val="002B18F1"/>
    <w:rsid w:val="002B47DA"/>
    <w:rsid w:val="002D2D3D"/>
    <w:rsid w:val="002E250D"/>
    <w:rsid w:val="002E4A22"/>
    <w:rsid w:val="00305EC5"/>
    <w:rsid w:val="003A59F6"/>
    <w:rsid w:val="003E1C1D"/>
    <w:rsid w:val="003F2E33"/>
    <w:rsid w:val="00421344"/>
    <w:rsid w:val="00421747"/>
    <w:rsid w:val="0047574F"/>
    <w:rsid w:val="00495D33"/>
    <w:rsid w:val="004D04B4"/>
    <w:rsid w:val="00551151"/>
    <w:rsid w:val="005717E8"/>
    <w:rsid w:val="005B418B"/>
    <w:rsid w:val="005C6F9C"/>
    <w:rsid w:val="0067185E"/>
    <w:rsid w:val="00691BF3"/>
    <w:rsid w:val="006A4C60"/>
    <w:rsid w:val="006B3E7A"/>
    <w:rsid w:val="006B40D4"/>
    <w:rsid w:val="006C09F7"/>
    <w:rsid w:val="006D77DF"/>
    <w:rsid w:val="00710A13"/>
    <w:rsid w:val="00713953"/>
    <w:rsid w:val="007327BD"/>
    <w:rsid w:val="00792F05"/>
    <w:rsid w:val="00872819"/>
    <w:rsid w:val="008804D1"/>
    <w:rsid w:val="00884EB3"/>
    <w:rsid w:val="008D35E5"/>
    <w:rsid w:val="008E67ED"/>
    <w:rsid w:val="00900E6B"/>
    <w:rsid w:val="009504E5"/>
    <w:rsid w:val="0096718C"/>
    <w:rsid w:val="00A46685"/>
    <w:rsid w:val="00A47CE3"/>
    <w:rsid w:val="00A83E1C"/>
    <w:rsid w:val="00B6712B"/>
    <w:rsid w:val="00B7797F"/>
    <w:rsid w:val="00B90935"/>
    <w:rsid w:val="00BC4BC5"/>
    <w:rsid w:val="00BC7472"/>
    <w:rsid w:val="00BF29DE"/>
    <w:rsid w:val="00C10817"/>
    <w:rsid w:val="00C14611"/>
    <w:rsid w:val="00C22E8D"/>
    <w:rsid w:val="00D45981"/>
    <w:rsid w:val="00DA2785"/>
    <w:rsid w:val="00DC5E01"/>
    <w:rsid w:val="00DF3ADC"/>
    <w:rsid w:val="00E2324C"/>
    <w:rsid w:val="00E51040"/>
    <w:rsid w:val="00E70207"/>
    <w:rsid w:val="00E83A41"/>
    <w:rsid w:val="00F2768D"/>
    <w:rsid w:val="00F93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Sugey D.Salazar Gaxiola</cp:lastModifiedBy>
  <cp:revision>3</cp:revision>
  <dcterms:created xsi:type="dcterms:W3CDTF">2015-04-28T16:04:00Z</dcterms:created>
  <dcterms:modified xsi:type="dcterms:W3CDTF">2015-04-28T16:05:00Z</dcterms:modified>
</cp:coreProperties>
</file>