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9504E5" w:rsidRPr="004E6B93" w:rsidTr="00502765">
        <w:trPr>
          <w:trHeight w:val="712"/>
        </w:trPr>
        <w:tc>
          <w:tcPr>
            <w:tcW w:w="1771"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0" w:name="_Ref193779937"/>
            <w:r w:rsidRPr="004E6B93">
              <w:rPr>
                <w:rFonts w:ascii="Arial" w:hAnsi="Arial" w:cs="Arial"/>
                <w:b/>
                <w:bCs/>
                <w:sz w:val="22"/>
                <w:szCs w:val="22"/>
                <w:lang w:val="es-MX"/>
              </w:rPr>
              <w:t>Versión</w:t>
            </w:r>
          </w:p>
        </w:tc>
        <w:tc>
          <w:tcPr>
            <w:tcW w:w="6593"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1" w:name="_Descripción_de_los"/>
            <w:bookmarkEnd w:id="1"/>
            <w:r w:rsidRPr="004E6B93">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2" w:name="_Toc180298371"/>
            <w:r w:rsidRPr="004E6B93">
              <w:rPr>
                <w:rFonts w:ascii="Arial" w:hAnsi="Arial" w:cs="Arial"/>
                <w:b/>
                <w:bCs/>
                <w:sz w:val="22"/>
                <w:szCs w:val="22"/>
                <w:lang w:val="es-MX"/>
              </w:rPr>
              <w:t xml:space="preserve">Fecha </w:t>
            </w:r>
            <w:bookmarkEnd w:id="2"/>
          </w:p>
        </w:tc>
      </w:tr>
      <w:tr w:rsidR="009504E5" w:rsidRPr="004E6B93" w:rsidTr="00502765">
        <w:trPr>
          <w:trHeight w:val="235"/>
        </w:trPr>
        <w:tc>
          <w:tcPr>
            <w:tcW w:w="1771" w:type="dxa"/>
          </w:tcPr>
          <w:p w:rsidR="009504E5" w:rsidRPr="009504E5" w:rsidRDefault="00A002F2" w:rsidP="00502765">
            <w:pPr>
              <w:rPr>
                <w:rFonts w:ascii="Arial" w:hAnsi="Arial" w:cs="Arial"/>
                <w:sz w:val="22"/>
                <w:szCs w:val="22"/>
                <w:lang w:val="es-MX"/>
              </w:rPr>
            </w:pPr>
            <w:r>
              <w:rPr>
                <w:rFonts w:ascii="Arial" w:hAnsi="Arial" w:cs="Arial"/>
                <w:sz w:val="22"/>
                <w:szCs w:val="22"/>
                <w:lang w:val="es-MX"/>
              </w:rPr>
              <w:t>00</w:t>
            </w:r>
          </w:p>
        </w:tc>
        <w:tc>
          <w:tcPr>
            <w:tcW w:w="6593" w:type="dxa"/>
          </w:tcPr>
          <w:p w:rsidR="009504E5" w:rsidRPr="009504E5" w:rsidRDefault="00A002F2" w:rsidP="00502765">
            <w:pPr>
              <w:rPr>
                <w:rFonts w:ascii="Arial" w:hAnsi="Arial" w:cs="Arial"/>
                <w:sz w:val="22"/>
                <w:szCs w:val="22"/>
                <w:lang w:val="es-MX"/>
              </w:rPr>
            </w:pPr>
            <w:r>
              <w:rPr>
                <w:rFonts w:ascii="Arial" w:hAnsi="Arial" w:cs="Arial"/>
                <w:sz w:val="22"/>
                <w:szCs w:val="22"/>
                <w:lang w:val="es-MX"/>
              </w:rPr>
              <w:t>Elaboración del Documento</w:t>
            </w:r>
          </w:p>
        </w:tc>
        <w:tc>
          <w:tcPr>
            <w:tcW w:w="1701" w:type="dxa"/>
          </w:tcPr>
          <w:p w:rsidR="009504E5" w:rsidRPr="009504E5" w:rsidRDefault="00A002F2" w:rsidP="009504E5">
            <w:pPr>
              <w:jc w:val="center"/>
              <w:rPr>
                <w:rFonts w:ascii="Arial" w:hAnsi="Arial" w:cs="Arial"/>
                <w:sz w:val="22"/>
                <w:szCs w:val="22"/>
                <w:lang w:val="es-MX"/>
              </w:rPr>
            </w:pPr>
            <w:r>
              <w:rPr>
                <w:rFonts w:ascii="Arial" w:hAnsi="Arial" w:cs="Arial"/>
                <w:sz w:val="22"/>
                <w:szCs w:val="22"/>
                <w:lang w:val="es-MX"/>
              </w:rPr>
              <w:t>26/03/2015</w:t>
            </w:r>
          </w:p>
        </w:tc>
      </w:tr>
      <w:tr w:rsidR="009504E5" w:rsidRPr="004E6B93" w:rsidTr="00502765">
        <w:trPr>
          <w:trHeight w:val="6018"/>
        </w:trPr>
        <w:tc>
          <w:tcPr>
            <w:tcW w:w="1771" w:type="dxa"/>
          </w:tcPr>
          <w:p w:rsidR="009504E5" w:rsidRPr="004E6B93" w:rsidRDefault="009504E5" w:rsidP="00502765">
            <w:pPr>
              <w:rPr>
                <w:rFonts w:ascii="Arial" w:hAnsi="Arial" w:cs="Arial"/>
                <w:b/>
                <w:sz w:val="22"/>
                <w:szCs w:val="22"/>
                <w:lang w:val="es-MX"/>
              </w:rPr>
            </w:pPr>
          </w:p>
        </w:tc>
        <w:tc>
          <w:tcPr>
            <w:tcW w:w="6593" w:type="dxa"/>
          </w:tcPr>
          <w:p w:rsidR="000864AF" w:rsidRDefault="000864AF" w:rsidP="00502765">
            <w:pPr>
              <w:rPr>
                <w:rFonts w:ascii="Arial" w:hAnsi="Arial" w:cs="Arial"/>
                <w:b/>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Default="000864AF" w:rsidP="000864AF">
            <w:pPr>
              <w:rPr>
                <w:rFonts w:ascii="Arial" w:hAnsi="Arial" w:cs="Arial"/>
                <w:sz w:val="22"/>
                <w:szCs w:val="22"/>
                <w:lang w:val="es-MX"/>
              </w:rPr>
            </w:pPr>
          </w:p>
          <w:p w:rsidR="009504E5" w:rsidRPr="000864AF" w:rsidRDefault="000864AF" w:rsidP="000864AF">
            <w:pPr>
              <w:tabs>
                <w:tab w:val="left" w:pos="2265"/>
              </w:tabs>
              <w:rPr>
                <w:rFonts w:ascii="Arial" w:hAnsi="Arial" w:cs="Arial"/>
                <w:sz w:val="22"/>
                <w:szCs w:val="22"/>
                <w:lang w:val="es-MX"/>
              </w:rPr>
            </w:pPr>
            <w:r>
              <w:rPr>
                <w:rFonts w:ascii="Arial" w:hAnsi="Arial" w:cs="Arial"/>
                <w:sz w:val="22"/>
                <w:szCs w:val="22"/>
                <w:lang w:val="es-MX"/>
              </w:rPr>
              <w:tab/>
            </w:r>
          </w:p>
        </w:tc>
        <w:tc>
          <w:tcPr>
            <w:tcW w:w="1701" w:type="dxa"/>
          </w:tcPr>
          <w:p w:rsidR="009504E5" w:rsidRPr="004E6B93" w:rsidRDefault="009504E5" w:rsidP="00502765">
            <w:pPr>
              <w:rPr>
                <w:rFonts w:ascii="Arial" w:hAnsi="Arial" w:cs="Arial"/>
                <w:b/>
                <w:sz w:val="22"/>
                <w:szCs w:val="22"/>
                <w:lang w:val="es-MX"/>
              </w:rPr>
            </w:pPr>
          </w:p>
        </w:tc>
      </w:tr>
      <w:bookmarkEnd w:id="0"/>
    </w:tbl>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tbl>
      <w:tblPr>
        <w:tblW w:w="10206"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402"/>
        <w:gridCol w:w="3402"/>
        <w:gridCol w:w="3402"/>
      </w:tblGrid>
      <w:tr w:rsidR="009504E5" w:rsidRPr="004E6B93" w:rsidTr="00502765">
        <w:trPr>
          <w:jc w:val="center"/>
        </w:trPr>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Elaborado por:</w:t>
            </w:r>
          </w:p>
        </w:tc>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Revisado por:</w:t>
            </w:r>
          </w:p>
        </w:tc>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Autorizado por:</w:t>
            </w:r>
          </w:p>
        </w:tc>
      </w:tr>
      <w:tr w:rsidR="009504E5" w:rsidRPr="004E6B93" w:rsidTr="00502765">
        <w:trPr>
          <w:jc w:val="center"/>
        </w:trPr>
        <w:tc>
          <w:tcPr>
            <w:tcW w:w="3402" w:type="dxa"/>
            <w:vAlign w:val="center"/>
          </w:tcPr>
          <w:p w:rsidR="009504E5" w:rsidRPr="004E6B93" w:rsidRDefault="009504E5" w:rsidP="00502765">
            <w:pPr>
              <w:rPr>
                <w:rFonts w:ascii="Arial" w:hAnsi="Arial" w:cs="Arial"/>
                <w:b/>
                <w:bCs/>
                <w:sz w:val="22"/>
                <w:szCs w:val="22"/>
                <w:lang w:val="es-MX"/>
              </w:rPr>
            </w:pPr>
          </w:p>
        </w:tc>
        <w:tc>
          <w:tcPr>
            <w:tcW w:w="3402" w:type="dxa"/>
            <w:vAlign w:val="center"/>
          </w:tcPr>
          <w:p w:rsidR="009504E5" w:rsidRPr="004E6B93" w:rsidRDefault="009504E5" w:rsidP="00502765">
            <w:pPr>
              <w:rPr>
                <w:rFonts w:ascii="Arial" w:hAnsi="Arial" w:cs="Arial"/>
                <w:b/>
                <w:bCs/>
                <w:sz w:val="22"/>
                <w:szCs w:val="22"/>
                <w:lang w:val="es-MX"/>
              </w:rPr>
            </w:pPr>
          </w:p>
        </w:tc>
        <w:tc>
          <w:tcPr>
            <w:tcW w:w="3402" w:type="dxa"/>
            <w:vAlign w:val="center"/>
          </w:tcPr>
          <w:p w:rsidR="009504E5" w:rsidRPr="004E6B93" w:rsidRDefault="009504E5" w:rsidP="00502765">
            <w:pPr>
              <w:rPr>
                <w:rFonts w:ascii="Arial" w:hAnsi="Arial" w:cs="Arial"/>
                <w:b/>
                <w:bCs/>
                <w:sz w:val="22"/>
                <w:szCs w:val="22"/>
                <w:lang w:val="es-MX"/>
              </w:rPr>
            </w:pPr>
          </w:p>
        </w:tc>
      </w:tr>
      <w:tr w:rsidR="009504E5" w:rsidRPr="004E6B93" w:rsidTr="00502765">
        <w:trPr>
          <w:trHeight w:val="1395"/>
          <w:jc w:val="center"/>
        </w:trPr>
        <w:tc>
          <w:tcPr>
            <w:tcW w:w="3402" w:type="dxa"/>
          </w:tcPr>
          <w:p w:rsidR="009504E5" w:rsidRPr="004E6B93" w:rsidRDefault="009504E5" w:rsidP="00502765">
            <w:pPr>
              <w:rPr>
                <w:rFonts w:ascii="Arial" w:hAnsi="Arial" w:cs="Arial"/>
                <w:b/>
                <w:bCs/>
                <w:sz w:val="22"/>
                <w:szCs w:val="22"/>
                <w:lang w:val="es-MX"/>
              </w:rPr>
            </w:pPr>
          </w:p>
          <w:p w:rsidR="009504E5" w:rsidRPr="004E6B93" w:rsidRDefault="009504E5" w:rsidP="00502765">
            <w:pPr>
              <w:rPr>
                <w:rFonts w:ascii="Arial" w:hAnsi="Arial" w:cs="Arial"/>
                <w:b/>
                <w:bCs/>
                <w:sz w:val="22"/>
                <w:szCs w:val="22"/>
                <w:lang w:val="es-MX"/>
              </w:rPr>
            </w:pPr>
          </w:p>
        </w:tc>
        <w:tc>
          <w:tcPr>
            <w:tcW w:w="3402" w:type="dxa"/>
          </w:tcPr>
          <w:p w:rsidR="009504E5" w:rsidRPr="004E6B93" w:rsidRDefault="009504E5" w:rsidP="00502765">
            <w:pPr>
              <w:rPr>
                <w:rFonts w:ascii="Arial" w:hAnsi="Arial" w:cs="Arial"/>
                <w:b/>
                <w:bCs/>
                <w:sz w:val="22"/>
                <w:szCs w:val="22"/>
                <w:lang w:val="es-MX"/>
              </w:rPr>
            </w:pPr>
          </w:p>
        </w:tc>
        <w:tc>
          <w:tcPr>
            <w:tcW w:w="3402" w:type="dxa"/>
          </w:tcPr>
          <w:p w:rsidR="009504E5" w:rsidRPr="004E6B93" w:rsidRDefault="009504E5" w:rsidP="00502765">
            <w:pPr>
              <w:rPr>
                <w:rFonts w:ascii="Arial" w:hAnsi="Arial" w:cs="Arial"/>
                <w:b/>
                <w:bCs/>
                <w:sz w:val="22"/>
                <w:szCs w:val="22"/>
                <w:lang w:val="es-MX"/>
              </w:rPr>
            </w:pPr>
          </w:p>
        </w:tc>
      </w:tr>
    </w:tbl>
    <w:p w:rsidR="006B40D4" w:rsidRDefault="006B40D4" w:rsidP="00710A13">
      <w:pPr>
        <w:jc w:val="both"/>
        <w:rPr>
          <w:rFonts w:ascii="Helvetica" w:hAnsi="Helvetica"/>
          <w:b/>
          <w:lang w:val="es-MX" w:eastAsia="en-US"/>
        </w:rPr>
      </w:pPr>
    </w:p>
    <w:p w:rsidR="006B40D4" w:rsidRDefault="006B40D4" w:rsidP="00710A13">
      <w:pPr>
        <w:jc w:val="both"/>
        <w:rPr>
          <w:rFonts w:ascii="Helvetica" w:hAnsi="Helvetica"/>
          <w:b/>
          <w:lang w:val="es-MX" w:eastAsia="en-US"/>
        </w:rPr>
      </w:pPr>
    </w:p>
    <w:p w:rsidR="001C3101" w:rsidRDefault="000864AF" w:rsidP="000864AF">
      <w:pPr>
        <w:ind w:left="-426" w:right="-150"/>
        <w:jc w:val="both"/>
        <w:rPr>
          <w:rFonts w:ascii="Arial" w:hAnsi="Arial" w:cs="Arial"/>
          <w:b/>
          <w:bCs/>
          <w:sz w:val="22"/>
          <w:szCs w:val="22"/>
        </w:rPr>
      </w:pPr>
      <w:r>
        <w:rPr>
          <w:rFonts w:ascii="Arial" w:hAnsi="Arial" w:cs="Arial"/>
          <w:b/>
          <w:bCs/>
          <w:sz w:val="22"/>
          <w:szCs w:val="22"/>
        </w:rPr>
        <w:lastRenderedPageBreak/>
        <w:t>Objetivo</w:t>
      </w:r>
    </w:p>
    <w:p w:rsidR="005E1065" w:rsidRDefault="005E1065" w:rsidP="000864AF">
      <w:pPr>
        <w:ind w:left="-426" w:right="-150"/>
        <w:jc w:val="both"/>
        <w:rPr>
          <w:rFonts w:ascii="Arial" w:hAnsi="Arial" w:cs="Arial"/>
          <w:b/>
          <w:bCs/>
          <w:sz w:val="22"/>
          <w:szCs w:val="22"/>
        </w:rPr>
      </w:pPr>
    </w:p>
    <w:p w:rsidR="0013449C" w:rsidRPr="003A1B60" w:rsidRDefault="003A1B60" w:rsidP="000864AF">
      <w:pPr>
        <w:ind w:left="-426" w:right="-150"/>
        <w:jc w:val="both"/>
        <w:rPr>
          <w:rFonts w:ascii="Arial" w:hAnsi="Arial" w:cs="Arial"/>
          <w:bCs/>
          <w:sz w:val="22"/>
          <w:szCs w:val="22"/>
        </w:rPr>
      </w:pPr>
      <w:r w:rsidRPr="003A1B60">
        <w:rPr>
          <w:rFonts w:ascii="Arial" w:hAnsi="Arial" w:cs="Arial"/>
          <w:bCs/>
          <w:sz w:val="22"/>
          <w:szCs w:val="22"/>
        </w:rPr>
        <w:t>Establecer los lineamientos para realizar contratos o conv</w:t>
      </w:r>
      <w:r w:rsidR="005D47AC">
        <w:rPr>
          <w:rFonts w:ascii="Arial" w:hAnsi="Arial" w:cs="Arial"/>
          <w:bCs/>
          <w:sz w:val="22"/>
          <w:szCs w:val="22"/>
        </w:rPr>
        <w:t>enios con asociados de negocios, clientes y  proveedores, que impactan en las actividades propias de Organización Aduanal de Querétaro S.C.</w:t>
      </w:r>
    </w:p>
    <w:p w:rsidR="000864AF" w:rsidRDefault="000864AF" w:rsidP="000864AF">
      <w:pPr>
        <w:ind w:left="-426" w:right="-150"/>
        <w:jc w:val="both"/>
        <w:rPr>
          <w:rFonts w:ascii="Arial" w:hAnsi="Arial" w:cs="Arial"/>
          <w:b/>
          <w:bCs/>
          <w:sz w:val="22"/>
          <w:szCs w:val="22"/>
        </w:rPr>
      </w:pPr>
    </w:p>
    <w:p w:rsidR="00A002F2" w:rsidRDefault="00A002F2" w:rsidP="00A002F2">
      <w:pPr>
        <w:ind w:left="-426" w:right="-150"/>
        <w:jc w:val="both"/>
        <w:rPr>
          <w:rFonts w:ascii="Arial" w:hAnsi="Arial" w:cs="Arial"/>
          <w:b/>
          <w:bCs/>
          <w:sz w:val="22"/>
          <w:szCs w:val="22"/>
        </w:rPr>
      </w:pPr>
      <w:r>
        <w:rPr>
          <w:rFonts w:ascii="Arial" w:hAnsi="Arial" w:cs="Arial"/>
          <w:b/>
          <w:bCs/>
          <w:sz w:val="22"/>
          <w:szCs w:val="22"/>
        </w:rPr>
        <w:t>Alcance</w:t>
      </w:r>
    </w:p>
    <w:p w:rsidR="005E1065" w:rsidRDefault="005E1065" w:rsidP="00A002F2">
      <w:pPr>
        <w:ind w:left="-426" w:right="-150"/>
        <w:jc w:val="both"/>
        <w:rPr>
          <w:rFonts w:ascii="Arial" w:hAnsi="Arial" w:cs="Arial"/>
          <w:b/>
          <w:bCs/>
          <w:sz w:val="22"/>
          <w:szCs w:val="22"/>
        </w:rPr>
      </w:pPr>
    </w:p>
    <w:p w:rsidR="00A002F2" w:rsidRDefault="00A002F2" w:rsidP="00A002F2">
      <w:pPr>
        <w:ind w:left="-426" w:right="-150"/>
        <w:jc w:val="both"/>
        <w:rPr>
          <w:rFonts w:ascii="Arial" w:hAnsi="Arial" w:cs="Arial"/>
          <w:bCs/>
          <w:sz w:val="22"/>
          <w:szCs w:val="22"/>
        </w:rPr>
      </w:pPr>
      <w:r w:rsidRPr="005E1065">
        <w:rPr>
          <w:rFonts w:ascii="Arial" w:hAnsi="Arial" w:cs="Arial"/>
          <w:bCs/>
          <w:sz w:val="22"/>
          <w:szCs w:val="22"/>
        </w:rPr>
        <w:t>A l</w:t>
      </w:r>
      <w:r w:rsidR="000A025A">
        <w:rPr>
          <w:rFonts w:ascii="Arial" w:hAnsi="Arial" w:cs="Arial"/>
          <w:bCs/>
          <w:sz w:val="22"/>
          <w:szCs w:val="22"/>
        </w:rPr>
        <w:t xml:space="preserve">os clientes, proveedores y </w:t>
      </w:r>
      <w:r w:rsidR="005E1065" w:rsidRPr="005E1065">
        <w:rPr>
          <w:rFonts w:ascii="Arial" w:hAnsi="Arial" w:cs="Arial"/>
          <w:bCs/>
          <w:sz w:val="22"/>
          <w:szCs w:val="22"/>
        </w:rPr>
        <w:t xml:space="preserve"> socios </w:t>
      </w:r>
      <w:r w:rsidR="000A025A">
        <w:rPr>
          <w:rFonts w:ascii="Arial" w:hAnsi="Arial" w:cs="Arial"/>
          <w:bCs/>
          <w:sz w:val="22"/>
          <w:szCs w:val="22"/>
        </w:rPr>
        <w:t>que participen en las</w:t>
      </w:r>
      <w:r w:rsidR="00AF54F2">
        <w:rPr>
          <w:rFonts w:ascii="Arial" w:hAnsi="Arial" w:cs="Arial"/>
          <w:bCs/>
          <w:sz w:val="22"/>
          <w:szCs w:val="22"/>
        </w:rPr>
        <w:t xml:space="preserve"> operaciones comerciales de OAQ.</w:t>
      </w:r>
    </w:p>
    <w:p w:rsidR="0000237C" w:rsidRDefault="0000237C" w:rsidP="00A002F2">
      <w:pPr>
        <w:ind w:left="-426" w:right="-150"/>
        <w:jc w:val="both"/>
        <w:rPr>
          <w:rFonts w:ascii="Arial" w:hAnsi="Arial" w:cs="Arial"/>
          <w:bCs/>
          <w:sz w:val="22"/>
          <w:szCs w:val="22"/>
        </w:rPr>
      </w:pPr>
    </w:p>
    <w:p w:rsidR="0000237C" w:rsidRPr="003D7587" w:rsidRDefault="0000237C" w:rsidP="0000237C">
      <w:pPr>
        <w:ind w:left="-426" w:right="-150"/>
        <w:jc w:val="both"/>
        <w:rPr>
          <w:rFonts w:ascii="Arial" w:hAnsi="Arial" w:cs="Arial"/>
          <w:bCs/>
          <w:sz w:val="22"/>
          <w:szCs w:val="22"/>
        </w:rPr>
      </w:pPr>
    </w:p>
    <w:p w:rsidR="0000237C" w:rsidRDefault="0000237C" w:rsidP="0000237C">
      <w:pPr>
        <w:ind w:left="-426" w:right="-150"/>
        <w:jc w:val="both"/>
        <w:rPr>
          <w:rFonts w:ascii="Arial" w:hAnsi="Arial" w:cs="Arial"/>
          <w:b/>
          <w:bCs/>
          <w:sz w:val="22"/>
          <w:szCs w:val="22"/>
        </w:rPr>
      </w:pPr>
      <w:r>
        <w:rPr>
          <w:rFonts w:ascii="Arial" w:hAnsi="Arial" w:cs="Arial"/>
          <w:b/>
          <w:bCs/>
          <w:sz w:val="22"/>
          <w:szCs w:val="22"/>
        </w:rPr>
        <w:t>Responsables</w:t>
      </w:r>
    </w:p>
    <w:p w:rsidR="0000237C" w:rsidRDefault="0000237C" w:rsidP="0000237C">
      <w:pPr>
        <w:ind w:left="-426" w:right="-150"/>
        <w:jc w:val="both"/>
        <w:rPr>
          <w:rFonts w:ascii="Arial" w:hAnsi="Arial" w:cs="Arial"/>
          <w:b/>
          <w:bCs/>
          <w:sz w:val="22"/>
          <w:szCs w:val="22"/>
        </w:rPr>
      </w:pPr>
    </w:p>
    <w:p w:rsidR="0000237C" w:rsidRDefault="0000237C" w:rsidP="0000237C">
      <w:pPr>
        <w:ind w:left="-426" w:right="-150"/>
        <w:jc w:val="both"/>
        <w:rPr>
          <w:rFonts w:ascii="Arial" w:hAnsi="Arial" w:cs="Arial"/>
          <w:b/>
          <w:bCs/>
          <w:sz w:val="22"/>
          <w:szCs w:val="22"/>
        </w:rPr>
      </w:pPr>
    </w:p>
    <w:p w:rsidR="0000237C" w:rsidRPr="006B3584" w:rsidRDefault="0000237C" w:rsidP="006B3584">
      <w:pPr>
        <w:pStyle w:val="Prrafodelista"/>
        <w:numPr>
          <w:ilvl w:val="0"/>
          <w:numId w:val="28"/>
        </w:numPr>
        <w:ind w:right="-150"/>
        <w:jc w:val="both"/>
        <w:rPr>
          <w:rFonts w:ascii="Arial" w:hAnsi="Arial" w:cs="Arial"/>
          <w:bCs/>
          <w:sz w:val="22"/>
          <w:szCs w:val="22"/>
        </w:rPr>
      </w:pPr>
      <w:r w:rsidRPr="006B3584">
        <w:rPr>
          <w:rFonts w:ascii="Arial" w:hAnsi="Arial" w:cs="Arial"/>
          <w:bCs/>
          <w:sz w:val="22"/>
          <w:szCs w:val="22"/>
        </w:rPr>
        <w:t>Dirección General</w:t>
      </w:r>
    </w:p>
    <w:p w:rsidR="0000237C" w:rsidRPr="0000237C" w:rsidRDefault="0000237C" w:rsidP="0000237C">
      <w:pPr>
        <w:ind w:left="-426" w:right="-150"/>
        <w:jc w:val="both"/>
        <w:rPr>
          <w:rFonts w:ascii="Arial" w:hAnsi="Arial" w:cs="Arial"/>
          <w:bCs/>
          <w:sz w:val="22"/>
          <w:szCs w:val="22"/>
        </w:rPr>
      </w:pPr>
    </w:p>
    <w:p w:rsidR="0000237C" w:rsidRPr="006B3584" w:rsidRDefault="0000237C" w:rsidP="006B3584">
      <w:pPr>
        <w:pStyle w:val="Prrafodelista"/>
        <w:numPr>
          <w:ilvl w:val="0"/>
          <w:numId w:val="28"/>
        </w:numPr>
        <w:ind w:right="-150"/>
        <w:jc w:val="both"/>
        <w:rPr>
          <w:rFonts w:ascii="Arial" w:hAnsi="Arial" w:cs="Arial"/>
          <w:bCs/>
          <w:sz w:val="22"/>
          <w:szCs w:val="22"/>
        </w:rPr>
      </w:pPr>
      <w:r w:rsidRPr="006B3584">
        <w:rPr>
          <w:rFonts w:ascii="Arial" w:hAnsi="Arial" w:cs="Arial"/>
          <w:bCs/>
          <w:sz w:val="22"/>
          <w:szCs w:val="22"/>
        </w:rPr>
        <w:t>Gerente de Administración y Finanzas</w:t>
      </w:r>
    </w:p>
    <w:p w:rsidR="0000237C" w:rsidRPr="0000237C" w:rsidRDefault="0000237C" w:rsidP="0000237C">
      <w:pPr>
        <w:ind w:left="-426" w:right="-150"/>
        <w:jc w:val="both"/>
        <w:rPr>
          <w:rFonts w:ascii="Arial" w:hAnsi="Arial" w:cs="Arial"/>
          <w:bCs/>
          <w:sz w:val="22"/>
          <w:szCs w:val="22"/>
        </w:rPr>
      </w:pPr>
    </w:p>
    <w:p w:rsidR="0000237C" w:rsidRDefault="0000237C" w:rsidP="006B3584">
      <w:pPr>
        <w:pStyle w:val="Prrafodelista"/>
        <w:numPr>
          <w:ilvl w:val="0"/>
          <w:numId w:val="28"/>
        </w:numPr>
        <w:ind w:right="-150"/>
        <w:jc w:val="both"/>
        <w:rPr>
          <w:rFonts w:ascii="Arial" w:hAnsi="Arial" w:cs="Arial"/>
          <w:bCs/>
          <w:sz w:val="22"/>
          <w:szCs w:val="22"/>
        </w:rPr>
      </w:pPr>
      <w:r w:rsidRPr="006B3584">
        <w:rPr>
          <w:rFonts w:ascii="Arial" w:hAnsi="Arial" w:cs="Arial"/>
          <w:bCs/>
          <w:sz w:val="22"/>
          <w:szCs w:val="22"/>
        </w:rPr>
        <w:t>Gerente de Operaciones</w:t>
      </w:r>
    </w:p>
    <w:p w:rsidR="006B3584" w:rsidRPr="006B3584" w:rsidRDefault="006B3584" w:rsidP="006B3584">
      <w:pPr>
        <w:pStyle w:val="Prrafodelista"/>
        <w:rPr>
          <w:rFonts w:ascii="Arial" w:hAnsi="Arial" w:cs="Arial"/>
          <w:bCs/>
          <w:sz w:val="22"/>
          <w:szCs w:val="22"/>
        </w:rPr>
      </w:pPr>
    </w:p>
    <w:p w:rsidR="006B3584" w:rsidRPr="006B3584" w:rsidRDefault="006B3584" w:rsidP="006B3584">
      <w:pPr>
        <w:pStyle w:val="Prrafodelista"/>
        <w:numPr>
          <w:ilvl w:val="0"/>
          <w:numId w:val="28"/>
        </w:numPr>
        <w:ind w:right="-150"/>
        <w:jc w:val="both"/>
        <w:rPr>
          <w:rFonts w:ascii="Arial" w:hAnsi="Arial" w:cs="Arial"/>
          <w:bCs/>
          <w:sz w:val="22"/>
          <w:szCs w:val="22"/>
        </w:rPr>
      </w:pPr>
      <w:r>
        <w:rPr>
          <w:rFonts w:ascii="Arial" w:hAnsi="Arial" w:cs="Arial"/>
          <w:bCs/>
          <w:sz w:val="22"/>
          <w:szCs w:val="22"/>
        </w:rPr>
        <w:t>Gerente de Comercialización</w:t>
      </w:r>
    </w:p>
    <w:p w:rsidR="00A96265" w:rsidRDefault="00A96265"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r>
        <w:rPr>
          <w:rFonts w:ascii="Arial" w:hAnsi="Arial" w:cs="Arial"/>
          <w:b/>
          <w:bCs/>
          <w:sz w:val="22"/>
          <w:szCs w:val="22"/>
        </w:rPr>
        <w:t>Referencias:</w:t>
      </w:r>
    </w:p>
    <w:p w:rsidR="000A025A" w:rsidRDefault="000A025A" w:rsidP="000864AF">
      <w:pPr>
        <w:ind w:left="-426" w:right="-150"/>
        <w:jc w:val="both"/>
        <w:rPr>
          <w:rFonts w:ascii="Arial" w:hAnsi="Arial" w:cs="Arial"/>
          <w:b/>
          <w:bCs/>
          <w:sz w:val="22"/>
          <w:szCs w:val="22"/>
        </w:rPr>
      </w:pPr>
    </w:p>
    <w:p w:rsidR="000A025A" w:rsidRPr="000A025A" w:rsidRDefault="000A025A" w:rsidP="000A025A">
      <w:pPr>
        <w:pStyle w:val="Prrafodelista"/>
        <w:numPr>
          <w:ilvl w:val="0"/>
          <w:numId w:val="27"/>
        </w:numPr>
        <w:ind w:right="-150"/>
        <w:jc w:val="both"/>
        <w:rPr>
          <w:rFonts w:ascii="Arial" w:hAnsi="Arial" w:cs="Arial"/>
          <w:bCs/>
          <w:sz w:val="22"/>
          <w:szCs w:val="22"/>
        </w:rPr>
      </w:pPr>
      <w:r w:rsidRPr="000A025A">
        <w:rPr>
          <w:rFonts w:ascii="Arial" w:hAnsi="Arial" w:cs="Arial"/>
          <w:bCs/>
          <w:sz w:val="22"/>
          <w:szCs w:val="22"/>
        </w:rPr>
        <w:t>Manual de Calidad ISO-9001:2008</w:t>
      </w:r>
    </w:p>
    <w:p w:rsidR="000A025A" w:rsidRPr="000A025A" w:rsidRDefault="000A025A" w:rsidP="000A025A">
      <w:pPr>
        <w:pStyle w:val="Prrafodelista"/>
        <w:numPr>
          <w:ilvl w:val="0"/>
          <w:numId w:val="27"/>
        </w:numPr>
        <w:ind w:right="-150"/>
        <w:jc w:val="both"/>
        <w:rPr>
          <w:rFonts w:ascii="Arial" w:hAnsi="Arial" w:cs="Arial"/>
          <w:bCs/>
          <w:sz w:val="22"/>
          <w:szCs w:val="22"/>
        </w:rPr>
      </w:pPr>
      <w:r w:rsidRPr="000A025A">
        <w:rPr>
          <w:rFonts w:ascii="Arial" w:hAnsi="Arial" w:cs="Arial"/>
          <w:bCs/>
          <w:sz w:val="22"/>
          <w:szCs w:val="22"/>
        </w:rPr>
        <w:t>Nuevo Esquema de Empresas Certificadas</w:t>
      </w: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Default="000A025A" w:rsidP="000864AF">
      <w:pPr>
        <w:ind w:left="-426" w:right="-150"/>
        <w:jc w:val="both"/>
        <w:rPr>
          <w:rFonts w:ascii="Arial" w:hAnsi="Arial" w:cs="Arial"/>
          <w:b/>
          <w:bCs/>
          <w:sz w:val="22"/>
          <w:szCs w:val="22"/>
        </w:rPr>
      </w:pPr>
    </w:p>
    <w:p w:rsidR="000A025A" w:rsidRPr="00102436" w:rsidRDefault="00102436" w:rsidP="000864AF">
      <w:pPr>
        <w:ind w:left="-426" w:right="-150"/>
        <w:jc w:val="both"/>
        <w:rPr>
          <w:rFonts w:ascii="Arial" w:hAnsi="Arial" w:cs="Arial"/>
          <w:bCs/>
          <w:sz w:val="22"/>
          <w:szCs w:val="22"/>
        </w:rPr>
      </w:pPr>
      <w:r w:rsidRPr="00102436">
        <w:rPr>
          <w:rFonts w:ascii="Arial" w:hAnsi="Arial" w:cs="Arial"/>
          <w:bCs/>
          <w:sz w:val="22"/>
          <w:szCs w:val="22"/>
        </w:rPr>
        <w:lastRenderedPageBreak/>
        <w:t>La estructura de  este procedimiento se compone de las sociedades que Organización Aduanal de Querétaro S.C. así como de todas las relaciones comerciales con clientes y proveedores, hace mención del contrato que se tiene con tres patentes aduanales para la prestación de los servicios.</w:t>
      </w:r>
    </w:p>
    <w:p w:rsidR="000A025A" w:rsidRDefault="000A025A" w:rsidP="000864AF">
      <w:pPr>
        <w:ind w:left="-426" w:right="-150"/>
        <w:jc w:val="both"/>
        <w:rPr>
          <w:rFonts w:ascii="Arial" w:hAnsi="Arial" w:cs="Arial"/>
          <w:b/>
          <w:bCs/>
          <w:sz w:val="22"/>
          <w:szCs w:val="22"/>
        </w:rPr>
      </w:pPr>
    </w:p>
    <w:p w:rsidR="00A96265" w:rsidRDefault="003C7583" w:rsidP="000864AF">
      <w:pPr>
        <w:ind w:left="-426" w:right="-150"/>
        <w:jc w:val="both"/>
        <w:rPr>
          <w:rFonts w:ascii="Arial" w:hAnsi="Arial" w:cs="Arial"/>
          <w:b/>
          <w:bCs/>
          <w:sz w:val="22"/>
          <w:szCs w:val="22"/>
        </w:rPr>
      </w:pPr>
      <w:r>
        <w:rPr>
          <w:rFonts w:ascii="Arial" w:hAnsi="Arial" w:cs="Arial"/>
          <w:b/>
          <w:bCs/>
          <w:sz w:val="22"/>
          <w:szCs w:val="22"/>
        </w:rPr>
        <w:t>Sociedades:</w:t>
      </w:r>
      <w:bookmarkStart w:id="3" w:name="_GoBack"/>
      <w:bookmarkEnd w:id="3"/>
    </w:p>
    <w:p w:rsidR="003C7583" w:rsidRDefault="003C7583" w:rsidP="000864AF">
      <w:pPr>
        <w:ind w:left="-426" w:right="-150"/>
        <w:jc w:val="both"/>
        <w:rPr>
          <w:rFonts w:ascii="Arial" w:hAnsi="Arial" w:cs="Arial"/>
          <w:b/>
          <w:bCs/>
          <w:sz w:val="22"/>
          <w:szCs w:val="22"/>
        </w:rPr>
      </w:pPr>
    </w:p>
    <w:p w:rsidR="003C7583" w:rsidRDefault="003C7583" w:rsidP="000864AF">
      <w:pPr>
        <w:ind w:left="-426" w:right="-150"/>
        <w:jc w:val="both"/>
        <w:rPr>
          <w:rFonts w:ascii="Arial" w:hAnsi="Arial" w:cs="Arial"/>
          <w:bCs/>
          <w:sz w:val="22"/>
          <w:szCs w:val="22"/>
        </w:rPr>
      </w:pPr>
      <w:r w:rsidRPr="003C7583">
        <w:rPr>
          <w:rFonts w:ascii="Arial" w:hAnsi="Arial" w:cs="Arial"/>
          <w:bCs/>
          <w:sz w:val="22"/>
          <w:szCs w:val="22"/>
        </w:rPr>
        <w:t>La Organización Aduanal de Querétaro S.C.</w:t>
      </w:r>
      <w:r>
        <w:rPr>
          <w:rFonts w:ascii="Arial" w:hAnsi="Arial" w:cs="Arial"/>
          <w:bCs/>
          <w:sz w:val="22"/>
          <w:szCs w:val="22"/>
        </w:rPr>
        <w:t xml:space="preserve"> tiene una relación comercial con los siguientes involucrados:</w:t>
      </w:r>
    </w:p>
    <w:p w:rsidR="001C4C92" w:rsidRDefault="001C4C92" w:rsidP="000864AF">
      <w:pPr>
        <w:ind w:left="-426" w:right="-150"/>
        <w:jc w:val="both"/>
        <w:rPr>
          <w:rFonts w:ascii="Arial" w:hAnsi="Arial" w:cs="Arial"/>
          <w:bCs/>
          <w:sz w:val="22"/>
          <w:szCs w:val="22"/>
        </w:rPr>
      </w:pPr>
    </w:p>
    <w:p w:rsidR="001C4C92" w:rsidRDefault="001C4C92" w:rsidP="000864AF">
      <w:pPr>
        <w:ind w:left="-426" w:right="-150"/>
        <w:jc w:val="both"/>
        <w:rPr>
          <w:rFonts w:ascii="Arial" w:hAnsi="Arial" w:cs="Arial"/>
          <w:b/>
          <w:bCs/>
          <w:sz w:val="22"/>
          <w:szCs w:val="22"/>
        </w:rPr>
      </w:pPr>
      <w:r w:rsidRPr="001C4C92">
        <w:rPr>
          <w:rFonts w:ascii="Arial" w:hAnsi="Arial" w:cs="Arial"/>
          <w:b/>
          <w:bCs/>
          <w:sz w:val="22"/>
          <w:szCs w:val="22"/>
        </w:rPr>
        <w:t>PROEXI Internacional S.C.</w:t>
      </w:r>
    </w:p>
    <w:p w:rsidR="001C4C92" w:rsidRPr="001C4C92" w:rsidRDefault="001C4C92" w:rsidP="000864AF">
      <w:pPr>
        <w:ind w:left="-426" w:right="-150"/>
        <w:jc w:val="both"/>
        <w:rPr>
          <w:rFonts w:ascii="Arial" w:hAnsi="Arial" w:cs="Arial"/>
          <w:b/>
          <w:bCs/>
          <w:sz w:val="22"/>
          <w:szCs w:val="22"/>
        </w:rPr>
      </w:pPr>
    </w:p>
    <w:p w:rsidR="001C4C92" w:rsidRDefault="001C4C92" w:rsidP="000864AF">
      <w:pPr>
        <w:ind w:left="-426" w:right="-150"/>
        <w:jc w:val="both"/>
        <w:rPr>
          <w:rFonts w:ascii="Arial" w:hAnsi="Arial" w:cs="Arial"/>
          <w:bCs/>
          <w:sz w:val="22"/>
          <w:szCs w:val="22"/>
        </w:rPr>
      </w:pPr>
      <w:r>
        <w:rPr>
          <w:rFonts w:ascii="Arial" w:hAnsi="Arial" w:cs="Arial"/>
          <w:bCs/>
          <w:sz w:val="22"/>
          <w:szCs w:val="22"/>
        </w:rPr>
        <w:t>Clausula del Contrato:</w:t>
      </w:r>
    </w:p>
    <w:p w:rsidR="005B0963" w:rsidRDefault="005B0963" w:rsidP="000864AF">
      <w:pPr>
        <w:ind w:left="-426" w:right="-150"/>
        <w:jc w:val="both"/>
        <w:rPr>
          <w:rFonts w:ascii="Arial" w:hAnsi="Arial" w:cs="Arial"/>
          <w:bCs/>
          <w:sz w:val="22"/>
          <w:szCs w:val="22"/>
        </w:rPr>
      </w:pPr>
    </w:p>
    <w:p w:rsidR="001C4C92" w:rsidRDefault="00BD237C" w:rsidP="008128AF">
      <w:pPr>
        <w:pStyle w:val="Default"/>
        <w:jc w:val="both"/>
      </w:pPr>
      <w:r w:rsidRPr="00BD237C">
        <w:rPr>
          <w:b/>
          <w:bCs/>
          <w:sz w:val="22"/>
          <w:szCs w:val="22"/>
        </w:rPr>
        <w:t>I:</w:t>
      </w:r>
      <w:r>
        <w:rPr>
          <w:bCs/>
          <w:sz w:val="22"/>
          <w:szCs w:val="22"/>
        </w:rPr>
        <w:t xml:space="preserve"> </w:t>
      </w:r>
      <w:r w:rsidR="001C4C92">
        <w:rPr>
          <w:bCs/>
          <w:sz w:val="22"/>
          <w:szCs w:val="22"/>
        </w:rPr>
        <w:t xml:space="preserve">Explotación de Patente Aduanal 3574 de la que es titular CP. José Julio Pérez </w:t>
      </w:r>
      <w:proofErr w:type="spellStart"/>
      <w:r w:rsidR="001C4C92">
        <w:rPr>
          <w:bCs/>
          <w:sz w:val="22"/>
          <w:szCs w:val="22"/>
        </w:rPr>
        <w:t>Pérez</w:t>
      </w:r>
      <w:proofErr w:type="spellEnd"/>
      <w:r w:rsidR="001C4C92">
        <w:rPr>
          <w:bCs/>
          <w:sz w:val="22"/>
          <w:szCs w:val="22"/>
        </w:rPr>
        <w:t xml:space="preserve"> con adscripción a la Aduana No. 47 del Aeropuerto Internacional de la Ciudad de México </w:t>
      </w:r>
    </w:p>
    <w:p w:rsidR="001C4C92" w:rsidRDefault="008128AF" w:rsidP="008128AF">
      <w:pPr>
        <w:pStyle w:val="Default"/>
        <w:jc w:val="both"/>
        <w:rPr>
          <w:sz w:val="22"/>
          <w:szCs w:val="22"/>
        </w:rPr>
      </w:pPr>
      <w:r>
        <w:rPr>
          <w:sz w:val="22"/>
          <w:szCs w:val="22"/>
        </w:rPr>
        <w:t>pactándose</w:t>
      </w:r>
      <w:r w:rsidR="001C4C92">
        <w:rPr>
          <w:sz w:val="22"/>
          <w:szCs w:val="22"/>
        </w:rPr>
        <w:t xml:space="preserve"> que la Sociedad y los socios que la integran, no podrán adquirir derecho alguno sobre la patente, ni disfrutarán de los derechos que la Ley Aduanera confiere a los Agentes Aduanales.</w:t>
      </w:r>
    </w:p>
    <w:p w:rsidR="001C4C92" w:rsidRDefault="001C4C92" w:rsidP="008128AF">
      <w:pPr>
        <w:pStyle w:val="Default"/>
        <w:jc w:val="both"/>
        <w:rPr>
          <w:sz w:val="22"/>
          <w:szCs w:val="22"/>
        </w:rPr>
      </w:pPr>
    </w:p>
    <w:p w:rsidR="001C4C92" w:rsidRDefault="001C4C92" w:rsidP="008128AF">
      <w:pPr>
        <w:pStyle w:val="Default"/>
        <w:jc w:val="both"/>
        <w:rPr>
          <w:b/>
          <w:bCs/>
          <w:sz w:val="22"/>
          <w:szCs w:val="22"/>
        </w:rPr>
      </w:pPr>
      <w:r>
        <w:rPr>
          <w:sz w:val="22"/>
          <w:szCs w:val="22"/>
        </w:rPr>
        <w:t xml:space="preserve">Quien en conjunto con </w:t>
      </w:r>
      <w:r>
        <w:rPr>
          <w:b/>
          <w:bCs/>
          <w:sz w:val="22"/>
          <w:szCs w:val="22"/>
        </w:rPr>
        <w:t>Organización Aduanal de Querétaro, S.C</w:t>
      </w:r>
      <w:r>
        <w:rPr>
          <w:sz w:val="22"/>
          <w:szCs w:val="22"/>
        </w:rPr>
        <w:t>; en su Acta Constitutiva, Número 250 doscientos cincuenta, folio 51 cincuenta y uno; en la ciudad de Nuevo Laredo, Tamaulipas, el día 18, del mes de julio de 1996. El notario Licenciado Reynaldo E. Flores Villareal, Notario público no. 106, hace constar el cambio de denominación social de “CORPORACIÓN ZAT Y COMPAÑÍA, S.C.” a “</w:t>
      </w:r>
      <w:r>
        <w:rPr>
          <w:b/>
          <w:bCs/>
          <w:sz w:val="22"/>
          <w:szCs w:val="22"/>
        </w:rPr>
        <w:t>PROEXI INTERNACIONAL, S.C</w:t>
      </w:r>
      <w:r>
        <w:rPr>
          <w:sz w:val="22"/>
          <w:szCs w:val="22"/>
        </w:rPr>
        <w:t xml:space="preserve">.”, constituida por el </w:t>
      </w:r>
      <w:r>
        <w:rPr>
          <w:b/>
          <w:bCs/>
          <w:sz w:val="22"/>
          <w:szCs w:val="22"/>
        </w:rPr>
        <w:t xml:space="preserve">CP. José Julio Pérez </w:t>
      </w:r>
      <w:proofErr w:type="spellStart"/>
      <w:r>
        <w:rPr>
          <w:b/>
          <w:bCs/>
          <w:sz w:val="22"/>
          <w:szCs w:val="22"/>
        </w:rPr>
        <w:t>Pérez</w:t>
      </w:r>
      <w:proofErr w:type="spellEnd"/>
      <w:r>
        <w:rPr>
          <w:b/>
          <w:bCs/>
          <w:sz w:val="22"/>
          <w:szCs w:val="22"/>
        </w:rPr>
        <w:t>.</w:t>
      </w:r>
    </w:p>
    <w:p w:rsidR="001C4C92" w:rsidRDefault="001C4C92" w:rsidP="008128AF">
      <w:pPr>
        <w:pStyle w:val="Default"/>
        <w:jc w:val="both"/>
        <w:rPr>
          <w:sz w:val="22"/>
          <w:szCs w:val="22"/>
        </w:rPr>
      </w:pPr>
    </w:p>
    <w:p w:rsidR="001C4C92" w:rsidRDefault="001C4C92" w:rsidP="008128AF">
      <w:pPr>
        <w:pStyle w:val="Default"/>
        <w:jc w:val="both"/>
        <w:rPr>
          <w:sz w:val="22"/>
          <w:szCs w:val="22"/>
        </w:rPr>
      </w:pPr>
      <w:r>
        <w:rPr>
          <w:sz w:val="22"/>
          <w:szCs w:val="22"/>
        </w:rPr>
        <w:t xml:space="preserve">Con autorización de despacho aduanal de las siguientes aduanas: Aduana no. 24 veinticuatro, Nuevo Laredo, Tamaulipas; Aduana no. 80 ochenta, Colombia, Nuevo León; Aduana no. 16 dieciséis, Manzanillo, Colima; Aduana no. 47 cuarenta y siete, Aeropuerto Internacional de la Ciudad de México.  </w:t>
      </w:r>
    </w:p>
    <w:p w:rsidR="001C4C92" w:rsidRPr="001C4C92" w:rsidRDefault="001C4C92" w:rsidP="000864AF">
      <w:pPr>
        <w:ind w:left="-426" w:right="-150"/>
        <w:jc w:val="both"/>
        <w:rPr>
          <w:rFonts w:ascii="Arial" w:hAnsi="Arial" w:cs="Arial"/>
          <w:bCs/>
          <w:sz w:val="22"/>
          <w:szCs w:val="22"/>
          <w:lang w:val="es-MX"/>
        </w:rPr>
      </w:pPr>
    </w:p>
    <w:p w:rsidR="001C4C92" w:rsidRDefault="001C4C92" w:rsidP="000864AF">
      <w:pPr>
        <w:ind w:left="-426" w:right="-150"/>
        <w:jc w:val="both"/>
        <w:rPr>
          <w:rFonts w:ascii="Arial" w:hAnsi="Arial" w:cs="Arial"/>
          <w:bCs/>
          <w:sz w:val="22"/>
          <w:szCs w:val="22"/>
        </w:rPr>
      </w:pPr>
    </w:p>
    <w:p w:rsidR="001C4C92" w:rsidRDefault="001C4C92" w:rsidP="000864AF">
      <w:pPr>
        <w:ind w:left="-426" w:right="-150"/>
        <w:jc w:val="both"/>
        <w:rPr>
          <w:rFonts w:ascii="Arial" w:hAnsi="Arial" w:cs="Arial"/>
          <w:b/>
          <w:bCs/>
          <w:sz w:val="22"/>
          <w:szCs w:val="22"/>
        </w:rPr>
      </w:pPr>
      <w:r w:rsidRPr="001C4C92">
        <w:rPr>
          <w:rFonts w:ascii="Arial" w:hAnsi="Arial" w:cs="Arial"/>
          <w:b/>
          <w:bCs/>
          <w:sz w:val="22"/>
          <w:szCs w:val="22"/>
        </w:rPr>
        <w:t>Marrón y Agencias Aduanales S.C</w:t>
      </w:r>
    </w:p>
    <w:p w:rsidR="007D30B6" w:rsidRPr="001C4C92" w:rsidRDefault="007D30B6" w:rsidP="000864AF">
      <w:pPr>
        <w:ind w:left="-426" w:right="-150"/>
        <w:jc w:val="both"/>
        <w:rPr>
          <w:rFonts w:ascii="Arial" w:hAnsi="Arial" w:cs="Arial"/>
          <w:b/>
          <w:bCs/>
          <w:sz w:val="22"/>
          <w:szCs w:val="22"/>
        </w:rPr>
      </w:pPr>
    </w:p>
    <w:p w:rsidR="00BD237C" w:rsidRDefault="001C4C92" w:rsidP="001C4C92">
      <w:pPr>
        <w:pStyle w:val="Default"/>
        <w:rPr>
          <w:bCs/>
          <w:sz w:val="22"/>
          <w:szCs w:val="22"/>
        </w:rPr>
      </w:pPr>
      <w:r>
        <w:rPr>
          <w:bCs/>
          <w:sz w:val="22"/>
          <w:szCs w:val="22"/>
        </w:rPr>
        <w:t>Clausula del Contrato:</w:t>
      </w:r>
    </w:p>
    <w:p w:rsidR="001C4C92" w:rsidRDefault="00BD237C" w:rsidP="008128AF">
      <w:pPr>
        <w:pStyle w:val="Default"/>
        <w:jc w:val="both"/>
        <w:rPr>
          <w:sz w:val="22"/>
          <w:szCs w:val="22"/>
        </w:rPr>
      </w:pPr>
      <w:r w:rsidRPr="00BD237C">
        <w:rPr>
          <w:b/>
          <w:bCs/>
          <w:sz w:val="22"/>
          <w:szCs w:val="22"/>
        </w:rPr>
        <w:t>II:</w:t>
      </w:r>
      <w:r>
        <w:rPr>
          <w:bCs/>
          <w:sz w:val="22"/>
          <w:szCs w:val="22"/>
        </w:rPr>
        <w:t xml:space="preserve"> </w:t>
      </w:r>
      <w:r w:rsidR="001C4C92">
        <w:rPr>
          <w:sz w:val="22"/>
          <w:szCs w:val="22"/>
        </w:rPr>
        <w:t xml:space="preserve">La explotación de la patente aduanal número 3589 tres mil quinientos ochenta y nueve, de la que es titular el </w:t>
      </w:r>
      <w:r w:rsidR="001C4C92">
        <w:rPr>
          <w:b/>
          <w:bCs/>
          <w:sz w:val="22"/>
          <w:szCs w:val="22"/>
        </w:rPr>
        <w:t>LIC. LUIS ESTEBAN MARRÓN LIMÓN</w:t>
      </w:r>
      <w:r w:rsidR="001C4C92">
        <w:rPr>
          <w:sz w:val="22"/>
          <w:szCs w:val="22"/>
        </w:rPr>
        <w:t xml:space="preserve">, con adscripción a la aduana no. 80 ochenta, Ciudad de Colombia, Nuevo León; pactándose que la Sociedad y los socios que la integran, no adquirir derecho alguno sobre la patente, ni disfrutarán de los derechos que la Ley Aduanera confiere a los Agentes Aduanales. </w:t>
      </w:r>
    </w:p>
    <w:p w:rsidR="001C4C92" w:rsidRDefault="001C4C92" w:rsidP="008128AF">
      <w:pPr>
        <w:pStyle w:val="Default"/>
        <w:jc w:val="both"/>
        <w:rPr>
          <w:sz w:val="22"/>
          <w:szCs w:val="22"/>
        </w:rPr>
      </w:pPr>
    </w:p>
    <w:p w:rsidR="001C4C92" w:rsidRDefault="001C4C92" w:rsidP="008128AF">
      <w:pPr>
        <w:pStyle w:val="Default"/>
        <w:jc w:val="both"/>
        <w:rPr>
          <w:sz w:val="22"/>
          <w:szCs w:val="22"/>
        </w:rPr>
      </w:pPr>
      <w:r>
        <w:rPr>
          <w:b/>
          <w:bCs/>
          <w:sz w:val="22"/>
          <w:szCs w:val="22"/>
        </w:rPr>
        <w:lastRenderedPageBreak/>
        <w:t xml:space="preserve">“MARRÓN AGENCIAS ADUANALES, S.C.”, </w:t>
      </w:r>
      <w:r>
        <w:rPr>
          <w:sz w:val="22"/>
          <w:szCs w:val="22"/>
        </w:rPr>
        <w:t xml:space="preserve">quien en conjunto con </w:t>
      </w:r>
      <w:r>
        <w:rPr>
          <w:b/>
          <w:bCs/>
          <w:sz w:val="22"/>
          <w:szCs w:val="22"/>
        </w:rPr>
        <w:t>Organización Aduanal de Querétaro, S.C</w:t>
      </w:r>
      <w:r>
        <w:rPr>
          <w:sz w:val="22"/>
          <w:szCs w:val="22"/>
        </w:rPr>
        <w:t xml:space="preserve">.; en su Acta Constitutiva, Escritura 78,327 setenta y ocho mil trecientos veintisiete, tomo 813 ochocientos trece; en la ciudad de Santiago de Querétaro, Capital del estado de Querétaro; el día 9 del mes de agosto del 2011, el Licenciado Alejando Serrano Berry, Notaria Adscrito a la Notaria Pública no. 7, de la que es Titular el Licenciado Manuel Cevallos Urueta; hace constar en los antecedentes, inciso E) la participación y explotación de su patente aduanal, para promoción de comercio exterior. </w:t>
      </w:r>
    </w:p>
    <w:p w:rsidR="001C4C92" w:rsidRPr="001C4C92" w:rsidRDefault="001C4C92" w:rsidP="008128AF">
      <w:pPr>
        <w:pStyle w:val="Default"/>
        <w:jc w:val="both"/>
        <w:rPr>
          <w:sz w:val="22"/>
          <w:szCs w:val="22"/>
        </w:rPr>
      </w:pPr>
    </w:p>
    <w:p w:rsidR="001C4C92" w:rsidRDefault="001C4C92" w:rsidP="008128AF">
      <w:pPr>
        <w:pStyle w:val="Default"/>
        <w:jc w:val="both"/>
        <w:rPr>
          <w:sz w:val="22"/>
          <w:szCs w:val="22"/>
        </w:rPr>
      </w:pPr>
      <w:r>
        <w:rPr>
          <w:sz w:val="22"/>
          <w:szCs w:val="22"/>
        </w:rPr>
        <w:t xml:space="preserve">Con autorización de despacho aduanal den las siguientes aduanas: Aduana no. 24 veinticuatro, Nuevo Laredo, Tamaulipas; Aduana no. 80 ochenta, Colombia, Nuevo León; Aduana no. 64 sesenta y cuatro, Querétaro, Querétaro; Aduana no. 37 treinta y siete, Ciudad Hidalgo, Chiapas. </w:t>
      </w:r>
    </w:p>
    <w:p w:rsidR="001C4C92" w:rsidRDefault="001C4C92" w:rsidP="008128AF">
      <w:pPr>
        <w:pStyle w:val="Default"/>
        <w:jc w:val="both"/>
        <w:rPr>
          <w:sz w:val="22"/>
          <w:szCs w:val="22"/>
        </w:rPr>
      </w:pPr>
    </w:p>
    <w:p w:rsidR="001C4C92" w:rsidRDefault="001C4C92" w:rsidP="000864AF">
      <w:pPr>
        <w:ind w:left="-426" w:right="-150"/>
        <w:jc w:val="both"/>
        <w:rPr>
          <w:rFonts w:ascii="Arial" w:hAnsi="Arial" w:cs="Arial"/>
          <w:bCs/>
          <w:sz w:val="22"/>
          <w:szCs w:val="22"/>
        </w:rPr>
      </w:pPr>
    </w:p>
    <w:p w:rsidR="001C4C92" w:rsidRPr="008128AF" w:rsidRDefault="001C4C92" w:rsidP="000864AF">
      <w:pPr>
        <w:ind w:left="-426" w:right="-150"/>
        <w:jc w:val="both"/>
        <w:rPr>
          <w:rFonts w:ascii="Arial" w:hAnsi="Arial" w:cs="Arial"/>
          <w:b/>
          <w:bCs/>
          <w:sz w:val="22"/>
          <w:szCs w:val="22"/>
        </w:rPr>
      </w:pPr>
      <w:r w:rsidRPr="008128AF">
        <w:rPr>
          <w:rFonts w:ascii="Arial" w:hAnsi="Arial" w:cs="Arial"/>
          <w:b/>
          <w:bCs/>
          <w:sz w:val="22"/>
          <w:szCs w:val="22"/>
        </w:rPr>
        <w:t>Casas de Aduanas Mendoza Altamira S.C.</w:t>
      </w:r>
    </w:p>
    <w:p w:rsidR="001C4C92" w:rsidRDefault="001C4C92" w:rsidP="001C4C92">
      <w:pPr>
        <w:pStyle w:val="Default"/>
      </w:pPr>
    </w:p>
    <w:p w:rsidR="001C4C92" w:rsidRDefault="00BD237C" w:rsidP="008128AF">
      <w:pPr>
        <w:pStyle w:val="Default"/>
        <w:jc w:val="both"/>
        <w:rPr>
          <w:sz w:val="22"/>
          <w:szCs w:val="22"/>
        </w:rPr>
      </w:pPr>
      <w:r w:rsidRPr="00BD237C">
        <w:rPr>
          <w:b/>
          <w:sz w:val="22"/>
          <w:szCs w:val="22"/>
        </w:rPr>
        <w:t>III:</w:t>
      </w:r>
      <w:r>
        <w:rPr>
          <w:sz w:val="22"/>
          <w:szCs w:val="22"/>
        </w:rPr>
        <w:t xml:space="preserve"> </w:t>
      </w:r>
      <w:r w:rsidR="001C4C92">
        <w:rPr>
          <w:sz w:val="22"/>
          <w:szCs w:val="22"/>
        </w:rPr>
        <w:t xml:space="preserve">La explotación de la patente aduanal número 3933 tres mil novecientos treinta y tres, de la que es titular el </w:t>
      </w:r>
      <w:r w:rsidR="001C4C92">
        <w:rPr>
          <w:b/>
          <w:bCs/>
          <w:sz w:val="22"/>
          <w:szCs w:val="22"/>
        </w:rPr>
        <w:t>LIC. MAURICIO MENDOZA SANTA ANA</w:t>
      </w:r>
      <w:r w:rsidR="001C4C92">
        <w:rPr>
          <w:sz w:val="22"/>
          <w:szCs w:val="22"/>
        </w:rPr>
        <w:t xml:space="preserve">, con adscripción a la aduana no. 43 cuarenta y tres, Veracruz, pactándose que la Sociedad y los socios que la integran, no adquirir derecho alguno sobre la patente, ni disfrutarán de los derechos que la Ley Aduanera confiere a los Agentes Aduanales. </w:t>
      </w:r>
    </w:p>
    <w:p w:rsidR="001C4C92" w:rsidRDefault="001C4C92" w:rsidP="008128AF">
      <w:pPr>
        <w:pStyle w:val="Default"/>
        <w:jc w:val="both"/>
        <w:rPr>
          <w:sz w:val="22"/>
          <w:szCs w:val="22"/>
        </w:rPr>
      </w:pPr>
    </w:p>
    <w:p w:rsidR="001C4C92" w:rsidRDefault="001C4C92" w:rsidP="008128AF">
      <w:pPr>
        <w:pStyle w:val="Default"/>
        <w:jc w:val="both"/>
        <w:rPr>
          <w:sz w:val="22"/>
          <w:szCs w:val="22"/>
        </w:rPr>
      </w:pPr>
      <w:r>
        <w:rPr>
          <w:sz w:val="22"/>
          <w:szCs w:val="22"/>
        </w:rPr>
        <w:t xml:space="preserve">Quien en conjunto con </w:t>
      </w:r>
      <w:r w:rsidRPr="001C4C92">
        <w:rPr>
          <w:sz w:val="22"/>
          <w:szCs w:val="22"/>
        </w:rPr>
        <w:t>Organización Aduanal de Querétaro, S.C</w:t>
      </w:r>
      <w:r>
        <w:rPr>
          <w:sz w:val="22"/>
          <w:szCs w:val="22"/>
        </w:rPr>
        <w:t xml:space="preserve">.; en su Acta Constitutiva, Escritura 39,371 treinta y nueve mil trecientos setenta y uno, libro 597 quinientos noventa y siete; en la heroica Ciudad de Veracruz, estado de Veracruz de Ignacio de la llave; el día 19 del mes de marzo del 2010, el Licenciado Juan de Dios Zamora Hernandez </w:t>
      </w:r>
      <w:proofErr w:type="spellStart"/>
      <w:r>
        <w:rPr>
          <w:sz w:val="22"/>
          <w:szCs w:val="22"/>
        </w:rPr>
        <w:t>Jauregui</w:t>
      </w:r>
      <w:proofErr w:type="spellEnd"/>
      <w:r>
        <w:rPr>
          <w:sz w:val="22"/>
          <w:szCs w:val="22"/>
        </w:rPr>
        <w:t xml:space="preserve">, Titular de la Notaria Pública No.4 de la decimoséptima demarcación notarial; hace constar, el contrato de sociedad mercantil bajo la denominación de </w:t>
      </w:r>
      <w:r w:rsidRPr="001C4C92">
        <w:rPr>
          <w:sz w:val="22"/>
          <w:szCs w:val="22"/>
        </w:rPr>
        <w:t>“CASA DE ADUANAS MENDOZA ALTAMIRA, S.C.”</w:t>
      </w:r>
      <w:r>
        <w:rPr>
          <w:sz w:val="22"/>
          <w:szCs w:val="22"/>
        </w:rPr>
        <w:t>. Estableciendo en su segundo estatuto, que podrá establecer agencias, dependencias, sucursales, etc. En cualquier parte del país.</w:t>
      </w:r>
    </w:p>
    <w:p w:rsidR="001C4C92" w:rsidRPr="001C4C92" w:rsidRDefault="001C4C92" w:rsidP="008128AF">
      <w:pPr>
        <w:pStyle w:val="Default"/>
        <w:jc w:val="both"/>
        <w:rPr>
          <w:sz w:val="22"/>
          <w:szCs w:val="22"/>
        </w:rPr>
      </w:pPr>
      <w:r>
        <w:rPr>
          <w:sz w:val="22"/>
          <w:szCs w:val="22"/>
        </w:rPr>
        <w:t>Con autorización de despacho aduanal den las siguientes aduanas: Aduana no. 43 cuarenta y tres, Veracruz, Veracruz; Aduana no. 81 ochenta y uno, Altamira, Tamaulipas; Aduana no. 51 cincuenta y uno, Lázaro Cárdenas, Michoacán.</w:t>
      </w:r>
    </w:p>
    <w:p w:rsidR="00BD237C" w:rsidRDefault="00BD237C" w:rsidP="00BD237C">
      <w:pPr>
        <w:pStyle w:val="Default"/>
      </w:pPr>
    </w:p>
    <w:p w:rsidR="00BD237C" w:rsidRDefault="00BD237C" w:rsidP="00BD237C">
      <w:pPr>
        <w:pStyle w:val="Default"/>
        <w:rPr>
          <w:sz w:val="22"/>
          <w:szCs w:val="22"/>
        </w:rPr>
      </w:pPr>
      <w:r w:rsidRPr="008128AF">
        <w:rPr>
          <w:b/>
          <w:sz w:val="22"/>
          <w:szCs w:val="22"/>
        </w:rPr>
        <w:t>IV.</w:t>
      </w:r>
      <w:r>
        <w:rPr>
          <w:sz w:val="22"/>
          <w:szCs w:val="22"/>
        </w:rPr>
        <w:t xml:space="preserve"> La promoción del Comercio Exterior. </w:t>
      </w:r>
    </w:p>
    <w:p w:rsidR="00BD237C" w:rsidRDefault="00BD237C" w:rsidP="00BD237C">
      <w:pPr>
        <w:pStyle w:val="Default"/>
        <w:rPr>
          <w:sz w:val="22"/>
          <w:szCs w:val="22"/>
        </w:rPr>
      </w:pPr>
    </w:p>
    <w:p w:rsidR="00BD237C" w:rsidRDefault="00BD237C" w:rsidP="00BD237C">
      <w:pPr>
        <w:pStyle w:val="Default"/>
        <w:rPr>
          <w:sz w:val="22"/>
          <w:szCs w:val="22"/>
        </w:rPr>
      </w:pPr>
    </w:p>
    <w:p w:rsidR="00BD237C" w:rsidRDefault="00BD237C" w:rsidP="00BD237C">
      <w:pPr>
        <w:pStyle w:val="Default"/>
        <w:rPr>
          <w:sz w:val="22"/>
          <w:szCs w:val="22"/>
        </w:rPr>
      </w:pPr>
      <w:r w:rsidRPr="008128AF">
        <w:rPr>
          <w:b/>
          <w:sz w:val="22"/>
          <w:szCs w:val="22"/>
        </w:rPr>
        <w:t>V.</w:t>
      </w:r>
      <w:r>
        <w:rPr>
          <w:sz w:val="22"/>
          <w:szCs w:val="22"/>
        </w:rPr>
        <w:t xml:space="preserve"> Gestionar y obtener de las autoridades competentes, las solicitudes y permisos para lograr la realización del objeto de la sociedad. </w:t>
      </w:r>
    </w:p>
    <w:p w:rsidR="00BD237C" w:rsidRDefault="00BD237C" w:rsidP="00BD237C">
      <w:pPr>
        <w:pStyle w:val="Default"/>
        <w:rPr>
          <w:sz w:val="22"/>
          <w:szCs w:val="22"/>
        </w:rPr>
      </w:pPr>
    </w:p>
    <w:p w:rsidR="00BD237C" w:rsidRDefault="00BD237C" w:rsidP="00BD237C">
      <w:pPr>
        <w:pStyle w:val="Default"/>
        <w:rPr>
          <w:sz w:val="22"/>
          <w:szCs w:val="22"/>
        </w:rPr>
      </w:pPr>
    </w:p>
    <w:p w:rsidR="00BD237C" w:rsidRDefault="00BD237C" w:rsidP="00BD237C">
      <w:pPr>
        <w:pStyle w:val="Default"/>
        <w:rPr>
          <w:sz w:val="22"/>
          <w:szCs w:val="22"/>
        </w:rPr>
      </w:pPr>
      <w:r w:rsidRPr="00094FD6">
        <w:rPr>
          <w:b/>
          <w:sz w:val="22"/>
          <w:szCs w:val="22"/>
        </w:rPr>
        <w:lastRenderedPageBreak/>
        <w:t>VI.</w:t>
      </w:r>
      <w:r w:rsidRPr="00094FD6">
        <w:rPr>
          <w:sz w:val="22"/>
          <w:szCs w:val="22"/>
        </w:rPr>
        <w:t xml:space="preserve"> La ejecución del objeto social antes mencionado se podrá efectuar por todos y cada uno de los socios y por las personas que al efecto se contraten, siempre y cuando sean designados específicamente para tal fin.</w:t>
      </w:r>
      <w:r>
        <w:rPr>
          <w:sz w:val="22"/>
          <w:szCs w:val="22"/>
        </w:rPr>
        <w:t xml:space="preserve"> </w:t>
      </w:r>
    </w:p>
    <w:p w:rsidR="00BD237C" w:rsidRDefault="00BD237C" w:rsidP="00BD237C">
      <w:pPr>
        <w:pStyle w:val="Default"/>
        <w:rPr>
          <w:sz w:val="22"/>
          <w:szCs w:val="22"/>
        </w:rPr>
      </w:pPr>
    </w:p>
    <w:p w:rsidR="00BD237C" w:rsidRDefault="00BD237C" w:rsidP="00BD237C">
      <w:pPr>
        <w:pStyle w:val="Default"/>
        <w:rPr>
          <w:sz w:val="22"/>
          <w:szCs w:val="22"/>
        </w:rPr>
      </w:pPr>
    </w:p>
    <w:p w:rsidR="00BD237C" w:rsidRDefault="00BD237C" w:rsidP="00BD237C">
      <w:pPr>
        <w:pStyle w:val="Default"/>
        <w:rPr>
          <w:sz w:val="22"/>
          <w:szCs w:val="22"/>
        </w:rPr>
      </w:pPr>
      <w:r w:rsidRPr="008128AF">
        <w:rPr>
          <w:b/>
          <w:sz w:val="22"/>
          <w:szCs w:val="22"/>
        </w:rPr>
        <w:t>VII.</w:t>
      </w:r>
      <w:r>
        <w:rPr>
          <w:sz w:val="22"/>
          <w:szCs w:val="22"/>
        </w:rPr>
        <w:t xml:space="preserve"> Llevar acabo los estudios y asesorías en materia fiscal, aduanal y de comercio internacional </w:t>
      </w:r>
    </w:p>
    <w:p w:rsidR="00BD237C" w:rsidRDefault="00BD237C" w:rsidP="00BD237C">
      <w:pPr>
        <w:pStyle w:val="Default"/>
        <w:rPr>
          <w:sz w:val="22"/>
          <w:szCs w:val="22"/>
        </w:rPr>
      </w:pPr>
    </w:p>
    <w:p w:rsidR="00BD237C" w:rsidRDefault="00BD237C" w:rsidP="00BD237C">
      <w:pPr>
        <w:pStyle w:val="Default"/>
        <w:rPr>
          <w:sz w:val="22"/>
          <w:szCs w:val="22"/>
        </w:rPr>
      </w:pPr>
    </w:p>
    <w:p w:rsidR="00BD237C" w:rsidRDefault="00BD237C" w:rsidP="00BD237C">
      <w:pPr>
        <w:pStyle w:val="Default"/>
        <w:rPr>
          <w:sz w:val="22"/>
          <w:szCs w:val="22"/>
        </w:rPr>
      </w:pPr>
      <w:r w:rsidRPr="008128AF">
        <w:rPr>
          <w:b/>
          <w:sz w:val="22"/>
          <w:szCs w:val="22"/>
        </w:rPr>
        <w:t>VIII.</w:t>
      </w:r>
      <w:r>
        <w:rPr>
          <w:sz w:val="22"/>
          <w:szCs w:val="22"/>
        </w:rPr>
        <w:t xml:space="preserve"> La adquisición, arrendamiento y sub-arrendamiento de bienes muebles e inmuebles necesarios para lograr la finalidad del objeto social. </w:t>
      </w:r>
    </w:p>
    <w:p w:rsidR="00BD237C" w:rsidRDefault="00BD237C" w:rsidP="00BD237C">
      <w:pPr>
        <w:pStyle w:val="Default"/>
        <w:rPr>
          <w:sz w:val="22"/>
          <w:szCs w:val="22"/>
        </w:rPr>
      </w:pPr>
    </w:p>
    <w:p w:rsidR="00BD237C" w:rsidRDefault="00BD237C" w:rsidP="00BD237C">
      <w:pPr>
        <w:pStyle w:val="Default"/>
        <w:rPr>
          <w:sz w:val="22"/>
          <w:szCs w:val="22"/>
        </w:rPr>
      </w:pPr>
    </w:p>
    <w:p w:rsidR="00BD237C" w:rsidRDefault="00BD237C" w:rsidP="00BD237C">
      <w:pPr>
        <w:pStyle w:val="Default"/>
        <w:rPr>
          <w:sz w:val="22"/>
          <w:szCs w:val="22"/>
        </w:rPr>
      </w:pPr>
      <w:r w:rsidRPr="008128AF">
        <w:rPr>
          <w:b/>
          <w:sz w:val="22"/>
          <w:szCs w:val="22"/>
        </w:rPr>
        <w:t>IX.</w:t>
      </w:r>
      <w:r>
        <w:rPr>
          <w:sz w:val="22"/>
          <w:szCs w:val="22"/>
        </w:rPr>
        <w:t xml:space="preserve"> Además de prestar y recibir toda clase servicios, asesoría y consultoría profesionales en materia de comercio exterior, aduanero, arancelario, tributario, administrativo, fiscal, y logística. </w:t>
      </w:r>
    </w:p>
    <w:p w:rsidR="00BD237C" w:rsidRDefault="00BD237C" w:rsidP="00BD237C">
      <w:pPr>
        <w:pStyle w:val="Default"/>
        <w:rPr>
          <w:sz w:val="22"/>
          <w:szCs w:val="22"/>
        </w:rPr>
      </w:pPr>
    </w:p>
    <w:p w:rsidR="00BD237C" w:rsidRDefault="00BD237C" w:rsidP="00BD237C">
      <w:pPr>
        <w:pStyle w:val="Default"/>
        <w:rPr>
          <w:sz w:val="22"/>
          <w:szCs w:val="22"/>
        </w:rPr>
      </w:pPr>
    </w:p>
    <w:p w:rsidR="00BD237C" w:rsidRDefault="00BD237C" w:rsidP="00BD237C">
      <w:pPr>
        <w:pStyle w:val="Default"/>
        <w:rPr>
          <w:sz w:val="22"/>
          <w:szCs w:val="22"/>
        </w:rPr>
      </w:pPr>
      <w:r w:rsidRPr="008128AF">
        <w:rPr>
          <w:b/>
          <w:sz w:val="22"/>
          <w:szCs w:val="22"/>
        </w:rPr>
        <w:t>X.</w:t>
      </w:r>
      <w:r>
        <w:rPr>
          <w:sz w:val="22"/>
          <w:szCs w:val="22"/>
        </w:rPr>
        <w:t xml:space="preserve"> Representar a personas físicas y morales, públicas y privadas, así como servicios de tramitación, apoyo técnico y gestoría para toda clase de personas, preponderantemente importadores, exportadores, comercializadoras, e industria maquiladora, en las materias de comercio exterior, aduanera, arancelaria, tributaria, comercial y logística. </w:t>
      </w:r>
    </w:p>
    <w:p w:rsidR="00BD237C" w:rsidRDefault="00BD237C" w:rsidP="001C4C92">
      <w:pPr>
        <w:pStyle w:val="Default"/>
        <w:rPr>
          <w:sz w:val="22"/>
          <w:szCs w:val="22"/>
        </w:rPr>
      </w:pPr>
    </w:p>
    <w:p w:rsidR="00BD237C" w:rsidRPr="00102436" w:rsidRDefault="00BD237C" w:rsidP="00BD237C">
      <w:pPr>
        <w:autoSpaceDE w:val="0"/>
        <w:autoSpaceDN w:val="0"/>
        <w:adjustRightInd w:val="0"/>
        <w:rPr>
          <w:rFonts w:ascii="Calibri" w:eastAsiaTheme="minorHAnsi" w:hAnsi="Calibri" w:cs="Calibri"/>
          <w:color w:val="000000"/>
          <w:sz w:val="22"/>
          <w:szCs w:val="22"/>
          <w:lang w:val="es-MX" w:eastAsia="en-US"/>
        </w:rPr>
      </w:pPr>
      <w:r w:rsidRPr="00102436">
        <w:rPr>
          <w:rFonts w:ascii="Calibri" w:eastAsiaTheme="minorHAnsi" w:hAnsi="Calibri" w:cs="Calibri"/>
          <w:b/>
          <w:bCs/>
          <w:iCs/>
          <w:color w:val="000000"/>
          <w:sz w:val="22"/>
          <w:szCs w:val="22"/>
          <w:lang w:val="es-MX" w:eastAsia="en-US"/>
        </w:rPr>
        <w:t xml:space="preserve">OBLIGACIONES DE LOS CORRESPONSALES </w:t>
      </w:r>
    </w:p>
    <w:p w:rsidR="00BD237C" w:rsidRPr="00BD237C" w:rsidRDefault="00BD237C" w:rsidP="00BD237C">
      <w:pPr>
        <w:autoSpaceDE w:val="0"/>
        <w:autoSpaceDN w:val="0"/>
        <w:adjustRightInd w:val="0"/>
        <w:rPr>
          <w:rFonts w:ascii="Calibri" w:eastAsiaTheme="minorHAnsi" w:hAnsi="Calibri" w:cs="Calibri"/>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1. Contar con un staff mínimo compuesto de 1 ejecutivo, 1 tramitador, 1 auxiliar de tráfico, 1 embarcador y 1 auxiliar contable exclusivo para atender las operaciones de OAQ. </w:t>
      </w: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2. Abrir una cuenta especial de cheques para el manejo de los clientes en común con OAQ en cada puerto u oficina de despacho pendiente. COINSAR </w:t>
      </w:r>
      <w:r w:rsidR="00094FD6">
        <w:rPr>
          <w:rFonts w:ascii="Arial" w:eastAsiaTheme="minorHAnsi" w:hAnsi="Arial" w:cs="Arial"/>
          <w:color w:val="000000"/>
          <w:sz w:val="22"/>
          <w:szCs w:val="22"/>
          <w:lang w:val="es-MX" w:eastAsia="en-US"/>
        </w:rPr>
        <w:t>(Agencia Aduanal)</w:t>
      </w: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3. Proceder a las comprobaciones en tiempo y forma, 10 días como máximo en comprobación para OAQ con tiempos por despachos de 3 – 5 días para contendor y 5 – 7 días para carga Suelta contando con la documentación necesaria para llevar a cabo la operación. </w:t>
      </w: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4. En caso de existir diferencia de acuerdo a compromisos, adjuntar justificación documentada para la conformidad del cliente. </w:t>
      </w: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C523EC" w:rsidRDefault="00BD237C" w:rsidP="001151A7">
      <w:pPr>
        <w:autoSpaceDE w:val="0"/>
        <w:autoSpaceDN w:val="0"/>
        <w:adjustRightInd w:val="0"/>
        <w:jc w:val="both"/>
        <w:rPr>
          <w:rFonts w:ascii="Arial" w:eastAsiaTheme="minorHAnsi" w:hAnsi="Arial" w:cs="Arial"/>
          <w:color w:val="000000"/>
          <w:sz w:val="22"/>
          <w:szCs w:val="22"/>
          <w:lang w:val="es-MX" w:eastAsia="en-US"/>
        </w:rPr>
      </w:pPr>
      <w:r w:rsidRPr="00C523EC">
        <w:rPr>
          <w:rFonts w:ascii="Arial" w:eastAsiaTheme="minorHAnsi" w:hAnsi="Arial" w:cs="Arial"/>
          <w:color w:val="000000"/>
          <w:sz w:val="22"/>
          <w:szCs w:val="22"/>
          <w:lang w:val="es-MX" w:eastAsia="en-US"/>
        </w:rPr>
        <w:t>5. En cuanto</w:t>
      </w:r>
      <w:r w:rsidR="00AE72BF" w:rsidRPr="00C523EC">
        <w:rPr>
          <w:rFonts w:ascii="Arial" w:eastAsiaTheme="minorHAnsi" w:hAnsi="Arial" w:cs="Arial"/>
          <w:color w:val="000000"/>
          <w:sz w:val="22"/>
          <w:szCs w:val="22"/>
          <w:lang w:val="es-MX" w:eastAsia="en-US"/>
        </w:rPr>
        <w:t xml:space="preserve"> </w:t>
      </w:r>
      <w:r w:rsidRPr="00C523EC">
        <w:rPr>
          <w:rFonts w:ascii="Arial" w:eastAsiaTheme="minorHAnsi" w:hAnsi="Arial" w:cs="Arial"/>
          <w:color w:val="000000"/>
          <w:sz w:val="22"/>
          <w:szCs w:val="22"/>
          <w:lang w:val="es-MX" w:eastAsia="en-US"/>
        </w:rPr>
        <w:t xml:space="preserve"> sepan los saldos específicos de la operación, proceder a solicitar los complementos financiados o las devoluciones de los sobrantes de los anticipos. </w:t>
      </w:r>
    </w:p>
    <w:p w:rsidR="00BD237C" w:rsidRPr="00C523EC" w:rsidRDefault="00BD237C" w:rsidP="001151A7">
      <w:pPr>
        <w:autoSpaceDE w:val="0"/>
        <w:autoSpaceDN w:val="0"/>
        <w:adjustRightInd w:val="0"/>
        <w:jc w:val="both"/>
        <w:rPr>
          <w:rFonts w:ascii="Arial" w:eastAsiaTheme="minorHAnsi" w:hAnsi="Arial" w:cs="Arial"/>
          <w:color w:val="000000"/>
          <w:sz w:val="22"/>
          <w:szCs w:val="22"/>
          <w:lang w:val="es-MX" w:eastAsia="en-US"/>
        </w:rPr>
      </w:pPr>
    </w:p>
    <w:p w:rsidR="00BD237C" w:rsidRPr="00C523EC" w:rsidRDefault="00BD237C" w:rsidP="001151A7">
      <w:pPr>
        <w:autoSpaceDE w:val="0"/>
        <w:autoSpaceDN w:val="0"/>
        <w:adjustRightInd w:val="0"/>
        <w:jc w:val="both"/>
        <w:rPr>
          <w:rFonts w:ascii="Arial" w:eastAsiaTheme="minorHAnsi" w:hAnsi="Arial" w:cs="Arial"/>
          <w:color w:val="000000"/>
          <w:sz w:val="22"/>
          <w:szCs w:val="22"/>
          <w:lang w:val="es-MX" w:eastAsia="en-US"/>
        </w:rPr>
      </w:pPr>
      <w:r w:rsidRPr="00C523EC">
        <w:rPr>
          <w:rFonts w:ascii="Arial" w:eastAsiaTheme="minorHAnsi" w:hAnsi="Arial" w:cs="Arial"/>
          <w:color w:val="000000"/>
          <w:sz w:val="22"/>
          <w:szCs w:val="22"/>
          <w:lang w:val="es-MX" w:eastAsia="en-US"/>
        </w:rPr>
        <w:t xml:space="preserve">6. Pago de las cuentas de gastos una vez cobradas a los clientes. </w:t>
      </w:r>
    </w:p>
    <w:p w:rsidR="00BD237C" w:rsidRPr="00C523EC" w:rsidRDefault="00BD237C" w:rsidP="001151A7">
      <w:pPr>
        <w:autoSpaceDE w:val="0"/>
        <w:autoSpaceDN w:val="0"/>
        <w:adjustRightInd w:val="0"/>
        <w:jc w:val="both"/>
        <w:rPr>
          <w:rFonts w:ascii="Arial" w:eastAsiaTheme="minorHAnsi" w:hAnsi="Arial" w:cs="Arial"/>
          <w:color w:val="000000"/>
          <w:sz w:val="22"/>
          <w:szCs w:val="22"/>
          <w:lang w:val="es-MX" w:eastAsia="en-US"/>
        </w:rPr>
      </w:pPr>
    </w:p>
    <w:p w:rsidR="00BD237C" w:rsidRPr="00C523EC" w:rsidRDefault="00BD237C" w:rsidP="001151A7">
      <w:pPr>
        <w:autoSpaceDE w:val="0"/>
        <w:autoSpaceDN w:val="0"/>
        <w:adjustRightInd w:val="0"/>
        <w:jc w:val="both"/>
        <w:rPr>
          <w:rFonts w:ascii="Arial" w:eastAsiaTheme="minorHAnsi" w:hAnsi="Arial" w:cs="Arial"/>
          <w:color w:val="000000"/>
          <w:sz w:val="22"/>
          <w:szCs w:val="22"/>
          <w:lang w:val="es-MX" w:eastAsia="en-US"/>
        </w:rPr>
      </w:pPr>
      <w:r w:rsidRPr="00C523EC">
        <w:rPr>
          <w:rFonts w:ascii="Arial" w:eastAsiaTheme="minorHAnsi" w:hAnsi="Arial" w:cs="Arial"/>
          <w:color w:val="000000"/>
          <w:sz w:val="22"/>
          <w:szCs w:val="22"/>
          <w:lang w:val="es-MX" w:eastAsia="en-US"/>
        </w:rPr>
        <w:t xml:space="preserve">7. Reportes de estados de cuenta en Excel, para conciliaciones mensuales. </w:t>
      </w:r>
    </w:p>
    <w:p w:rsidR="00BD237C" w:rsidRPr="00C523EC" w:rsidRDefault="00BD237C" w:rsidP="001151A7">
      <w:pPr>
        <w:autoSpaceDE w:val="0"/>
        <w:autoSpaceDN w:val="0"/>
        <w:adjustRightInd w:val="0"/>
        <w:jc w:val="both"/>
        <w:rPr>
          <w:rFonts w:ascii="Arial" w:eastAsiaTheme="minorHAnsi" w:hAnsi="Arial" w:cs="Arial"/>
          <w:color w:val="000000"/>
          <w:sz w:val="22"/>
          <w:szCs w:val="22"/>
          <w:lang w:val="es-MX" w:eastAsia="en-US"/>
        </w:rPr>
      </w:pPr>
    </w:p>
    <w:p w:rsidR="00BD237C" w:rsidRPr="00C523E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C523EC">
        <w:rPr>
          <w:rFonts w:ascii="Arial" w:eastAsiaTheme="minorHAnsi" w:hAnsi="Arial" w:cs="Arial"/>
          <w:color w:val="000000"/>
          <w:sz w:val="22"/>
          <w:szCs w:val="22"/>
          <w:lang w:val="es-MX" w:eastAsia="en-US"/>
        </w:rPr>
        <w:t xml:space="preserve">8. Reportes de archivos de terceros PDF y XML. Dicho expediente digital deberá venir con la referencia que se maneja en OAQ y completo sin omitir documentos. </w:t>
      </w:r>
    </w:p>
    <w:p w:rsidR="00BD237C" w:rsidRPr="00C523E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C523EC">
        <w:rPr>
          <w:rFonts w:ascii="Arial" w:eastAsiaTheme="minorHAnsi" w:hAnsi="Arial" w:cs="Arial"/>
          <w:color w:val="000000"/>
          <w:sz w:val="22"/>
          <w:szCs w:val="22"/>
          <w:lang w:val="es-MX" w:eastAsia="en-US"/>
        </w:rPr>
        <w:t>9. Reportes de comprobación de gastos en archivos, pedimentos y gastos de terceros.</w:t>
      </w:r>
      <w:r w:rsidRPr="00BD237C">
        <w:rPr>
          <w:rFonts w:ascii="Arial" w:eastAsiaTheme="minorHAnsi" w:hAnsi="Arial" w:cs="Arial"/>
          <w:color w:val="000000"/>
          <w:sz w:val="22"/>
          <w:szCs w:val="22"/>
          <w:lang w:val="es-MX" w:eastAsia="en-US"/>
        </w:rPr>
        <w:t xml:space="preserve"> </w:t>
      </w: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10. Acceso a las bases de datos de los clientes de OAQ para crear reportes en línea. </w:t>
      </w: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11. Designar a un responsable de sistemas y de manejo de datos en corresponsales para interacción. </w:t>
      </w: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12. Cumplimiento de compromisos para envío de información en expedientes digitales </w:t>
      </w:r>
    </w:p>
    <w:p w:rsidR="00BD237C" w:rsidRPr="00BD237C" w:rsidRDefault="00BD237C" w:rsidP="008128AF">
      <w:pPr>
        <w:autoSpaceDE w:val="0"/>
        <w:autoSpaceDN w:val="0"/>
        <w:adjustRightInd w:val="0"/>
        <w:jc w:val="both"/>
        <w:rPr>
          <w:rFonts w:ascii="Arial" w:eastAsiaTheme="minorHAnsi" w:hAnsi="Arial" w:cs="Arial"/>
          <w:color w:val="000000"/>
          <w:sz w:val="22"/>
          <w:szCs w:val="22"/>
          <w:lang w:val="es-MX" w:eastAsia="en-US"/>
        </w:rPr>
      </w:pPr>
    </w:p>
    <w:p w:rsidR="00BD237C"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13. En el caso del In House de </w:t>
      </w:r>
      <w:proofErr w:type="spellStart"/>
      <w:r w:rsidRPr="00BD237C">
        <w:rPr>
          <w:rFonts w:ascii="Arial" w:eastAsiaTheme="minorHAnsi" w:hAnsi="Arial" w:cs="Arial"/>
          <w:color w:val="000000"/>
          <w:sz w:val="22"/>
          <w:szCs w:val="22"/>
          <w:lang w:val="es-MX" w:eastAsia="en-US"/>
        </w:rPr>
        <w:t>Bos</w:t>
      </w:r>
      <w:proofErr w:type="spellEnd"/>
      <w:r w:rsidRPr="00BD237C">
        <w:rPr>
          <w:rFonts w:ascii="Arial" w:eastAsiaTheme="minorHAnsi" w:hAnsi="Arial" w:cs="Arial"/>
          <w:color w:val="000000"/>
          <w:sz w:val="22"/>
          <w:szCs w:val="22"/>
          <w:lang w:val="es-MX" w:eastAsia="en-US"/>
        </w:rPr>
        <w:t xml:space="preserve"> </w:t>
      </w:r>
      <w:proofErr w:type="spellStart"/>
      <w:r w:rsidRPr="00BD237C">
        <w:rPr>
          <w:rFonts w:ascii="Arial" w:eastAsiaTheme="minorHAnsi" w:hAnsi="Arial" w:cs="Arial"/>
          <w:color w:val="000000"/>
          <w:sz w:val="22"/>
          <w:szCs w:val="22"/>
          <w:lang w:val="es-MX" w:eastAsia="en-US"/>
        </w:rPr>
        <w:t>Automotive</w:t>
      </w:r>
      <w:proofErr w:type="spellEnd"/>
      <w:r w:rsidRPr="00BD237C">
        <w:rPr>
          <w:rFonts w:ascii="Arial" w:eastAsiaTheme="minorHAnsi" w:hAnsi="Arial" w:cs="Arial"/>
          <w:color w:val="000000"/>
          <w:sz w:val="22"/>
          <w:szCs w:val="22"/>
          <w:lang w:val="es-MX" w:eastAsia="en-US"/>
        </w:rPr>
        <w:t xml:space="preserve">, el sueldo y los gastos contractuales del mismo, se cubren de la siguiente manera: el 60% Julio </w:t>
      </w:r>
      <w:r w:rsidR="009370C8" w:rsidRPr="00BD237C">
        <w:rPr>
          <w:rFonts w:ascii="Arial" w:eastAsiaTheme="minorHAnsi" w:hAnsi="Arial" w:cs="Arial"/>
          <w:color w:val="000000"/>
          <w:sz w:val="22"/>
          <w:szCs w:val="22"/>
          <w:lang w:val="es-MX" w:eastAsia="en-US"/>
        </w:rPr>
        <w:t>Pérez</w:t>
      </w:r>
      <w:r w:rsidRPr="00BD237C">
        <w:rPr>
          <w:rFonts w:ascii="Arial" w:eastAsiaTheme="minorHAnsi" w:hAnsi="Arial" w:cs="Arial"/>
          <w:color w:val="000000"/>
          <w:sz w:val="22"/>
          <w:szCs w:val="22"/>
          <w:lang w:val="es-MX" w:eastAsia="en-US"/>
        </w:rPr>
        <w:t xml:space="preserve"> y el 40% lo cubre OAQ. </w:t>
      </w:r>
    </w:p>
    <w:p w:rsidR="008128AF" w:rsidRDefault="008128AF" w:rsidP="00BD237C">
      <w:pPr>
        <w:autoSpaceDE w:val="0"/>
        <w:autoSpaceDN w:val="0"/>
        <w:adjustRightInd w:val="0"/>
        <w:rPr>
          <w:rFonts w:ascii="Arial" w:eastAsiaTheme="minorHAnsi" w:hAnsi="Arial" w:cs="Arial"/>
          <w:color w:val="000000"/>
          <w:sz w:val="22"/>
          <w:szCs w:val="22"/>
          <w:lang w:val="es-MX" w:eastAsia="en-US"/>
        </w:rPr>
      </w:pPr>
    </w:p>
    <w:p w:rsidR="00BD237C" w:rsidRPr="00102436" w:rsidRDefault="00BD237C" w:rsidP="008128AF">
      <w:pPr>
        <w:autoSpaceDE w:val="0"/>
        <w:autoSpaceDN w:val="0"/>
        <w:adjustRightInd w:val="0"/>
        <w:jc w:val="both"/>
        <w:rPr>
          <w:rFonts w:ascii="Calibri" w:eastAsiaTheme="minorHAnsi" w:hAnsi="Calibri" w:cs="Calibri"/>
          <w:b/>
          <w:bCs/>
          <w:iCs/>
          <w:color w:val="000000"/>
          <w:sz w:val="22"/>
          <w:szCs w:val="22"/>
          <w:lang w:val="es-MX" w:eastAsia="en-US"/>
        </w:rPr>
      </w:pPr>
      <w:r w:rsidRPr="00102436">
        <w:rPr>
          <w:rFonts w:ascii="Calibri" w:eastAsiaTheme="minorHAnsi" w:hAnsi="Calibri" w:cs="Calibri"/>
          <w:b/>
          <w:bCs/>
          <w:iCs/>
          <w:color w:val="000000"/>
          <w:sz w:val="22"/>
          <w:szCs w:val="22"/>
          <w:lang w:val="es-MX" w:eastAsia="en-US"/>
        </w:rPr>
        <w:t xml:space="preserve">TARIFAS DE LOS CORRESPONSALES </w:t>
      </w:r>
    </w:p>
    <w:p w:rsidR="008128AF" w:rsidRPr="00BD237C" w:rsidRDefault="008128AF" w:rsidP="008128AF">
      <w:pPr>
        <w:autoSpaceDE w:val="0"/>
        <w:autoSpaceDN w:val="0"/>
        <w:adjustRightInd w:val="0"/>
        <w:jc w:val="both"/>
        <w:rPr>
          <w:rFonts w:ascii="Calibri" w:eastAsiaTheme="minorHAnsi" w:hAnsi="Calibri" w:cs="Calibri"/>
          <w:color w:val="000000"/>
          <w:sz w:val="22"/>
          <w:szCs w:val="22"/>
          <w:lang w:val="es-MX" w:eastAsia="en-US"/>
        </w:rPr>
      </w:pPr>
    </w:p>
    <w:p w:rsidR="008128AF" w:rsidRDefault="00BD237C" w:rsidP="008128AF">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Previo acuerdo, las Tarifas serán negociadas entre los corresponsales </w:t>
      </w:r>
      <w:r w:rsidRPr="00BD237C">
        <w:rPr>
          <w:rFonts w:ascii="Arial" w:eastAsiaTheme="minorHAnsi" w:hAnsi="Arial" w:cs="Arial"/>
          <w:b/>
          <w:bCs/>
          <w:color w:val="000000"/>
          <w:sz w:val="22"/>
          <w:szCs w:val="22"/>
          <w:lang w:val="es-MX" w:eastAsia="en-US"/>
        </w:rPr>
        <w:t xml:space="preserve">“MARRÓN AGENCIAS ADUANALES, S.C.”, “PROEXI INTERNACIONAL, S.C.” y “ORGANIZACIÓN ADUANAL DE QUERÉTARO, S.C.” </w:t>
      </w:r>
      <w:r w:rsidRPr="00BD237C">
        <w:rPr>
          <w:rFonts w:ascii="Arial" w:eastAsiaTheme="minorHAnsi" w:hAnsi="Arial" w:cs="Arial"/>
          <w:color w:val="000000"/>
          <w:sz w:val="22"/>
          <w:szCs w:val="22"/>
          <w:lang w:val="es-MX" w:eastAsia="en-US"/>
        </w:rPr>
        <w:t xml:space="preserve">Y quedan estipuladas bajo convenio acorde a los Anexos I y II del presente. </w:t>
      </w:r>
    </w:p>
    <w:p w:rsidR="008128AF" w:rsidRPr="00BD237C" w:rsidRDefault="008128AF" w:rsidP="008128AF">
      <w:pPr>
        <w:autoSpaceDE w:val="0"/>
        <w:autoSpaceDN w:val="0"/>
        <w:adjustRightInd w:val="0"/>
        <w:jc w:val="both"/>
        <w:rPr>
          <w:rFonts w:ascii="Arial" w:eastAsiaTheme="minorHAnsi" w:hAnsi="Arial" w:cs="Arial"/>
          <w:color w:val="000000"/>
          <w:sz w:val="22"/>
          <w:szCs w:val="22"/>
          <w:lang w:val="es-MX" w:eastAsia="en-US"/>
        </w:rPr>
      </w:pPr>
    </w:p>
    <w:p w:rsidR="00BD237C" w:rsidRDefault="00BD237C" w:rsidP="00102436">
      <w:pPr>
        <w:autoSpaceDE w:val="0"/>
        <w:autoSpaceDN w:val="0"/>
        <w:adjustRightInd w:val="0"/>
        <w:jc w:val="both"/>
        <w:rPr>
          <w:rFonts w:ascii="Arial" w:eastAsiaTheme="minorHAnsi" w:hAnsi="Arial" w:cs="Arial"/>
          <w:color w:val="000000"/>
          <w:sz w:val="22"/>
          <w:szCs w:val="22"/>
          <w:lang w:val="es-MX" w:eastAsia="en-US"/>
        </w:rPr>
      </w:pPr>
      <w:r w:rsidRPr="00BD237C">
        <w:rPr>
          <w:rFonts w:ascii="Arial" w:eastAsiaTheme="minorHAnsi" w:hAnsi="Arial" w:cs="Arial"/>
          <w:color w:val="000000"/>
          <w:sz w:val="22"/>
          <w:szCs w:val="22"/>
          <w:lang w:val="es-MX" w:eastAsia="en-US"/>
        </w:rPr>
        <w:t xml:space="preserve">Las negociaciones con </w:t>
      </w:r>
      <w:r w:rsidRPr="00BD237C">
        <w:rPr>
          <w:rFonts w:ascii="Arial" w:eastAsiaTheme="minorHAnsi" w:hAnsi="Arial" w:cs="Arial"/>
          <w:b/>
          <w:bCs/>
          <w:color w:val="000000"/>
          <w:sz w:val="22"/>
          <w:szCs w:val="22"/>
          <w:lang w:val="es-MX" w:eastAsia="en-US"/>
        </w:rPr>
        <w:t>“CASA DE ADUANAS MENDOZA ALTAMIRA, S.C.”</w:t>
      </w:r>
      <w:r w:rsidRPr="00BD237C">
        <w:rPr>
          <w:rFonts w:ascii="Arial" w:eastAsiaTheme="minorHAnsi" w:hAnsi="Arial" w:cs="Arial"/>
          <w:color w:val="000000"/>
          <w:sz w:val="22"/>
          <w:szCs w:val="22"/>
          <w:lang w:val="es-MX" w:eastAsia="en-US"/>
        </w:rPr>
        <w:t xml:space="preserve">. </w:t>
      </w:r>
      <w:proofErr w:type="gramStart"/>
      <w:r w:rsidRPr="00BD237C">
        <w:rPr>
          <w:rFonts w:ascii="Arial" w:eastAsiaTheme="minorHAnsi" w:hAnsi="Arial" w:cs="Arial"/>
          <w:color w:val="000000"/>
          <w:sz w:val="22"/>
          <w:szCs w:val="22"/>
          <w:lang w:val="es-MX" w:eastAsia="en-US"/>
        </w:rPr>
        <w:t>se</w:t>
      </w:r>
      <w:proofErr w:type="gramEnd"/>
      <w:r w:rsidRPr="00BD237C">
        <w:rPr>
          <w:rFonts w:ascii="Arial" w:eastAsiaTheme="minorHAnsi" w:hAnsi="Arial" w:cs="Arial"/>
          <w:color w:val="000000"/>
          <w:sz w:val="22"/>
          <w:szCs w:val="22"/>
          <w:lang w:val="es-MX" w:eastAsia="en-US"/>
        </w:rPr>
        <w:t xml:space="preserve"> seguirán haciendo bajo el mismo esquema de 60% “CASA DE ADUANAS MENDOZA ALTAMIRA, S.C.”. - 40% “ORGANIZACIÓN ADUANAL DE QUERÉTARO”.</w:t>
      </w:r>
    </w:p>
    <w:p w:rsidR="00BD237C" w:rsidRDefault="00BD237C" w:rsidP="00BD237C">
      <w:pPr>
        <w:autoSpaceDE w:val="0"/>
        <w:autoSpaceDN w:val="0"/>
        <w:adjustRightInd w:val="0"/>
        <w:rPr>
          <w:rFonts w:ascii="Arial" w:eastAsiaTheme="minorHAnsi" w:hAnsi="Arial" w:cs="Arial"/>
          <w:color w:val="000000"/>
          <w:sz w:val="22"/>
          <w:szCs w:val="22"/>
          <w:lang w:val="es-MX" w:eastAsia="en-US"/>
        </w:rPr>
      </w:pPr>
    </w:p>
    <w:p w:rsidR="00D33871" w:rsidRDefault="00D33871" w:rsidP="000A025A">
      <w:pPr>
        <w:ind w:left="-426" w:right="-150"/>
        <w:jc w:val="both"/>
        <w:rPr>
          <w:rFonts w:ascii="Arial" w:hAnsi="Arial" w:cs="Arial"/>
          <w:b/>
          <w:bCs/>
          <w:sz w:val="22"/>
          <w:szCs w:val="22"/>
        </w:rPr>
      </w:pPr>
    </w:p>
    <w:p w:rsidR="000A025A" w:rsidRDefault="000A025A" w:rsidP="000A025A">
      <w:pPr>
        <w:ind w:left="-426" w:right="-150"/>
        <w:jc w:val="both"/>
        <w:rPr>
          <w:rFonts w:ascii="Arial" w:hAnsi="Arial" w:cs="Arial"/>
          <w:b/>
          <w:bCs/>
          <w:sz w:val="22"/>
          <w:szCs w:val="22"/>
        </w:rPr>
      </w:pPr>
      <w:r>
        <w:rPr>
          <w:rFonts w:ascii="Arial" w:hAnsi="Arial" w:cs="Arial"/>
          <w:b/>
          <w:bCs/>
          <w:sz w:val="22"/>
          <w:szCs w:val="22"/>
        </w:rPr>
        <w:t>Clientes:</w:t>
      </w:r>
    </w:p>
    <w:p w:rsidR="000A025A" w:rsidRDefault="000A025A" w:rsidP="000A025A">
      <w:pPr>
        <w:ind w:left="-426" w:right="-150"/>
        <w:jc w:val="both"/>
        <w:rPr>
          <w:rFonts w:ascii="Arial" w:hAnsi="Arial" w:cs="Arial"/>
          <w:b/>
          <w:bCs/>
          <w:sz w:val="22"/>
          <w:szCs w:val="22"/>
        </w:rPr>
      </w:pPr>
    </w:p>
    <w:p w:rsidR="000A025A" w:rsidRDefault="000A025A" w:rsidP="000A025A">
      <w:pPr>
        <w:ind w:left="-426" w:right="-150"/>
        <w:jc w:val="both"/>
        <w:rPr>
          <w:rFonts w:ascii="Arial" w:hAnsi="Arial" w:cs="Arial"/>
          <w:bCs/>
          <w:sz w:val="22"/>
          <w:szCs w:val="22"/>
        </w:rPr>
      </w:pPr>
      <w:r>
        <w:rPr>
          <w:rFonts w:ascii="Arial" w:hAnsi="Arial" w:cs="Arial"/>
          <w:bCs/>
          <w:sz w:val="22"/>
          <w:szCs w:val="22"/>
        </w:rPr>
        <w:t xml:space="preserve">Organización Aduanal de Querétaro cuenta con un </w:t>
      </w:r>
      <w:r w:rsidRPr="003D7587">
        <w:rPr>
          <w:rFonts w:ascii="Arial" w:hAnsi="Arial" w:cs="Arial"/>
          <w:b/>
          <w:bCs/>
          <w:i/>
          <w:sz w:val="22"/>
          <w:szCs w:val="22"/>
        </w:rPr>
        <w:t>Procedimiento de Comercialización</w:t>
      </w:r>
      <w:r w:rsidRPr="003D7587">
        <w:rPr>
          <w:rFonts w:ascii="Arial" w:hAnsi="Arial" w:cs="Arial"/>
          <w:bCs/>
          <w:sz w:val="22"/>
          <w:szCs w:val="22"/>
        </w:rPr>
        <w:t xml:space="preserve"> en el que se establecen las políticas y requisitos para alta de clientes, así como el seguimiento y actualización de datos de acuerdo a</w:t>
      </w:r>
      <w:r>
        <w:rPr>
          <w:rFonts w:ascii="Arial" w:hAnsi="Arial" w:cs="Arial"/>
          <w:bCs/>
          <w:sz w:val="22"/>
          <w:szCs w:val="22"/>
        </w:rPr>
        <w:t xml:space="preserve"> las políticas de seguridad establecidas.</w:t>
      </w:r>
    </w:p>
    <w:p w:rsidR="000A025A" w:rsidRDefault="000A025A" w:rsidP="000A025A">
      <w:pPr>
        <w:ind w:left="-426" w:right="-150"/>
        <w:jc w:val="both"/>
        <w:rPr>
          <w:rFonts w:ascii="Arial" w:hAnsi="Arial" w:cs="Arial"/>
          <w:bCs/>
          <w:sz w:val="22"/>
          <w:szCs w:val="22"/>
        </w:rPr>
      </w:pPr>
    </w:p>
    <w:p w:rsidR="000A025A" w:rsidRDefault="000A025A" w:rsidP="000A025A">
      <w:pPr>
        <w:ind w:left="-426" w:right="-150"/>
        <w:jc w:val="both"/>
        <w:rPr>
          <w:rFonts w:ascii="Arial" w:hAnsi="Arial" w:cs="Arial"/>
          <w:b/>
          <w:bCs/>
          <w:sz w:val="22"/>
          <w:szCs w:val="22"/>
        </w:rPr>
      </w:pPr>
      <w:r w:rsidRPr="003D7587">
        <w:rPr>
          <w:rFonts w:ascii="Arial" w:hAnsi="Arial" w:cs="Arial"/>
          <w:b/>
          <w:bCs/>
          <w:sz w:val="22"/>
          <w:szCs w:val="22"/>
        </w:rPr>
        <w:t>Proveedores</w:t>
      </w:r>
      <w:r>
        <w:rPr>
          <w:rFonts w:ascii="Arial" w:hAnsi="Arial" w:cs="Arial"/>
          <w:b/>
          <w:bCs/>
          <w:sz w:val="22"/>
          <w:szCs w:val="22"/>
        </w:rPr>
        <w:t>:</w:t>
      </w:r>
    </w:p>
    <w:p w:rsidR="000A025A" w:rsidRDefault="000A025A" w:rsidP="000A025A">
      <w:pPr>
        <w:ind w:left="-426" w:right="-150"/>
        <w:jc w:val="both"/>
        <w:rPr>
          <w:rFonts w:ascii="Arial" w:hAnsi="Arial" w:cs="Arial"/>
          <w:bCs/>
          <w:sz w:val="22"/>
          <w:szCs w:val="22"/>
        </w:rPr>
      </w:pPr>
      <w:r>
        <w:rPr>
          <w:rFonts w:ascii="Arial" w:hAnsi="Arial" w:cs="Arial"/>
          <w:bCs/>
          <w:sz w:val="22"/>
          <w:szCs w:val="22"/>
        </w:rPr>
        <w:t xml:space="preserve">Organización Aduanal de Querétaro cuenta con un </w:t>
      </w:r>
      <w:r w:rsidRPr="003D7587">
        <w:rPr>
          <w:rFonts w:ascii="Arial" w:hAnsi="Arial" w:cs="Arial"/>
          <w:b/>
          <w:bCs/>
          <w:i/>
          <w:sz w:val="22"/>
          <w:szCs w:val="22"/>
        </w:rPr>
        <w:t>Procedimiento de Compras</w:t>
      </w:r>
      <w:r>
        <w:rPr>
          <w:rFonts w:ascii="Arial" w:hAnsi="Arial" w:cs="Arial"/>
          <w:b/>
          <w:bCs/>
          <w:i/>
          <w:sz w:val="22"/>
          <w:szCs w:val="22"/>
        </w:rPr>
        <w:t xml:space="preserve"> </w:t>
      </w:r>
      <w:r w:rsidRPr="003D7587">
        <w:rPr>
          <w:rFonts w:ascii="Arial" w:hAnsi="Arial" w:cs="Arial"/>
          <w:bCs/>
          <w:sz w:val="22"/>
          <w:szCs w:val="22"/>
        </w:rPr>
        <w:t>donde establece</w:t>
      </w:r>
      <w:r>
        <w:rPr>
          <w:rFonts w:ascii="Arial" w:hAnsi="Arial" w:cs="Arial"/>
          <w:bCs/>
          <w:sz w:val="22"/>
          <w:szCs w:val="22"/>
        </w:rPr>
        <w:t xml:space="preserve"> los requisitos para que una empresa sea proveedor de servicios o de productos </w:t>
      </w:r>
      <w:r>
        <w:rPr>
          <w:rFonts w:ascii="Arial" w:hAnsi="Arial" w:cs="Arial"/>
          <w:bCs/>
          <w:sz w:val="22"/>
          <w:szCs w:val="22"/>
        </w:rPr>
        <w:lastRenderedPageBreak/>
        <w:t>formen parte de la lista de proveedores autorizados, además la forma en que se va evaluar sus servicios.</w:t>
      </w:r>
    </w:p>
    <w:p w:rsidR="000A025A" w:rsidRPr="003D7587" w:rsidRDefault="000A025A" w:rsidP="000A025A">
      <w:pPr>
        <w:ind w:right="-150"/>
        <w:jc w:val="both"/>
        <w:rPr>
          <w:rFonts w:ascii="Arial" w:hAnsi="Arial" w:cs="Arial"/>
          <w:bCs/>
          <w:sz w:val="22"/>
          <w:szCs w:val="22"/>
        </w:rPr>
      </w:pPr>
    </w:p>
    <w:p w:rsidR="000A025A" w:rsidRDefault="000A025A" w:rsidP="000A025A">
      <w:pPr>
        <w:ind w:left="-426" w:right="-150"/>
        <w:jc w:val="both"/>
        <w:rPr>
          <w:rFonts w:ascii="Arial" w:hAnsi="Arial" w:cs="Arial"/>
          <w:b/>
          <w:bCs/>
          <w:sz w:val="22"/>
          <w:szCs w:val="22"/>
        </w:rPr>
      </w:pPr>
    </w:p>
    <w:p w:rsidR="0000237C" w:rsidRDefault="0000237C" w:rsidP="000A025A">
      <w:pPr>
        <w:ind w:left="-426" w:right="-150"/>
        <w:jc w:val="both"/>
        <w:rPr>
          <w:rFonts w:ascii="Arial" w:hAnsi="Arial" w:cs="Arial"/>
          <w:b/>
          <w:bCs/>
          <w:sz w:val="22"/>
          <w:szCs w:val="22"/>
        </w:rPr>
      </w:pPr>
    </w:p>
    <w:p w:rsidR="000A025A" w:rsidRDefault="000A025A" w:rsidP="000A025A">
      <w:pPr>
        <w:ind w:left="-426" w:right="-150"/>
        <w:jc w:val="both"/>
        <w:rPr>
          <w:rFonts w:ascii="Arial" w:hAnsi="Arial" w:cs="Arial"/>
          <w:b/>
          <w:bCs/>
          <w:sz w:val="22"/>
          <w:szCs w:val="22"/>
        </w:rPr>
      </w:pPr>
    </w:p>
    <w:p w:rsidR="001549C5" w:rsidRDefault="001549C5" w:rsidP="001549C5">
      <w:pPr>
        <w:autoSpaceDE w:val="0"/>
        <w:autoSpaceDN w:val="0"/>
        <w:adjustRightInd w:val="0"/>
        <w:jc w:val="both"/>
        <w:rPr>
          <w:rFonts w:ascii="Arial" w:eastAsiaTheme="minorHAnsi" w:hAnsi="Arial" w:cs="Arial"/>
          <w:b/>
          <w:color w:val="000000"/>
          <w:sz w:val="22"/>
          <w:szCs w:val="22"/>
          <w:lang w:val="es-MX" w:eastAsia="en-US"/>
        </w:rPr>
      </w:pPr>
      <w:r w:rsidRPr="001549C5">
        <w:rPr>
          <w:rFonts w:ascii="Arial" w:eastAsiaTheme="minorHAnsi" w:hAnsi="Arial" w:cs="Arial"/>
          <w:b/>
          <w:color w:val="000000"/>
          <w:sz w:val="22"/>
          <w:szCs w:val="22"/>
          <w:lang w:val="es-MX" w:eastAsia="en-US"/>
        </w:rPr>
        <w:t xml:space="preserve">Políticas: </w:t>
      </w:r>
    </w:p>
    <w:p w:rsidR="001549C5" w:rsidRPr="001549C5" w:rsidRDefault="001549C5" w:rsidP="001549C5">
      <w:pPr>
        <w:autoSpaceDE w:val="0"/>
        <w:autoSpaceDN w:val="0"/>
        <w:adjustRightInd w:val="0"/>
        <w:jc w:val="both"/>
        <w:rPr>
          <w:rFonts w:ascii="Arial" w:eastAsiaTheme="minorHAnsi" w:hAnsi="Arial" w:cs="Arial"/>
          <w:b/>
          <w:color w:val="000000"/>
          <w:sz w:val="22"/>
          <w:szCs w:val="22"/>
          <w:lang w:val="es-MX" w:eastAsia="en-US"/>
        </w:rPr>
      </w:pPr>
    </w:p>
    <w:p w:rsidR="001549C5" w:rsidRDefault="001549C5" w:rsidP="001549C5">
      <w:pPr>
        <w:autoSpaceDE w:val="0"/>
        <w:autoSpaceDN w:val="0"/>
        <w:adjustRightInd w:val="0"/>
        <w:jc w:val="both"/>
        <w:rPr>
          <w:rFonts w:ascii="Arial" w:eastAsiaTheme="minorHAnsi" w:hAnsi="Arial" w:cs="Arial"/>
          <w:color w:val="000000"/>
          <w:sz w:val="22"/>
          <w:szCs w:val="22"/>
          <w:lang w:val="es-MX" w:eastAsia="en-US"/>
        </w:rPr>
      </w:pPr>
      <w:r w:rsidRPr="00525A2E">
        <w:rPr>
          <w:rFonts w:ascii="Arial" w:eastAsiaTheme="minorHAnsi" w:hAnsi="Arial" w:cs="Arial"/>
          <w:color w:val="000000"/>
          <w:sz w:val="22"/>
          <w:szCs w:val="22"/>
          <w:lang w:val="es-MX" w:eastAsia="en-US"/>
        </w:rPr>
        <w:t>Las reunion</w:t>
      </w:r>
      <w:r>
        <w:rPr>
          <w:rFonts w:ascii="Arial" w:eastAsiaTheme="minorHAnsi" w:hAnsi="Arial" w:cs="Arial"/>
          <w:color w:val="000000"/>
          <w:sz w:val="22"/>
          <w:szCs w:val="22"/>
          <w:lang w:val="es-MX" w:eastAsia="en-US"/>
        </w:rPr>
        <w:t>es se realizan de manera trimestral</w:t>
      </w:r>
      <w:r w:rsidRPr="00525A2E">
        <w:rPr>
          <w:rFonts w:ascii="Arial" w:eastAsiaTheme="minorHAnsi" w:hAnsi="Arial" w:cs="Arial"/>
          <w:color w:val="000000"/>
          <w:sz w:val="22"/>
          <w:szCs w:val="22"/>
          <w:lang w:val="es-MX" w:eastAsia="en-US"/>
        </w:rPr>
        <w:t xml:space="preserve"> entre direcciones, donde se tocan los puntos relativos, a la sociedad comercial. Infraestructura, sistemas de transferencia de información, compromisos acuerdos y soluciones.</w:t>
      </w:r>
    </w:p>
    <w:p w:rsidR="001549C5" w:rsidRDefault="001549C5" w:rsidP="001549C5">
      <w:pPr>
        <w:autoSpaceDE w:val="0"/>
        <w:autoSpaceDN w:val="0"/>
        <w:adjustRightInd w:val="0"/>
        <w:jc w:val="both"/>
        <w:rPr>
          <w:rFonts w:ascii="Arial" w:eastAsiaTheme="minorHAnsi" w:hAnsi="Arial" w:cs="Arial"/>
          <w:color w:val="000000"/>
          <w:sz w:val="22"/>
          <w:szCs w:val="22"/>
          <w:lang w:val="es-MX" w:eastAsia="en-US"/>
        </w:rPr>
      </w:pPr>
    </w:p>
    <w:p w:rsidR="001549C5" w:rsidRDefault="001549C5" w:rsidP="001549C5">
      <w:pPr>
        <w:autoSpaceDE w:val="0"/>
        <w:autoSpaceDN w:val="0"/>
        <w:adjustRightInd w:val="0"/>
        <w:jc w:val="both"/>
        <w:rPr>
          <w:rFonts w:ascii="Arial" w:eastAsiaTheme="minorHAnsi" w:hAnsi="Arial" w:cs="Arial"/>
          <w:color w:val="000000"/>
          <w:sz w:val="22"/>
          <w:szCs w:val="22"/>
          <w:lang w:val="es-MX" w:eastAsia="en-US"/>
        </w:rPr>
      </w:pPr>
      <w:r>
        <w:rPr>
          <w:rFonts w:ascii="Arial" w:eastAsiaTheme="minorHAnsi" w:hAnsi="Arial" w:cs="Arial"/>
          <w:color w:val="000000"/>
          <w:sz w:val="22"/>
          <w:szCs w:val="22"/>
          <w:lang w:val="es-MX" w:eastAsia="en-US"/>
        </w:rPr>
        <w:t>Se le exige al Agente Aduanal esté certificado o pertenecer a un programa de seguridad de la cadena de suministro ya sea por una autoridad extrajera o de sector privado.</w:t>
      </w:r>
    </w:p>
    <w:p w:rsidR="001549C5" w:rsidRDefault="001549C5" w:rsidP="001549C5">
      <w:pPr>
        <w:autoSpaceDE w:val="0"/>
        <w:autoSpaceDN w:val="0"/>
        <w:adjustRightInd w:val="0"/>
        <w:rPr>
          <w:rFonts w:ascii="Arial" w:eastAsiaTheme="minorHAnsi" w:hAnsi="Arial" w:cs="Arial"/>
          <w:color w:val="000000"/>
          <w:sz w:val="22"/>
          <w:szCs w:val="22"/>
          <w:lang w:val="es-MX" w:eastAsia="en-US"/>
        </w:rPr>
      </w:pPr>
    </w:p>
    <w:p w:rsidR="001549C5" w:rsidRPr="001151A7" w:rsidRDefault="001549C5" w:rsidP="001549C5">
      <w:pPr>
        <w:autoSpaceDE w:val="0"/>
        <w:autoSpaceDN w:val="0"/>
        <w:adjustRightInd w:val="0"/>
        <w:rPr>
          <w:sz w:val="22"/>
          <w:szCs w:val="22"/>
        </w:rPr>
      </w:pPr>
      <w:r w:rsidRPr="001151A7">
        <w:rPr>
          <w:sz w:val="22"/>
          <w:szCs w:val="22"/>
        </w:rPr>
        <w:t>3589 OLA-NEEC en proceso</w:t>
      </w:r>
    </w:p>
    <w:p w:rsidR="001549C5" w:rsidRPr="001151A7" w:rsidRDefault="001549C5" w:rsidP="001549C5">
      <w:pPr>
        <w:autoSpaceDE w:val="0"/>
        <w:autoSpaceDN w:val="0"/>
        <w:adjustRightInd w:val="0"/>
        <w:rPr>
          <w:sz w:val="22"/>
          <w:szCs w:val="22"/>
        </w:rPr>
      </w:pPr>
      <w:r w:rsidRPr="001151A7">
        <w:rPr>
          <w:sz w:val="22"/>
          <w:szCs w:val="22"/>
        </w:rPr>
        <w:t>3574 OLA-NEEC en proceso</w:t>
      </w:r>
    </w:p>
    <w:p w:rsidR="001549C5" w:rsidRDefault="001549C5" w:rsidP="001549C5">
      <w:pPr>
        <w:ind w:left="-426" w:right="-150" w:firstLine="426"/>
        <w:jc w:val="both"/>
        <w:rPr>
          <w:rFonts w:ascii="Arial" w:hAnsi="Arial" w:cs="Arial"/>
          <w:b/>
          <w:bCs/>
          <w:sz w:val="22"/>
          <w:szCs w:val="22"/>
        </w:rPr>
      </w:pPr>
      <w:r w:rsidRPr="001151A7">
        <w:rPr>
          <w:sz w:val="22"/>
          <w:szCs w:val="22"/>
        </w:rPr>
        <w:t>3933 OLA-NEEC en proceso</w:t>
      </w:r>
    </w:p>
    <w:p w:rsidR="005E57DC" w:rsidRDefault="005E57DC" w:rsidP="000A025A">
      <w:pPr>
        <w:ind w:left="-426" w:right="-150"/>
        <w:jc w:val="both"/>
        <w:rPr>
          <w:rFonts w:ascii="Arial" w:hAnsi="Arial" w:cs="Arial"/>
          <w:b/>
          <w:bCs/>
          <w:sz w:val="22"/>
          <w:szCs w:val="22"/>
        </w:rPr>
      </w:pPr>
    </w:p>
    <w:p w:rsidR="005E57DC" w:rsidRDefault="005E57DC" w:rsidP="000A025A">
      <w:pPr>
        <w:ind w:left="-426" w:right="-150"/>
        <w:jc w:val="both"/>
        <w:rPr>
          <w:rFonts w:ascii="Arial" w:hAnsi="Arial" w:cs="Arial"/>
          <w:b/>
          <w:bCs/>
          <w:sz w:val="22"/>
          <w:szCs w:val="22"/>
        </w:rPr>
      </w:pPr>
      <w:r w:rsidRPr="001549C5">
        <w:rPr>
          <w:rFonts w:ascii="Arial" w:hAnsi="Arial" w:cs="Arial"/>
          <w:b/>
          <w:bCs/>
          <w:sz w:val="22"/>
          <w:szCs w:val="22"/>
        </w:rPr>
        <w:t>REVISION DEL SOCIO COMERCIAL</w:t>
      </w:r>
    </w:p>
    <w:p w:rsidR="001549C5" w:rsidRDefault="001549C5" w:rsidP="000A025A">
      <w:pPr>
        <w:ind w:left="-426" w:right="-150"/>
        <w:jc w:val="both"/>
        <w:rPr>
          <w:rFonts w:ascii="Arial" w:hAnsi="Arial" w:cs="Arial"/>
          <w:b/>
          <w:bCs/>
          <w:sz w:val="22"/>
          <w:szCs w:val="22"/>
        </w:rPr>
      </w:pPr>
    </w:p>
    <w:p w:rsidR="001549C5" w:rsidRDefault="001549C5" w:rsidP="000A025A">
      <w:pPr>
        <w:ind w:left="-426" w:right="-150"/>
        <w:jc w:val="both"/>
        <w:rPr>
          <w:rFonts w:ascii="Arial" w:hAnsi="Arial" w:cs="Arial"/>
          <w:bCs/>
          <w:sz w:val="22"/>
          <w:szCs w:val="22"/>
        </w:rPr>
      </w:pPr>
      <w:r w:rsidRPr="001549C5">
        <w:rPr>
          <w:rFonts w:ascii="Arial" w:hAnsi="Arial" w:cs="Arial"/>
          <w:bCs/>
          <w:sz w:val="22"/>
          <w:szCs w:val="22"/>
        </w:rPr>
        <w:t xml:space="preserve">La revisión </w:t>
      </w:r>
      <w:r>
        <w:rPr>
          <w:rFonts w:ascii="Arial" w:hAnsi="Arial" w:cs="Arial"/>
          <w:bCs/>
          <w:sz w:val="22"/>
          <w:szCs w:val="22"/>
        </w:rPr>
        <w:t xml:space="preserve">de los expedientes </w:t>
      </w:r>
      <w:r w:rsidR="006B3584">
        <w:rPr>
          <w:rFonts w:ascii="Arial" w:hAnsi="Arial" w:cs="Arial"/>
          <w:bCs/>
          <w:sz w:val="22"/>
          <w:szCs w:val="22"/>
        </w:rPr>
        <w:t xml:space="preserve">de socios comerciales </w:t>
      </w:r>
      <w:r>
        <w:rPr>
          <w:rFonts w:ascii="Arial" w:hAnsi="Arial" w:cs="Arial"/>
          <w:bCs/>
          <w:sz w:val="22"/>
          <w:szCs w:val="22"/>
        </w:rPr>
        <w:t>s</w:t>
      </w:r>
      <w:r w:rsidRPr="001549C5">
        <w:rPr>
          <w:rFonts w:ascii="Arial" w:hAnsi="Arial" w:cs="Arial"/>
          <w:bCs/>
          <w:sz w:val="22"/>
          <w:szCs w:val="22"/>
        </w:rPr>
        <w:t>e realiza una vez al año</w:t>
      </w:r>
      <w:r w:rsidR="006B3584">
        <w:rPr>
          <w:rFonts w:ascii="Arial" w:hAnsi="Arial" w:cs="Arial"/>
          <w:bCs/>
          <w:sz w:val="22"/>
          <w:szCs w:val="22"/>
        </w:rPr>
        <w:t>, y se actualizan los cambios encontrados</w:t>
      </w:r>
      <w:r w:rsidR="00C54959">
        <w:rPr>
          <w:rFonts w:ascii="Arial" w:hAnsi="Arial" w:cs="Arial"/>
          <w:bCs/>
          <w:sz w:val="22"/>
          <w:szCs w:val="22"/>
        </w:rPr>
        <w:t>.</w:t>
      </w:r>
    </w:p>
    <w:p w:rsidR="00C54959" w:rsidRPr="001549C5" w:rsidRDefault="00C54959" w:rsidP="000A025A">
      <w:pPr>
        <w:ind w:left="-426" w:right="-150"/>
        <w:jc w:val="both"/>
        <w:rPr>
          <w:rFonts w:ascii="Arial" w:hAnsi="Arial" w:cs="Arial"/>
          <w:bCs/>
          <w:sz w:val="22"/>
          <w:szCs w:val="22"/>
        </w:rPr>
      </w:pPr>
    </w:p>
    <w:p w:rsidR="001549C5" w:rsidRDefault="001549C5" w:rsidP="000A025A">
      <w:pPr>
        <w:ind w:left="-426" w:right="-150"/>
        <w:jc w:val="both"/>
        <w:rPr>
          <w:rFonts w:ascii="Arial" w:hAnsi="Arial" w:cs="Arial"/>
          <w:b/>
          <w:bCs/>
          <w:sz w:val="22"/>
          <w:szCs w:val="22"/>
        </w:rPr>
      </w:pPr>
    </w:p>
    <w:p w:rsidR="000A025A" w:rsidRDefault="000A025A" w:rsidP="000A025A">
      <w:pPr>
        <w:ind w:left="-426" w:right="-150"/>
        <w:jc w:val="both"/>
        <w:rPr>
          <w:rFonts w:ascii="Arial" w:hAnsi="Arial" w:cs="Arial"/>
          <w:b/>
          <w:bCs/>
          <w:sz w:val="22"/>
          <w:szCs w:val="22"/>
        </w:rPr>
      </w:pPr>
    </w:p>
    <w:p w:rsidR="000A025A" w:rsidRPr="00A96265" w:rsidRDefault="000A025A" w:rsidP="000A025A">
      <w:pPr>
        <w:tabs>
          <w:tab w:val="left" w:pos="5205"/>
        </w:tabs>
        <w:ind w:left="-426" w:right="-150"/>
        <w:jc w:val="both"/>
        <w:rPr>
          <w:rFonts w:ascii="Arial" w:hAnsi="Arial" w:cs="Arial"/>
          <w:b/>
          <w:bCs/>
          <w:sz w:val="22"/>
          <w:szCs w:val="22"/>
        </w:rPr>
      </w:pPr>
    </w:p>
    <w:p w:rsidR="00AF4FB2" w:rsidRDefault="00AF4FB2" w:rsidP="000864AF">
      <w:pPr>
        <w:ind w:left="-426" w:right="-150"/>
        <w:jc w:val="both"/>
        <w:rPr>
          <w:rFonts w:ascii="Arial" w:hAnsi="Arial" w:cs="Arial"/>
          <w:b/>
          <w:bCs/>
          <w:sz w:val="22"/>
          <w:szCs w:val="22"/>
        </w:rPr>
      </w:pPr>
    </w:p>
    <w:p w:rsidR="00AF4FB2" w:rsidRDefault="00AF4FB2" w:rsidP="000864AF">
      <w:pPr>
        <w:ind w:left="-426" w:right="-150"/>
        <w:jc w:val="both"/>
        <w:rPr>
          <w:rFonts w:ascii="Arial" w:hAnsi="Arial" w:cs="Arial"/>
          <w:b/>
          <w:bCs/>
          <w:sz w:val="22"/>
          <w:szCs w:val="22"/>
        </w:rPr>
      </w:pPr>
    </w:p>
    <w:p w:rsidR="00AF4FB2" w:rsidRDefault="00AF4FB2" w:rsidP="000864AF">
      <w:pPr>
        <w:ind w:left="-426" w:right="-150"/>
        <w:jc w:val="both"/>
        <w:rPr>
          <w:rFonts w:ascii="Arial" w:hAnsi="Arial" w:cs="Arial"/>
          <w:b/>
          <w:bCs/>
          <w:sz w:val="22"/>
          <w:szCs w:val="22"/>
        </w:rPr>
      </w:pPr>
    </w:p>
    <w:p w:rsidR="00AF4FB2" w:rsidRDefault="00AF4FB2" w:rsidP="000864AF">
      <w:pPr>
        <w:ind w:left="-426" w:right="-150"/>
        <w:jc w:val="both"/>
        <w:rPr>
          <w:rFonts w:ascii="Arial" w:hAnsi="Arial" w:cs="Arial"/>
          <w:b/>
          <w:bCs/>
          <w:sz w:val="22"/>
          <w:szCs w:val="22"/>
        </w:rPr>
      </w:pPr>
    </w:p>
    <w:p w:rsidR="003C7583" w:rsidRDefault="003C7583" w:rsidP="000864AF">
      <w:pPr>
        <w:ind w:left="-426" w:right="-150"/>
        <w:jc w:val="both"/>
        <w:rPr>
          <w:rFonts w:ascii="Arial" w:hAnsi="Arial" w:cs="Arial"/>
          <w:b/>
          <w:bCs/>
          <w:sz w:val="22"/>
          <w:szCs w:val="22"/>
        </w:rPr>
      </w:pPr>
    </w:p>
    <w:p w:rsidR="00AF4FB2" w:rsidRDefault="00AF4FB2" w:rsidP="000864AF">
      <w:pPr>
        <w:ind w:left="-426" w:right="-150"/>
        <w:jc w:val="both"/>
        <w:rPr>
          <w:rFonts w:ascii="Arial" w:hAnsi="Arial" w:cs="Arial"/>
          <w:b/>
          <w:bCs/>
          <w:sz w:val="22"/>
          <w:szCs w:val="22"/>
        </w:rPr>
      </w:pPr>
    </w:p>
    <w:p w:rsidR="00AF4FB2" w:rsidRDefault="00AF4FB2" w:rsidP="000864AF">
      <w:pPr>
        <w:ind w:left="-426" w:right="-150"/>
        <w:jc w:val="both"/>
        <w:rPr>
          <w:rFonts w:ascii="Arial" w:hAnsi="Arial" w:cs="Arial"/>
          <w:b/>
          <w:bCs/>
          <w:sz w:val="22"/>
          <w:szCs w:val="22"/>
        </w:rPr>
      </w:pPr>
    </w:p>
    <w:p w:rsidR="00AF4FB2" w:rsidRDefault="00AF4FB2" w:rsidP="000864AF">
      <w:pPr>
        <w:ind w:left="-426" w:right="-150"/>
        <w:jc w:val="both"/>
        <w:rPr>
          <w:rFonts w:ascii="Arial" w:hAnsi="Arial" w:cs="Arial"/>
          <w:b/>
          <w:bCs/>
          <w:sz w:val="22"/>
          <w:szCs w:val="22"/>
        </w:rPr>
      </w:pPr>
    </w:p>
    <w:p w:rsidR="00AF4FB2" w:rsidRDefault="00AF4FB2" w:rsidP="000864AF">
      <w:pPr>
        <w:ind w:left="-426" w:right="-150"/>
        <w:jc w:val="both"/>
        <w:rPr>
          <w:rFonts w:ascii="Arial" w:hAnsi="Arial" w:cs="Arial"/>
          <w:b/>
          <w:bCs/>
          <w:sz w:val="22"/>
          <w:szCs w:val="22"/>
        </w:rPr>
      </w:pPr>
    </w:p>
    <w:p w:rsidR="003D7587" w:rsidRDefault="003D7587" w:rsidP="000864AF">
      <w:pPr>
        <w:ind w:left="-426" w:right="-150"/>
        <w:jc w:val="both"/>
        <w:rPr>
          <w:rFonts w:ascii="Arial" w:hAnsi="Arial" w:cs="Arial"/>
          <w:b/>
          <w:bCs/>
          <w:sz w:val="22"/>
          <w:szCs w:val="22"/>
        </w:rPr>
      </w:pPr>
    </w:p>
    <w:sectPr w:rsidR="003D758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1EE" w:rsidRDefault="002E11EE" w:rsidP="002E4A22">
      <w:r>
        <w:separator/>
      </w:r>
    </w:p>
  </w:endnote>
  <w:endnote w:type="continuationSeparator" w:id="0">
    <w:p w:rsidR="002E11EE" w:rsidRDefault="002E11EE"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D45981" w:rsidP="002E4A22">
          <w:pPr>
            <w:pStyle w:val="Piedepgina"/>
            <w:jc w:val="center"/>
            <w:rPr>
              <w:sz w:val="18"/>
              <w:szCs w:val="18"/>
            </w:rPr>
          </w:pPr>
          <w:r>
            <w:rPr>
              <w:noProof/>
              <w:lang w:val="es-MX" w:eastAsia="es-MX"/>
            </w:rPr>
            <w:drawing>
              <wp:inline distT="0" distB="0" distL="0" distR="0" wp14:anchorId="4D14B8F2" wp14:editId="2F07F72E">
                <wp:extent cx="756589" cy="301925"/>
                <wp:effectExtent l="0" t="0" r="5715" b="3175"/>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1EE" w:rsidRDefault="002E11EE" w:rsidP="002E4A22">
      <w:r>
        <w:separator/>
      </w:r>
    </w:p>
  </w:footnote>
  <w:footnote w:type="continuationSeparator" w:id="0">
    <w:p w:rsidR="002E11EE" w:rsidRDefault="002E11EE"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3F2E33" w:rsidP="00E822EB">
          <w:pPr>
            <w:jc w:val="center"/>
            <w:rPr>
              <w:rFonts w:asciiTheme="minorHAnsi" w:hAnsiTheme="minorHAnsi" w:cstheme="minorHAnsi"/>
              <w:b/>
              <w:sz w:val="20"/>
              <w:lang w:val="es-MX"/>
            </w:rPr>
          </w:pPr>
          <w:r>
            <w:rPr>
              <w:noProof/>
              <w:lang w:val="es-MX" w:eastAsia="es-MX"/>
            </w:rPr>
            <w:drawing>
              <wp:inline distT="0" distB="0" distL="0" distR="0" wp14:anchorId="31110AEA" wp14:editId="75DC8859">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B6712B"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102436">
                <w:rPr>
                  <w:rFonts w:asciiTheme="minorHAnsi" w:hAnsiTheme="minorHAnsi" w:cstheme="minorHAnsi"/>
                  <w:b/>
                  <w:noProof/>
                  <w:sz w:val="20"/>
                  <w:szCs w:val="20"/>
                </w:rPr>
                <w:t>2</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102436" w:rsidP="00E822EB">
          <w:pPr>
            <w:jc w:val="center"/>
            <w:rPr>
              <w:rFonts w:asciiTheme="minorHAnsi" w:hAnsiTheme="minorHAnsi" w:cstheme="minorHAnsi"/>
              <w:b/>
              <w:sz w:val="20"/>
              <w:szCs w:val="20"/>
            </w:rPr>
          </w:pPr>
          <w:r>
            <w:rPr>
              <w:rFonts w:asciiTheme="minorHAnsi" w:hAnsiTheme="minorHAnsi" w:cstheme="minorHAnsi"/>
              <w:b/>
              <w:sz w:val="20"/>
              <w:szCs w:val="20"/>
            </w:rPr>
            <w:t>7</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A002F2" w:rsidP="0013449C">
          <w:pPr>
            <w:jc w:val="center"/>
            <w:rPr>
              <w:rFonts w:asciiTheme="minorHAnsi" w:hAnsiTheme="minorHAnsi" w:cstheme="minorHAnsi"/>
              <w:b/>
              <w:color w:val="002060"/>
              <w:lang w:val="es-MX"/>
            </w:rPr>
          </w:pPr>
          <w:r>
            <w:rPr>
              <w:rFonts w:asciiTheme="minorHAnsi" w:hAnsiTheme="minorHAnsi" w:cstheme="minorHAnsi"/>
              <w:b/>
              <w:color w:val="002060"/>
              <w:lang w:val="es-MX"/>
            </w:rPr>
            <w:t>Procedimiento de Socios Comerciales</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A002F2" w:rsidP="00E822EB">
          <w:pPr>
            <w:rPr>
              <w:rFonts w:asciiTheme="minorHAnsi" w:hAnsiTheme="minorHAnsi" w:cstheme="minorHAnsi"/>
              <w:b/>
              <w:sz w:val="20"/>
              <w:szCs w:val="20"/>
              <w:lang w:val="es-MX"/>
            </w:rPr>
          </w:pPr>
          <w:r>
            <w:rPr>
              <w:rFonts w:asciiTheme="minorHAnsi" w:hAnsiTheme="minorHAnsi" w:cstheme="minorHAnsi"/>
              <w:b/>
              <w:sz w:val="20"/>
              <w:szCs w:val="20"/>
              <w:lang w:val="es-MX"/>
            </w:rPr>
            <w:t>26/03/2015</w:t>
          </w:r>
        </w:p>
      </w:tc>
    </w:tr>
  </w:tbl>
  <w:p w:rsidR="002E4A22" w:rsidRDefault="002E4A22">
    <w:pPr>
      <w:pStyle w:val="Encabezado"/>
    </w:pPr>
  </w:p>
  <w:p w:rsidR="002E4A22" w:rsidRDefault="002E4A22">
    <w:pPr>
      <w:pStyle w:val="Encabezado"/>
    </w:pPr>
  </w:p>
  <w:p w:rsidR="00A002F2" w:rsidRDefault="00A002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4F98"/>
    <w:multiLevelType w:val="multilevel"/>
    <w:tmpl w:val="84A8BEE4"/>
    <w:lvl w:ilvl="0">
      <w:start w:val="1"/>
      <w:numFmt w:val="decimal"/>
      <w:lvlText w:val="%1."/>
      <w:lvlJc w:val="left"/>
      <w:pPr>
        <w:ind w:left="720" w:hanging="360"/>
      </w:pPr>
    </w:lvl>
    <w:lvl w:ilvl="1">
      <w:start w:val="1"/>
      <w:numFmt w:val="decimal"/>
      <w:isLgl/>
      <w:lvlText w:val="%1.%2"/>
      <w:lvlJc w:val="left"/>
      <w:pPr>
        <w:ind w:left="360" w:hanging="360"/>
      </w:pPr>
      <w:rPr>
        <w:rFonts w:ascii="Calibri" w:hAnsi="Calibri" w:cs="Calibri" w:hint="default"/>
        <w:b/>
        <w:i w:val="0"/>
        <w:sz w:val="20"/>
        <w:szCs w:val="20"/>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1">
    <w:nsid w:val="05B8132F"/>
    <w:multiLevelType w:val="hybridMultilevel"/>
    <w:tmpl w:val="7016611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8805F0"/>
    <w:multiLevelType w:val="hybridMultilevel"/>
    <w:tmpl w:val="EDD4A5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8304C1"/>
    <w:multiLevelType w:val="hybridMultilevel"/>
    <w:tmpl w:val="2B4A3C94"/>
    <w:lvl w:ilvl="0" w:tplc="080A000D">
      <w:start w:val="1"/>
      <w:numFmt w:val="bullet"/>
      <w:lvlText w:val=""/>
      <w:lvlJc w:val="left"/>
      <w:pPr>
        <w:ind w:left="1125" w:hanging="360"/>
      </w:pPr>
      <w:rPr>
        <w:rFonts w:ascii="Wingdings" w:hAnsi="Wingdings"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5">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21DB0A5E"/>
    <w:multiLevelType w:val="hybridMultilevel"/>
    <w:tmpl w:val="E196D8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8">
    <w:nsid w:val="34893B94"/>
    <w:multiLevelType w:val="hybridMultilevel"/>
    <w:tmpl w:val="BC7467F4"/>
    <w:lvl w:ilvl="0" w:tplc="080A0001">
      <w:start w:val="1"/>
      <w:numFmt w:val="bullet"/>
      <w:lvlText w:val=""/>
      <w:lvlJc w:val="left"/>
      <w:pPr>
        <w:ind w:left="720" w:hanging="360"/>
      </w:pPr>
      <w:rPr>
        <w:rFonts w:ascii="Symbol" w:hAnsi="Symbo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3919ED"/>
    <w:multiLevelType w:val="hybridMultilevel"/>
    <w:tmpl w:val="852C8CAA"/>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0">
    <w:nsid w:val="40745380"/>
    <w:multiLevelType w:val="hybridMultilevel"/>
    <w:tmpl w:val="4330DC3A"/>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1">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7464B4"/>
    <w:multiLevelType w:val="hybridMultilevel"/>
    <w:tmpl w:val="34983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6BB0F16"/>
    <w:multiLevelType w:val="hybridMultilevel"/>
    <w:tmpl w:val="FE94010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5CF332A3"/>
    <w:multiLevelType w:val="hybridMultilevel"/>
    <w:tmpl w:val="B67A04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35C176A"/>
    <w:multiLevelType w:val="hybridMultilevel"/>
    <w:tmpl w:val="BF2C9C5E"/>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8">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19">
    <w:nsid w:val="665B0B1D"/>
    <w:multiLevelType w:val="hybridMultilevel"/>
    <w:tmpl w:val="FB908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A520D42"/>
    <w:multiLevelType w:val="hybridMultilevel"/>
    <w:tmpl w:val="9CCE392A"/>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21">
    <w:nsid w:val="6A8B1869"/>
    <w:multiLevelType w:val="hybridMultilevel"/>
    <w:tmpl w:val="61764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BCC3ACB"/>
    <w:multiLevelType w:val="hybridMultilevel"/>
    <w:tmpl w:val="9686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C6069F2"/>
    <w:multiLevelType w:val="hybridMultilevel"/>
    <w:tmpl w:val="6538B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0960757"/>
    <w:multiLevelType w:val="hybridMultilevel"/>
    <w:tmpl w:val="0846D0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nsid w:val="79F86575"/>
    <w:multiLevelType w:val="hybridMultilevel"/>
    <w:tmpl w:val="1EFCF2E0"/>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27">
    <w:nsid w:val="7FC459A1"/>
    <w:multiLevelType w:val="hybridMultilevel"/>
    <w:tmpl w:val="5DDC14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3"/>
  </w:num>
  <w:num w:numId="4">
    <w:abstractNumId w:val="12"/>
  </w:num>
  <w:num w:numId="5">
    <w:abstractNumId w:val="25"/>
  </w:num>
  <w:num w:numId="6">
    <w:abstractNumId w:val="2"/>
  </w:num>
  <w:num w:numId="7">
    <w:abstractNumId w:val="5"/>
  </w:num>
  <w:num w:numId="8">
    <w:abstractNumId w:val="7"/>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8"/>
  </w:num>
  <w:num w:numId="13">
    <w:abstractNumId w:val="3"/>
  </w:num>
  <w:num w:numId="14">
    <w:abstractNumId w:val="4"/>
  </w:num>
  <w:num w:numId="15">
    <w:abstractNumId w:val="27"/>
  </w:num>
  <w:num w:numId="16">
    <w:abstractNumId w:val="24"/>
  </w:num>
  <w:num w:numId="17">
    <w:abstractNumId w:val="19"/>
  </w:num>
  <w:num w:numId="18">
    <w:abstractNumId w:val="6"/>
  </w:num>
  <w:num w:numId="19">
    <w:abstractNumId w:val="21"/>
  </w:num>
  <w:num w:numId="20">
    <w:abstractNumId w:val="23"/>
  </w:num>
  <w:num w:numId="21">
    <w:abstractNumId w:val="22"/>
  </w:num>
  <w:num w:numId="22">
    <w:abstractNumId w:val="16"/>
  </w:num>
  <w:num w:numId="23">
    <w:abstractNumId w:val="1"/>
  </w:num>
  <w:num w:numId="24">
    <w:abstractNumId w:val="14"/>
  </w:num>
  <w:num w:numId="25">
    <w:abstractNumId w:val="17"/>
  </w:num>
  <w:num w:numId="26">
    <w:abstractNumId w:val="10"/>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0237C"/>
    <w:rsid w:val="00015A57"/>
    <w:rsid w:val="000864AF"/>
    <w:rsid w:val="00094FD6"/>
    <w:rsid w:val="000A025A"/>
    <w:rsid w:val="00102436"/>
    <w:rsid w:val="001151A7"/>
    <w:rsid w:val="0013449C"/>
    <w:rsid w:val="001549C5"/>
    <w:rsid w:val="0016765A"/>
    <w:rsid w:val="001749D0"/>
    <w:rsid w:val="0017502C"/>
    <w:rsid w:val="001945A8"/>
    <w:rsid w:val="001C3101"/>
    <w:rsid w:val="001C4C92"/>
    <w:rsid w:val="001D4990"/>
    <w:rsid w:val="001F1539"/>
    <w:rsid w:val="0026160A"/>
    <w:rsid w:val="002671BE"/>
    <w:rsid w:val="00291D7C"/>
    <w:rsid w:val="002B13EC"/>
    <w:rsid w:val="002B18F1"/>
    <w:rsid w:val="002B47DA"/>
    <w:rsid w:val="002D2D3D"/>
    <w:rsid w:val="002E11EE"/>
    <w:rsid w:val="002E250D"/>
    <w:rsid w:val="002E4A22"/>
    <w:rsid w:val="00324573"/>
    <w:rsid w:val="003319E5"/>
    <w:rsid w:val="00343539"/>
    <w:rsid w:val="003600CC"/>
    <w:rsid w:val="00393C5A"/>
    <w:rsid w:val="003A1B60"/>
    <w:rsid w:val="003A59F6"/>
    <w:rsid w:val="003C7583"/>
    <w:rsid w:val="003D7587"/>
    <w:rsid w:val="003E1C1D"/>
    <w:rsid w:val="003F2E33"/>
    <w:rsid w:val="00421344"/>
    <w:rsid w:val="00421747"/>
    <w:rsid w:val="004472D6"/>
    <w:rsid w:val="0047574F"/>
    <w:rsid w:val="00495D33"/>
    <w:rsid w:val="004D04B4"/>
    <w:rsid w:val="00525A2E"/>
    <w:rsid w:val="00551151"/>
    <w:rsid w:val="005717E8"/>
    <w:rsid w:val="00587DAD"/>
    <w:rsid w:val="005B0963"/>
    <w:rsid w:val="005B418B"/>
    <w:rsid w:val="005C6F9C"/>
    <w:rsid w:val="005D47AC"/>
    <w:rsid w:val="005E1065"/>
    <w:rsid w:val="005E57DC"/>
    <w:rsid w:val="006363B1"/>
    <w:rsid w:val="0067185E"/>
    <w:rsid w:val="00691BF3"/>
    <w:rsid w:val="006A4C60"/>
    <w:rsid w:val="006B3584"/>
    <w:rsid w:val="006B3E7A"/>
    <w:rsid w:val="006B40D4"/>
    <w:rsid w:val="006C09F7"/>
    <w:rsid w:val="006D77DF"/>
    <w:rsid w:val="00710A13"/>
    <w:rsid w:val="00713953"/>
    <w:rsid w:val="007327BD"/>
    <w:rsid w:val="00792F05"/>
    <w:rsid w:val="007D30B6"/>
    <w:rsid w:val="007F697A"/>
    <w:rsid w:val="008128AF"/>
    <w:rsid w:val="00872819"/>
    <w:rsid w:val="00876072"/>
    <w:rsid w:val="00884EB3"/>
    <w:rsid w:val="008A40DE"/>
    <w:rsid w:val="008D35E5"/>
    <w:rsid w:val="008E67ED"/>
    <w:rsid w:val="00900E6B"/>
    <w:rsid w:val="009370C8"/>
    <w:rsid w:val="009504E5"/>
    <w:rsid w:val="009A79C4"/>
    <w:rsid w:val="00A002F2"/>
    <w:rsid w:val="00A46685"/>
    <w:rsid w:val="00A47CE3"/>
    <w:rsid w:val="00A83E1C"/>
    <w:rsid w:val="00A87BDC"/>
    <w:rsid w:val="00A96265"/>
    <w:rsid w:val="00AE72BF"/>
    <w:rsid w:val="00AF4FB2"/>
    <w:rsid w:val="00AF54F2"/>
    <w:rsid w:val="00B6712B"/>
    <w:rsid w:val="00B7797F"/>
    <w:rsid w:val="00B81613"/>
    <w:rsid w:val="00B90935"/>
    <w:rsid w:val="00B91CD4"/>
    <w:rsid w:val="00BC7472"/>
    <w:rsid w:val="00BD237C"/>
    <w:rsid w:val="00BF29DE"/>
    <w:rsid w:val="00C10817"/>
    <w:rsid w:val="00C14611"/>
    <w:rsid w:val="00C22E8D"/>
    <w:rsid w:val="00C40DCA"/>
    <w:rsid w:val="00C523EC"/>
    <w:rsid w:val="00C54959"/>
    <w:rsid w:val="00C75DA7"/>
    <w:rsid w:val="00CA4262"/>
    <w:rsid w:val="00D02298"/>
    <w:rsid w:val="00D33871"/>
    <w:rsid w:val="00D34237"/>
    <w:rsid w:val="00D45981"/>
    <w:rsid w:val="00DA2785"/>
    <w:rsid w:val="00DB1F20"/>
    <w:rsid w:val="00DC5E01"/>
    <w:rsid w:val="00DF3ADC"/>
    <w:rsid w:val="00E2324C"/>
    <w:rsid w:val="00E23493"/>
    <w:rsid w:val="00E51040"/>
    <w:rsid w:val="00E70207"/>
    <w:rsid w:val="00E83A41"/>
    <w:rsid w:val="00EE1DF5"/>
    <w:rsid w:val="00F2768D"/>
    <w:rsid w:val="00F93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paragraph" w:customStyle="1" w:styleId="Default">
    <w:name w:val="Default"/>
    <w:rsid w:val="001C4C9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paragraph" w:customStyle="1" w:styleId="Default">
    <w:name w:val="Default"/>
    <w:rsid w:val="001C4C9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48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ECD9B-654D-4935-82BC-F2383BC9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7</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Sugey D.Salazar Gaxiola</cp:lastModifiedBy>
  <cp:revision>33</cp:revision>
  <dcterms:created xsi:type="dcterms:W3CDTF">2015-03-26T18:37:00Z</dcterms:created>
  <dcterms:modified xsi:type="dcterms:W3CDTF">2015-05-21T16:14:00Z</dcterms:modified>
</cp:coreProperties>
</file>