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6.pdf" ContentType="application/pdf"/>
  <Override PartName="/word/media/rId31.png" ContentType="image/png"/>
  <Override PartName="/word/media/rId3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Echantillonnage</w:t>
      </w:r>
      <w:r>
        <w:t xml:space="preserve"> </w:t>
      </w:r>
      <w:r>
        <w:t xml:space="preserve">et</w:t>
      </w:r>
      <w:r>
        <w:t xml:space="preserve"> </w:t>
      </w:r>
      <w:r>
        <w:t xml:space="preserve">estimation</w:t>
      </w:r>
    </w:p>
    <w:p>
      <w:pPr>
        <w:pStyle w:val="Subtitle"/>
      </w:pPr>
      <w:r>
        <w:t xml:space="preserve">Probabilités</w:t>
      </w:r>
      <w:r>
        <w:t xml:space="preserve"> </w:t>
      </w:r>
      <w:r>
        <w:t xml:space="preserve">et</w:t>
      </w:r>
      <w:r>
        <w:t xml:space="preserve"> </w:t>
      </w:r>
      <w:r>
        <w:t xml:space="preserve">statistique</w:t>
      </w:r>
      <w:r>
        <w:t xml:space="preserve"> </w:t>
      </w:r>
      <w:r>
        <w:t xml:space="preserve">pour</w:t>
      </w:r>
      <w:r>
        <w:t xml:space="preserve"> </w:t>
      </w:r>
      <w:r>
        <w:t xml:space="preserve">la</w:t>
      </w:r>
      <w:r>
        <w:t xml:space="preserve"> </w:t>
      </w:r>
      <w:r>
        <w:t xml:space="preserve">biologie</w:t>
      </w:r>
      <w:r>
        <w:t xml:space="preserve"> </w:t>
      </w:r>
      <w:r>
        <w:t xml:space="preserve">(STAT1)</w:t>
      </w:r>
    </w:p>
    <w:p>
      <w:pPr>
        <w:pStyle w:val="Author"/>
      </w:pPr>
      <w:r>
        <w:t xml:space="preserve">Jacques</w:t>
      </w:r>
      <w:r>
        <w:t xml:space="preserve"> </w:t>
      </w:r>
      <w:r>
        <w:t xml:space="preserve">van</w:t>
      </w:r>
      <w:r>
        <w:t xml:space="preserve"> </w:t>
      </w:r>
      <w:r>
        <w:t xml:space="preserve">Helden</w:t>
      </w:r>
    </w:p>
    <w:p>
      <w:pPr>
        <w:pStyle w:val="Date"/>
      </w:pPr>
      <w:r>
        <w:t xml:space="preserve">2017-09-21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contenu"/>
      <w:bookmarkEnd w:id="21"/>
      <w:r>
        <w:t xml:space="preserve">Contenu</w:t>
      </w:r>
    </w:p>
    <w:p>
      <w:pPr>
        <w:pStyle w:val="FirstParagraph"/>
      </w:pPr>
      <w:r>
        <w:t xml:space="preserve">Dans ce cours, nous aborderons un problème fondamental en statistique: comment estimer les paramètres d'une population à partir d'un échantillon ?</w:t>
      </w:r>
    </w:p>
    <w:p>
      <w:pPr>
        <w:pStyle w:val="BodyText"/>
      </w:pPr>
      <w:r>
        <w:rPr>
          <w:b/>
        </w:rPr>
        <w:t xml:space="preserve">Mots-clés:</w:t>
      </w:r>
    </w:p>
    <w:p>
      <w:pPr>
        <w:pStyle w:val="Compact"/>
        <w:numPr>
          <w:numId w:val="1001"/>
          <w:ilvl w:val="0"/>
        </w:numPr>
      </w:pPr>
      <w:r>
        <w:t xml:space="preserve">population, échantillon,</w:t>
      </w:r>
    </w:p>
    <w:p>
      <w:pPr>
        <w:pStyle w:val="Compact"/>
        <w:numPr>
          <w:numId w:val="1001"/>
          <w:ilvl w:val="0"/>
        </w:numPr>
      </w:pPr>
      <w:r>
        <w:t xml:space="preserve">estimateurs de la tendance centrale (moyenne, médiane, mode)</w:t>
      </w:r>
    </w:p>
    <w:p>
      <w:pPr>
        <w:pStyle w:val="Compact"/>
        <w:numPr>
          <w:numId w:val="1001"/>
          <w:ilvl w:val="0"/>
        </w:numPr>
      </w:pPr>
      <w:r>
        <w:t xml:space="preserve">estimateurs de dispersion (variance, écart-type, espace inter-quartile)</w:t>
      </w:r>
    </w:p>
    <w:p>
      <w:pPr>
        <w:pStyle w:val="Compact"/>
        <w:numPr>
          <w:numId w:val="1001"/>
          <w:ilvl w:val="0"/>
        </w:numPr>
      </w:pPr>
      <w:r>
        <w:t xml:space="preserve">échantillonnage de la moyenne (erreur standard)</w:t>
      </w:r>
    </w:p>
    <w:p>
      <w:pPr>
        <w:pStyle w:val="Compact"/>
        <w:numPr>
          <w:numId w:val="1001"/>
          <w:ilvl w:val="0"/>
        </w:numPr>
      </w:pPr>
      <w:r>
        <w:t xml:space="preserve">intervalle de confiance autour de la moyenne</w:t>
      </w:r>
    </w:p>
    <w:p>
      <w:pPr>
        <w:pStyle w:val="Compact"/>
        <w:numPr>
          <w:numId w:val="1001"/>
          <w:ilvl w:val="0"/>
        </w:numPr>
      </w:pPr>
      <w:r>
        <w:t xml:space="preserve">distributions: normale, Student</w:t>
      </w:r>
    </w:p>
    <w:p>
      <w:pPr>
        <w:pStyle w:val="Compact"/>
        <w:numPr>
          <w:numId w:val="1001"/>
          <w:ilvl w:val="0"/>
        </w:numPr>
      </w:pPr>
      <w:r>
        <w:t xml:space="preserve">théorème central limite</w:t>
      </w:r>
    </w:p>
    <w:p>
      <w:pPr>
        <w:pStyle w:val="Heading2"/>
      </w:pPr>
      <w:bookmarkStart w:id="22" w:name="population-et-echantillon"/>
      <w:bookmarkEnd w:id="22"/>
      <w:r>
        <w:t xml:space="preserve">Population et échantillon</w:t>
      </w:r>
    </w:p>
    <w:p>
      <w:pPr>
        <w:pStyle w:val="FirstParagraph"/>
      </w:pPr>
      <w:r>
        <w:t xml:space="preserve">On s'intéresse à des propriétés mesurables d'une population (finie ou infinie) qu'il est impossible de couvrir de façon exhaustive (coût, temps, mesures destructives). On prélève un</w:t>
      </w:r>
      <w:r>
        <w:t xml:space="preserve"> </w:t>
      </w:r>
      <w:r>
        <w:rPr>
          <w:b/>
        </w:rPr>
        <w:t xml:space="preserve">échantillon</w:t>
      </w:r>
      <w:r>
        <w:t xml:space="preserve">, sur lequel on peut mesurer des</w:t>
      </w:r>
      <w:r>
        <w:t xml:space="preserve"> </w:t>
      </w:r>
      <w:r>
        <w:rPr>
          <w:b/>
        </w:rPr>
        <w:t xml:space="preserve">paramètres</w:t>
      </w:r>
      <w:r>
        <w:t xml:space="preserve"> </w:t>
      </w:r>
      <w:r>
        <w:t xml:space="preserve">(moyenne, écart-type).</w:t>
      </w:r>
    </w:p>
    <w:p>
      <w:pPr>
        <w:pStyle w:val="BodyText"/>
      </w:pPr>
      <w:r>
        <w:t xml:space="preserve">On</w:t>
      </w:r>
      <w:r>
        <w:t xml:space="preserve"> </w:t>
      </w:r>
      <w:r>
        <w:rPr>
          <w:b/>
        </w:rPr>
        <w:t xml:space="preserve">estime</w:t>
      </w:r>
      <w:r>
        <w:t xml:space="preserve"> </w:t>
      </w:r>
      <w:r>
        <w:t xml:space="preserve">les paramètres de la population (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σ</m:t>
        </m:r>
      </m:oMath>
      <w:r>
        <w:t xml:space="preserve">) à partir des paramètres d'échantillon 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</w:t>
      </w:r>
      <w:r>
        <w:t xml:space="preserve"> </w:t>
      </w:r>
      <m:oMath>
        <m:r>
          <m:t>s</m:t>
        </m:r>
      </m:oMath>
      <w:r>
        <w:t xml:space="preserve">).</w:t>
      </w:r>
    </w:p>
    <w:p>
      <w:pPr>
        <w:pStyle w:val="Heading2"/>
      </w:pPr>
      <w:bookmarkStart w:id="23" w:name="population-et-echantillon-1"/>
      <w:bookmarkEnd w:id="23"/>
      <w:r>
        <w:t xml:space="preserve">Population et échantillon</w:t>
      </w:r>
    </w:p>
    <w:p>
      <w:pPr>
        <w:pStyle w:val="Compact"/>
        <w:numPr>
          <w:numId w:val="1002"/>
          <w:ilvl w:val="0"/>
        </w:numPr>
      </w:pPr>
      <m:oMath>
        <m:r>
          <m:t>N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σ</m:t>
        </m:r>
      </m:oMath>
      <w:r>
        <w:t xml:space="preserve">: paramètres de population (nombre d'individus, moyenne, écart-type).</w:t>
      </w:r>
    </w:p>
    <w:p>
      <w:pPr>
        <w:pStyle w:val="Compact"/>
        <w:numPr>
          <w:numId w:val="1002"/>
          <w:ilvl w:val="0"/>
        </w:numPr>
      </w:pPr>
      <m:oMath>
        <m:r>
          <m:t>n</m:t>
        </m:r>
      </m:oMath>
      <w:r>
        <w:t xml:space="preserve">,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</w:t>
      </w:r>
      <w:r>
        <w:t xml:space="preserve"> </w:t>
      </w:r>
      <m:oMath>
        <m:r>
          <m:t>s</m:t>
        </m:r>
      </m:oMath>
      <w:r>
        <w:t xml:space="preserve">: paramètres d'échantillon (nombre d'individus, moyenne, écart-type).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élection d'un échantillon dans une population." title="" id="1" name="Picture"/>
            <a:graphic>
              <a:graphicData uri="http://schemas.openxmlformats.org/drawingml/2006/picture">
                <pic:pic>
                  <pic:nvPicPr>
                    <pic:cNvPr descr="figures/population_one_sample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Sélection d'un échantillon dans une population.</w:t>
      </w:r>
    </w:p>
    <w:p>
      <w:pPr>
        <w:pStyle w:val="Heading2"/>
      </w:pPr>
      <w:bookmarkStart w:id="25" w:name="population-et-echantillons"/>
      <w:bookmarkEnd w:id="25"/>
      <w:r>
        <w:t xml:space="preserve">Population et échantillons</w:t>
      </w:r>
    </w:p>
    <w:p>
      <w:pPr>
        <w:pStyle w:val="FirstParagraph"/>
      </w:pPr>
      <w:r>
        <w:rPr>
          <w:b/>
        </w:rPr>
        <w:t xml:space="preserve">Problème général de l'estimation</w:t>
      </w:r>
      <w:r>
        <w:t xml:space="preserve">: si l'on avait choisi un autre échantillon, on disposerait de paramètres différents. Dès lors, comment évaluer la fiabilité de nos estimateurs ?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élection d'un échantillon dans une population." title="" id="1" name="Picture"/>
            <a:graphic>
              <a:graphicData uri="http://schemas.openxmlformats.org/drawingml/2006/picture">
                <pic:pic>
                  <pic:nvPicPr>
                    <pic:cNvPr descr="figures/population_some_sample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Sélection d'un échantillon dans une population.</w:t>
      </w:r>
    </w:p>
    <w:p>
      <w:pPr>
        <w:pStyle w:val="Heading2"/>
      </w:pPr>
      <w:bookmarkStart w:id="27" w:name="parametres-classiques"/>
      <w:bookmarkEnd w:id="27"/>
      <w:r>
        <w:t xml:space="preserve">Paramètres classiques</w:t>
      </w:r>
    </w:p>
    <w:p>
      <w:pPr>
        <w:pStyle w:val="FirstParagraph"/>
      </w:pPr>
      <w:r>
        <w:rPr>
          <w:b/>
        </w:rPr>
        <w:t xml:space="preserve">Moyenne:</w:t>
      </w:r>
      <w:r>
        <w:rPr>
          <w:b/>
        </w:rPr>
        <w:t xml:space="preserve"> </w:t>
      </w:r>
      <w:r>
        <w:t xml:space="preserve"> </w:t>
      </w:r>
      <w:r>
        <w:t xml:space="preserve">paramètre de tendance centrale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rPr>
          <w:b/>
        </w:rPr>
        <w:t xml:space="preserve">Variance:</w:t>
      </w:r>
      <w:r>
        <w:rPr>
          <w:b/>
        </w:rPr>
        <w:t xml:space="preserve"> </w:t>
      </w:r>
      <w:r>
        <w:t xml:space="preserve">: paramètre de dispersion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r>
            <m:t>x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rPr>
          <w:b/>
        </w:rPr>
        <w:t xml:space="preserve">Ecart-type:</w:t>
      </w:r>
      <w:r>
        <w:rPr>
          <w:b/>
        </w:rPr>
        <w:t xml:space="preserve"> </w:t>
      </w:r>
      <w:r>
        <w:t xml:space="preserve">: paramètre de dispersion (plus pratique que la variance, car mêmes unités que les observations, et que la moyenne).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x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Heading2"/>
      </w:pPr>
      <w:bookmarkStart w:id="28" w:name="parametres-robustes"/>
      <w:bookmarkEnd w:id="28"/>
      <w:r>
        <w:t xml:space="preserve">Paramètres robustes</w:t>
      </w:r>
    </w:p>
    <w:p>
      <w:pPr>
        <w:pStyle w:val="FirstParagraph"/>
      </w:pPr>
      <w:r>
        <w:t xml:space="preserve">Les paramètres classiques (moyenne, variance) sont sensibles à la présence de valeurs aberrantes ("outliers" en anglais). En particulier, la variance est très affectée par la présence de quelques valeurs aberrantes, car ces valeurs sont prises au carré.</w:t>
      </w:r>
    </w:p>
    <w:p>
      <w:pPr>
        <w:pStyle w:val="BodyText"/>
      </w:pPr>
      <w:r>
        <w:t xml:space="preserve">Alternative: se baser sur les quartiles.</w:t>
      </w:r>
    </w:p>
    <w:p>
      <w:pPr>
        <w:numPr>
          <w:numId w:val="1003"/>
          <w:ilvl w:val="0"/>
        </w:numPr>
      </w:pPr>
      <m:oMath>
        <m:groupChr>
          <m:groupChrPr>
            <m:chr m:val="̃"/>
            <m:pos m:val="top"/>
            <m:vertJc m:val="bot"/>
          </m:groupChrPr>
          <m:e>
            <m:r>
              <m:t>x</m:t>
            </m:r>
          </m:e>
        </m:groupChr>
      </m:oMath>
      <w:r>
        <w:t xml:space="preserve">: la</w:t>
      </w:r>
      <w:r>
        <w:t xml:space="preserve"> </w:t>
      </w:r>
      <w:r>
        <w:rPr>
          <w:b/>
        </w:rPr>
        <w:t xml:space="preserve">médiane</w:t>
      </w:r>
      <w:r>
        <w:t xml:space="preserve"> </w:t>
      </w:r>
      <w:r>
        <w:t xml:space="preserve">est la plus petite valeur supérieure ou égale à la moitié des valeurs observées. La médiane est un paramètre robuste de tendance centrale.</w:t>
      </w:r>
    </w:p>
    <w:p>
      <w:pPr>
        <w:numPr>
          <w:numId w:val="1003"/>
          <w:ilvl w:val="0"/>
        </w:numPr>
      </w:pP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 le</w:t>
      </w:r>
      <w:r>
        <w:t xml:space="preserve"> </w:t>
      </w:r>
      <w:r>
        <w:rPr>
          <w:b/>
        </w:rPr>
        <w:t xml:space="preserve">premier quartile</w:t>
      </w:r>
      <w:r>
        <w:t xml:space="preserve">, la valeur supérieure ou égale à</w:t>
      </w:r>
      <w:r>
        <w:t xml:space="preserve"> </w:t>
      </w:r>
      <m:oMath>
        <m:r>
          <m:t>25</m:t>
        </m:r>
        <m:r>
          <m:t>%</m:t>
        </m:r>
      </m:oMath>
      <w:r>
        <w:t xml:space="preserve"> </w:t>
      </w:r>
      <w:r>
        <w:t xml:space="preserve">des valeurs observées.</w:t>
      </w:r>
    </w:p>
    <w:p>
      <w:pPr>
        <w:numPr>
          <w:numId w:val="1003"/>
          <w:ilvl w:val="0"/>
        </w:numPr>
      </w:pP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 le</w:t>
      </w:r>
      <w:r>
        <w:t xml:space="preserve"> </w:t>
      </w:r>
      <w:r>
        <w:rPr>
          <w:b/>
        </w:rPr>
        <w:t xml:space="preserve">troisième quartile</w:t>
      </w:r>
      <w:r>
        <w:t xml:space="preserve">, la valeur supérieure ou égale à</w:t>
      </w:r>
      <w:r>
        <w:t xml:space="preserve"> </w:t>
      </w:r>
      <m:oMath>
        <m:r>
          <m:t>75</m:t>
        </m:r>
        <m:r>
          <m:t>%</m:t>
        </m:r>
      </m:oMath>
      <w:r>
        <w:t xml:space="preserve"> </w:t>
      </w:r>
      <w:r>
        <w:t xml:space="preserve">des valeurs observées.</w:t>
      </w:r>
    </w:p>
    <w:p>
      <w:pPr>
        <w:numPr>
          <w:numId w:val="1003"/>
          <w:ilvl w:val="0"/>
        </w:numPr>
      </w:pPr>
      <m:oMath>
        <m:r>
          <m:rPr>
            <m:sty m:val="p"/>
          </m:rPr>
          <m:t>IQR</m:t>
        </m:r>
        <m:r>
          <m:t>=</m:t>
        </m:r>
        <m:sSub>
          <m:e>
            <m:r>
              <m:t>Q</m:t>
            </m:r>
          </m:e>
          <m:sub>
            <m:r>
              <m:t>3</m:t>
            </m:r>
          </m:sub>
        </m:sSub>
        <m:r>
          <m:t>−</m:t>
        </m:r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 l'</w:t>
      </w:r>
      <w:r>
        <w:rPr>
          <w:b/>
        </w:rPr>
        <w:t xml:space="preserve">écart inter-quartile</w:t>
      </w:r>
      <w:r>
        <w:t xml:space="preserve"> </w:t>
      </w:r>
      <w:r>
        <w:t xml:space="preserve">(</w:t>
      </w:r>
      <w:r>
        <w:rPr>
          <w:i/>
          <w:b/>
        </w:rPr>
        <w:t xml:space="preserve">inter-quartile range</w:t>
      </w:r>
      <w:r>
        <w:t xml:space="preserve">): est un estimateur robuste de la dispersion.</w:t>
      </w:r>
    </w:p>
    <w:p>
      <w:pPr>
        <w:pStyle w:val="Heading2"/>
      </w:pPr>
      <w:bookmarkStart w:id="29" w:name="exemple-historique-genome-de-la-levure"/>
      <w:bookmarkEnd w:id="29"/>
      <w:r>
        <w:t xml:space="preserve">Exemple historique: génome de la levure</w:t>
      </w:r>
    </w:p>
    <w:p>
      <w:pPr>
        <w:pStyle w:val="Compact"/>
        <w:numPr>
          <w:numId w:val="1004"/>
          <w:ilvl w:val="0"/>
        </w:numPr>
      </w:pPr>
      <w:r>
        <w:t xml:space="preserve">1992: publication du premier chromosome eucaryote complet, le 3ème chromosome de la levure.</w:t>
      </w:r>
    </w:p>
    <w:p>
      <w:pPr>
        <w:pStyle w:val="Compact"/>
        <w:numPr>
          <w:numId w:val="1004"/>
          <w:ilvl w:val="0"/>
        </w:numPr>
      </w:pPr>
      <w:r>
        <w:t xml:space="preserve">1996: publication du génome complet.</w:t>
      </w:r>
    </w:p>
    <w:p>
      <w:pPr>
        <w:pStyle w:val="FirstParagraph"/>
      </w:pPr>
      <w:r>
        <w:t xml:space="preserve">Sur base des gènes dU 3ème chromosome (échantillon) on peut estimer la taille moyenne d'un gène de levure.</w:t>
      </w:r>
    </w:p>
    <w:p>
      <w:pPr>
        <w:pStyle w:val="BodyText"/>
      </w:pPr>
      <w:r>
        <w:rPr>
          <w:b/>
        </w:rPr>
        <w:t xml:space="preserve">Questions:</w:t>
      </w:r>
      <w:r>
        <w:rPr>
          <w:b/>
        </w:rPr>
        <w:t xml:space="preserve"> </w:t>
      </w:r>
    </w:p>
    <w:p>
      <w:pPr>
        <w:numPr>
          <w:numId w:val="1005"/>
          <w:ilvl w:val="0"/>
        </w:numPr>
      </w:pPr>
      <w:r>
        <w:t xml:space="preserve">La moyenne d'échantillon (chromosome III) permettait-elle de prédire la moyenne de la population (génome complet) ?</w:t>
      </w:r>
    </w:p>
    <w:p>
      <w:pPr>
        <w:numPr>
          <w:numId w:val="1005"/>
          <w:ilvl w:val="0"/>
        </w:numPr>
      </w:pPr>
      <w:r>
        <w:t xml:space="preserve">Cet échantillon peut-il être qualifié de "simple et indépendant" ?</w:t>
      </w:r>
    </w:p>
    <w:p>
      <w:pPr>
        <w:pStyle w:val="Heading2"/>
      </w:pPr>
      <w:bookmarkStart w:id="30" w:name="distribution-des-tailles-de-genes"/>
      <w:bookmarkEnd w:id="30"/>
      <w:r>
        <w:t xml:space="preserve">Distribution des tailles de gènes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Distribution of gene lengths for Saccharomyces cerevisiae." title="" id="1" name="Picture"/>
            <a:graphic>
              <a:graphicData uri="http://schemas.openxmlformats.org/drawingml/2006/picture">
                <pic:pic>
                  <pic:nvPicPr>
                    <pic:cNvPr descr="figures/sampling-estimation_gene_length_hist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gene lengths for Saccharomyces cerevisiae.</w:t>
      </w:r>
    </w:p>
    <w:p>
      <w:pPr>
        <w:pStyle w:val="Heading2"/>
      </w:pPr>
      <w:bookmarkStart w:id="32" w:name="exemples-actuels"/>
      <w:bookmarkEnd w:id="32"/>
      <w:r>
        <w:t xml:space="preserve">Exemples actuels</w:t>
      </w:r>
    </w:p>
    <w:p>
      <w:pPr>
        <w:pStyle w:val="FirstParagraph"/>
      </w:pPr>
      <w:r>
        <w:t xml:space="preserve">Dans chaque cas, définissez la ou les populations, et posez-vous les questions concernant la validité de l'échantillonnage (simple, indépendant, représentatif, ...).</w:t>
      </w:r>
    </w:p>
    <w:p>
      <w:pPr>
        <w:numPr>
          <w:numId w:val="1006"/>
          <w:ilvl w:val="0"/>
        </w:numPr>
      </w:pPr>
      <w:r>
        <w:t xml:space="preserve">Profils transcriptomiques de patients: 40 cas de leucémie myéloide aigue (AML) et 40 cas de leucémie lymphoblasique eaigue (ALL).</w:t>
      </w:r>
    </w:p>
    <w:p>
      <w:pPr>
        <w:numPr>
          <w:numId w:val="1006"/>
          <w:ilvl w:val="0"/>
        </w:numPr>
      </w:pPr>
      <w:r>
        <w:t xml:space="preserve">Etude d'association à échelle génomique: SNPs de 2000 cas (diabète de type 2) et 3000 contrôles (pas de diabète.</w:t>
      </w:r>
    </w:p>
    <w:p>
      <w:pPr>
        <w:pStyle w:val="Heading2"/>
      </w:pPr>
      <w:bookmarkStart w:id="33" w:name="parametres-de-population"/>
      <w:bookmarkEnd w:id="33"/>
      <w:r>
        <w:t xml:space="preserve">Paramètres de population</w:t>
      </w:r>
    </w:p>
    <w:p>
      <w:pPr>
        <w:pStyle w:val="FirstParagraph"/>
      </w:pPr>
      <w:r>
        <w:t xml:space="preserve">Par convention, nous utiliserons les symboles suivants pour les paramètres calculés sur la</w:t>
      </w:r>
      <w:r>
        <w:t xml:space="preserve"> </w:t>
      </w:r>
      <w:r>
        <w:rPr>
          <w:b/>
        </w:rPr>
        <w:t xml:space="preserve">population entière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m:oMath>
        <m:r>
          <m:t>X</m:t>
        </m:r>
      </m:oMath>
      <w:r>
        <w:t xml:space="preserve">:</w:t>
      </w:r>
      <w:r>
        <w:t xml:space="preserve"> </w:t>
      </w:r>
      <w:r>
        <w:rPr>
          <w:i/>
        </w:rPr>
        <w:t xml:space="preserve">variable aléatoire</w:t>
      </w:r>
      <w:r>
        <w:t xml:space="preserve"> </w:t>
      </w:r>
      <w:r>
        <w:t xml:space="preserve">représentant toutes les valeurs possibles d'une observation (par exemple l'ensemble des nombres réels, ou naturels).</w:t>
      </w:r>
    </w:p>
    <w:p>
      <w:pPr>
        <w:pStyle w:val="Compact"/>
        <w:numPr>
          <w:numId w:val="1007"/>
          <w:ilvl w:val="0"/>
        </w:numPr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: valeur particulière de cette variable pour le</w:t>
      </w:r>
      <w:r>
        <w:t xml:space="preserve"> </w:t>
      </w:r>
      <m:oMath>
        <m:sSup>
          <m:e>
            <m:r>
              <m:t>i</m:t>
            </m:r>
          </m:e>
          <m:sup>
            <m:r>
              <m:t>è</m:t>
            </m:r>
            <m:r>
              <m:t>m</m:t>
            </m:r>
            <m:r>
              <m:t>e</m:t>
            </m:r>
          </m:sup>
        </m:sSup>
      </m:oMath>
      <w:r>
        <w:t xml:space="preserve"> </w:t>
      </w:r>
      <w:r>
        <w:t xml:space="preserve">individu d'une population.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Paramètre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Taille (nombre d'individus)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Ecart-type</w:t>
            </w:r>
          </w:p>
        </w:tc>
        <w:tc>
          <w:p>
            <w:pPr>
              <w:pStyle w:val="Compact"/>
              <w:jc w:val="left"/>
            </w:pPr>
            <m:oMath>
              <m:r>
                <m:t>σ</m:t>
              </m:r>
              <m:r>
                <m:t>=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oMath>
          </w:p>
        </w:tc>
      </w:tr>
    </w:tbl>
    <w:p>
      <w:pPr>
        <w:pStyle w:val="Heading2"/>
      </w:pPr>
      <w:bookmarkStart w:id="34" w:name="parametres-dechantillons"/>
      <w:bookmarkEnd w:id="34"/>
      <w:r>
        <w:t xml:space="preserve">Paramètres d'échantillons</w:t>
      </w:r>
    </w:p>
    <w:p>
      <w:pPr>
        <w:pStyle w:val="FirstParagraph"/>
      </w:pPr>
      <w:r>
        <w:t xml:space="preserve">Par convention, nous utiliserons les symboles suivants pour les paramètres calculés sur un</w:t>
      </w:r>
      <w:r>
        <w:t xml:space="preserve"> </w:t>
      </w:r>
      <w:r>
        <w:rPr>
          <w:b/>
        </w:rPr>
        <w:t xml:space="preserve">échantillon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Paramètre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Effectif (nombre d'individus)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m:oMath>
              <m:r>
                <m:t>x</m:t>
              </m:r>
              <m:r>
                <m:t>=</m:t>
              </m:r>
              <m:r>
                <m:t>{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r>
                <m:t>⋯</m:t>
              </m:r>
              <m:r>
                <m:t>,</m:t>
              </m:r>
              <m:r>
                <m:t>x</m:t>
              </m:r>
              <m:r>
                <m:t>_</m:t>
              </m:r>
              <m:r>
                <m:t>n</m:t>
              </m:r>
              <m:r>
                <m:t>}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Moyenne</w:t>
            </w:r>
          </w:p>
        </w:tc>
        <w:tc>
          <w:p>
            <w:pPr>
              <w:pStyle w:val="Compact"/>
              <w:jc w:val="left"/>
            </w:pP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Ecart-type</w:t>
            </w:r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>
                <m:t>=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oMath>
          </w:p>
        </w:tc>
      </w:tr>
    </w:tbl>
    <w:p>
      <w:pPr>
        <w:pStyle w:val="BodyText"/>
      </w:pPr>
      <w:r>
        <w:t xml:space="preserve">La barre au-dessus d'un symbole de variable dénote la moyenne.</w:t>
      </w:r>
    </w:p>
    <w:p>
      <w:pPr>
        <w:pStyle w:val="Heading2"/>
      </w:pPr>
      <w:bookmarkStart w:id="35" w:name="jeux-de-donnees-simules"/>
      <w:bookmarkEnd w:id="35"/>
      <w:r>
        <w:t xml:space="preserve">Jeux de données simulés</w:t>
      </w:r>
    </w:p>
    <w:p>
      <w:pPr>
        <w:pStyle w:val="FirstParagraph"/>
      </w:pPr>
      <w:r>
        <w:t xml:space="preserve">Avant d'analyser les données réelles, jouons avec des jeux de données générés selon un modèle probabilise donné. Nous conrôlons ainsi tous les paramètres, et pouvons évaluer la fiabilité des estimateurs.</w:t>
      </w:r>
    </w:p>
    <w:p>
      <w:pPr>
        <w:pStyle w:val="Heading2"/>
      </w:pPr>
      <w:bookmarkStart w:id="36" w:name="moyennes-dechantillons"/>
      <w:bookmarkEnd w:id="36"/>
      <w:r>
        <w:t xml:space="preserve">Moyennes d'échantillons</w:t>
      </w:r>
    </w:p>
    <w:p>
      <w:pPr>
        <w:pStyle w:val="FirstParagraph"/>
      </w:pPr>
      <w:r>
        <w:t xml:space="preserve">On prélève un échantillon d'effectif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(nombre d'éléments) dans une population de taille</w:t>
      </w:r>
      <w:r>
        <w:t xml:space="preserve"> </w:t>
      </w:r>
      <m:oMath>
        <m:r>
          <m:t>N</m:t>
        </m:r>
        <m:r>
          <m:t>=</m:t>
        </m:r>
        <m:sSup>
          <m:e>
            <m:r>
              <m:t>10</m:t>
            </m:r>
          </m:e>
          <m:sup>
            <m:r>
              <m:t>4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La population suit une distribution gaussienne de moyenne</w:t>
      </w:r>
      <w:r>
        <w:t xml:space="preserve"> </w:t>
      </w:r>
      <m:oMath>
        <m:r>
          <m:t>μ</m:t>
        </m:r>
        <m:r>
          <m:t>=</m:t>
        </m:r>
        <m:r>
          <m:t>−</m:t>
        </m:r>
        <m:r>
          <m:t>0.0012185</m:t>
        </m:r>
      </m:oMath>
      <w:r>
        <w:t xml:space="preserve"> </w:t>
      </w:r>
      <w:r>
        <w:t xml:space="preserve">et d'écart-type</w:t>
      </w:r>
      <w:r>
        <w:t xml:space="preserve"> </w:t>
      </w:r>
      <m:oMath>
        <m:r>
          <m:t>σ</m:t>
        </m:r>
        <m:r>
          <m:t>=</m:t>
        </m:r>
        <m:r>
          <m:t>0.9968537</m:t>
        </m:r>
      </m:oMath>
      <w:r>
        <w:t xml:space="preserve">.</w:t>
      </w:r>
    </w:p>
    <w:p>
      <w:pPr>
        <w:pStyle w:val="BodyText"/>
      </w:pPr>
      <w:r>
        <w:t xml:space="preserve">Répétons l'échantillonnage un grand nombre de fois (</w:t>
      </w:r>
      <m:oMath>
        <m:r>
          <m:t>R</m:t>
        </m:r>
        <m:r>
          <m:t>=</m:t>
        </m:r>
        <m:sSup>
          <m:e>
            <m:r>
              <m:t>10</m:t>
            </m:r>
          </m:e>
          <m:sup>
            <m:r>
              <m:t>4</m:t>
            </m:r>
          </m:sup>
        </m:sSup>
      </m:oMath>
      <w:r>
        <w:t xml:space="preserve">). Pour chaque échantillon, calculons la moyenne, et étudions la distribution de ces moyennes.</w:t>
      </w:r>
    </w:p>
    <w:p>
      <w:pPr>
        <w:pStyle w:val="Heading2"/>
      </w:pPr>
      <w:bookmarkStart w:id="37" w:name="distribution-dechantillonnage-de-la-moyenne"/>
      <w:bookmarkEnd w:id="37"/>
      <w:r>
        <w:t xml:space="preserve">Distribution d'échantillonnage de la moyenne</w:t>
      </w:r>
    </w:p>
    <w:p>
      <w:pPr>
        <w:pStyle w:val="FigureWithCaption"/>
      </w:pPr>
      <w:r>
        <w:drawing>
          <wp:inline>
            <wp:extent cx="5334000" cy="4572000"/>
            <wp:effectExtent b="0" l="0" r="0" t="0"/>
            <wp:docPr descr="Distribution des moyennes d'échantillon" title="" id="1" name="Picture"/>
            <a:graphic>
              <a:graphicData uri="http://schemas.openxmlformats.org/drawingml/2006/picture">
                <pic:pic>
                  <pic:nvPicPr>
                    <pic:cNvPr descr="figures/sampling-estimation_rand_norm_sampling_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des moyennes d'échantillon</w:t>
      </w:r>
    </w:p>
    <w:p>
      <w:pPr>
        <w:pStyle w:val="Heading2"/>
      </w:pPr>
      <w:bookmarkStart w:id="39" w:name="esperance-de-la-moyenne-dechantillon"/>
      <w:bookmarkEnd w:id="39"/>
      <w:r>
        <w:t xml:space="preserve">Espérance de la moyenne d'échantillon</w:t>
      </w:r>
    </w:p>
    <w:p>
      <w:pPr>
        <w:pStyle w:val="FirstParagraph"/>
      </w:pPr>
      <w:r>
        <w:rPr>
          <w:b/>
        </w:rPr>
        <w:t xml:space="preserve">Non biaisée</w:t>
      </w:r>
      <w:r>
        <w:t xml:space="preserve">: l'espérance de la moyenne d'échantillon est égale à la moyenne d'échantillon: si on prélèvait un nombre infini d'échantillons et qu'on calculait leurs moyennes 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), la moyenne de ces moyennes de la population (</w:t>
      </w:r>
      <m:oMath>
        <m:r>
          <m:t>μ</m:t>
        </m:r>
      </m:oMath>
      <w:r>
        <w:t xml:space="preserve">).</w:t>
      </w:r>
    </w:p>
    <w:p>
      <w:pPr>
        <w:pStyle w:val="BodyText"/>
      </w:pPr>
      <m:oMath>
        <m:r>
          <m:t>&lt;</m:t>
        </m:r>
        <m:bar>
          <m:barPr>
            <m:pos m:val="top"/>
          </m:barPr>
          <m:e>
            <m:r>
              <m:t>X</m:t>
            </m:r>
          </m:e>
        </m:bar>
        <m:r>
          <m:t>&gt;</m:t>
        </m:r>
        <m:r>
          <m:t>=</m:t>
        </m:r>
        <m:r>
          <m:t>μ</m:t>
        </m:r>
      </m:oMath>
    </w:p>
    <w:p>
      <w:pPr>
        <w:pStyle w:val="Heading2"/>
      </w:pPr>
      <w:bookmarkStart w:id="40" w:name="variance-de-la-moyenne-dechantillon"/>
      <w:bookmarkEnd w:id="40"/>
      <w:r>
        <w:t xml:space="preserve">Variance de la moyenne d'échantillon</w:t>
      </w:r>
    </w:p>
    <w:p>
      <w:pPr>
        <w:pStyle w:val="FirstParagraph"/>
      </w:pPr>
      <w:r>
        <w:rPr>
          <w:b/>
        </w:rPr>
        <w:t xml:space="preserve">Dispersion:</w:t>
      </w:r>
      <w:r>
        <w:rPr>
          <w:b/>
        </w:rPr>
        <w:t xml:space="preserve"> </w:t>
      </w:r>
      <w:r>
        <w:t xml:space="preserve"> </w:t>
      </w:r>
      <w:r>
        <w:t xml:space="preserve">la variance de la moyenne d'échantillon diminue avec l'effectif.</w:t>
      </w:r>
    </w:p>
    <w:p>
      <w:pPr>
        <w:pStyle w:val="BodyText"/>
      </w:pPr>
      <m:oMath>
        <m:sSubSup>
          <m:e>
            <m:r>
              <m:t>σ</m:t>
            </m:r>
          </m:e>
          <m:sub>
            <m:bar>
              <m:barPr>
                <m:pos m:val="top"/>
              </m:barPr>
              <m:e>
                <m:r>
                  <m:t>X</m:t>
                </m:r>
              </m:e>
            </m:bar>
          </m:sub>
          <m:sup>
            <m:r>
              <m:t>2</m:t>
            </m:r>
          </m:sup>
        </m:sSubSup>
        <m:r>
          <m:t>=</m:t>
        </m:r>
        <m:f>
          <m:fPr>
            <m:type m:val="bar"/>
          </m:fPr>
          <m:num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</m:oMath>
    </w:p>
    <w:p>
      <w:pPr>
        <w:pStyle w:val="BodyText"/>
      </w:pPr>
      <m:oMath>
        <m:sSub>
          <m:e>
            <m:r>
              <m:t>σ</m:t>
            </m:r>
          </m:e>
          <m:sub>
            <m:bar>
              <m:barPr>
                <m:pos m:val="top"/>
              </m:barPr>
              <m:e>
                <m:r>
                  <m:t>X</m:t>
                </m:r>
              </m:e>
            </m:bar>
          </m:sub>
        </m:sSub>
        <m:r>
          <m:t>=</m:t>
        </m:r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Heading2"/>
      </w:pPr>
      <w:bookmarkStart w:id="41" w:name="convergence"/>
      <w:bookmarkEnd w:id="41"/>
      <w:r>
        <w:t xml:space="preserve">Convergence</w:t>
      </w:r>
    </w:p>
    <w:p>
      <w:pPr>
        <w:numPr>
          <w:numId w:val="1008"/>
          <w:ilvl w:val="0"/>
        </w:numPr>
      </w:pPr>
      <w:r>
        <w:t xml:space="preserve">Quand la taille de l'échantillon augmente, la moyenne d'échantillon 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converge vers la moyenne de la population (</w:t>
      </w:r>
      <m:oMath>
        <m:r>
          <m:t>μ</m:t>
        </m:r>
      </m:oMath>
      <w:r>
        <w:t xml:space="preserve">).</w:t>
      </w:r>
    </w:p>
    <w:p>
      <w:pPr>
        <w:numPr>
          <w:numId w:val="1008"/>
          <w:ilvl w:val="0"/>
        </w:numPr>
      </w:pPr>
      <w:r>
        <w:t xml:space="preserve">Cette convergence est d'autant plus rapide que l'effectif (</w:t>
      </w:r>
      <m:oMath>
        <m:r>
          <m:t>n</m:t>
        </m:r>
      </m:oMath>
      <w:r>
        <w:t xml:space="preserve">) est grand.</w:t>
      </w:r>
    </w:p>
    <w:p>
      <w:pPr>
        <w:numPr>
          <w:numId w:val="1008"/>
          <w:ilvl w:val="0"/>
        </w:numPr>
      </w:pPr>
      <w:r>
        <w:t xml:space="preserve">L'imprécision (qu'on peut mesurer par l'écart-type) diminue avec la racine carrée de l'effectif.</w:t>
      </w:r>
    </w:p>
    <w:p>
      <w:pPr>
        <w:numPr>
          <w:numId w:val="1008"/>
          <w:ilvl w:val="0"/>
        </w:numPr>
      </w:pPr>
      <w:r>
        <w:t xml:space="preserve">En pratique, ceci signifie que</w:t>
      </w:r>
      <w:r>
        <w:t xml:space="preserve"> </w:t>
      </w:r>
      <w:r>
        <w:rPr>
          <w:b/>
        </w:rPr>
        <w:t xml:space="preserve">si l'on veut doubler la précision d'une estimation de moyenne, il faut quadrupler la taille d'échantillon !</w:t>
      </w:r>
    </w:p>
    <w:p>
      <w:pPr>
        <w:pStyle w:val="Heading2"/>
      </w:pPr>
      <w:bookmarkStart w:id="42" w:name="estimateurs-robustes-versus-convergence"/>
      <w:bookmarkEnd w:id="42"/>
      <w:r>
        <w:t xml:space="preserve">Estimateurs robustes versus convergence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la moyenne d'échantillon 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converge plus rapidement que la médiane (</w:t>
      </w:r>
      <m:oMath>
        <m:groupChr>
          <m:groupChrPr>
            <m:chr m:val="̃"/>
            <m:pos m:val="top"/>
            <m:vertJc m:val="bot"/>
          </m:groupChrPr>
          <m:e>
            <m:r>
              <m:t>x</m:t>
            </m:r>
          </m:e>
        </m:groupChr>
      </m:oMath>
      <w:r>
        <w:t xml:space="preserve">) vers la moyenne de population (</w:t>
      </w:r>
      <m:oMath>
        <m:r>
          <m:t>μ</m:t>
        </m:r>
      </m:oMath>
      <w:r>
        <w:t xml:space="preserve">). De même, l'écart-type converge plus rapidement que l'espace interquartile.</w:t>
      </w:r>
    </w:p>
    <w:p>
      <w:pPr>
        <w:pStyle w:val="BodyText"/>
      </w:pPr>
      <w:r>
        <w:t xml:space="preserve">Si l'on veut utiliser des paramètres robustes aux valeurs aberrantes (</w:t>
      </w:r>
      <m:oMath>
        <m:groupChr>
          <m:groupChrPr>
            <m:chr m:val="̃"/>
            <m:pos m:val="top"/>
            <m:vertJc m:val="bot"/>
          </m:groupChrPr>
          <m:e>
            <m:r>
              <m:t>x</m:t>
            </m:r>
          </m:e>
        </m:groupChr>
      </m:oMath>
      <w:r>
        <w:t xml:space="preserve">,</w:t>
      </w:r>
      <w:r>
        <w:t xml:space="preserve"> </w:t>
      </w:r>
      <m:oMath>
        <m:r>
          <m:rPr>
            <m:sty m:val="p"/>
          </m:rPr>
          <m:t>IQR</m:t>
        </m:r>
      </m:oMath>
      <w:r>
        <w:t xml:space="preserve">), il faut donc s'assurer qu'on dspose d'un échantillon d'effectif (</w:t>
      </w:r>
      <m:oMath>
        <m:r>
          <m:t>n</m:t>
        </m:r>
      </m:oMath>
      <w:r>
        <w:t xml:space="preserve">) suffisant.</w:t>
      </w:r>
    </w:p>
    <w:p>
      <w:pPr>
        <w:pStyle w:val="Heading2"/>
      </w:pPr>
      <w:bookmarkStart w:id="43" w:name="distribution-normale"/>
      <w:bookmarkEnd w:id="43"/>
      <w:r>
        <w:t xml:space="preserve">Distribution normale</w:t>
      </w:r>
    </w:p>
    <w:p>
      <w:pPr>
        <w:pStyle w:val="FirstParagraph"/>
      </w:pPr>
      <w:r>
        <w:t xml:space="preserve">Egalement appelée</w:t>
      </w:r>
      <w:r>
        <w:t xml:space="preserve"> </w:t>
      </w:r>
      <w:r>
        <w:rPr>
          <w:b/>
        </w:rPr>
        <w:t xml:space="preserve">distribution gaussienne</w:t>
      </w:r>
      <w:r>
        <w:t xml:space="preserve">.</w:t>
      </w:r>
    </w:p>
    <w:p>
      <w:pPr>
        <w:pStyle w:val="BodyText"/>
      </w:pPr>
      <w:r>
        <w:rPr>
          <w:b/>
        </w:rPr>
        <w:t xml:space="preserve">Densité de probabilité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(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sup>
          </m:sSup>
        </m:oMath>
      </m:oMathPara>
    </w:p>
    <w:p>
      <w:pPr>
        <w:pStyle w:val="FirstParagraph"/>
      </w:pPr>
      <w:r>
        <w:t xml:space="preserve">** Distribution normale standard**</w:t>
      </w:r>
    </w:p>
    <w:p>
      <w:pPr>
        <w:pStyle w:val="BodyText"/>
      </w:pPr>
      <w:r>
        <w:t xml:space="preserve">La distribution normale standard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t xml:space="preserve"> </w:t>
      </w:r>
      <w:r>
        <w:t xml:space="preserve">est une normale de moyenne</w:t>
      </w:r>
      <w:r>
        <w:t xml:space="preserve"> </w:t>
      </w:r>
      <m:oMath>
        <m:r>
          <m:t>μ</m:t>
        </m:r>
        <m:r>
          <m:t>=</m:t>
        </m:r>
        <m:r>
          <m:t>0</m:t>
        </m:r>
      </m:oMath>
      <w:r>
        <w:t xml:space="preserve"> </w:t>
      </w:r>
      <w:r>
        <w:t xml:space="preserve">et d'écart-type</w:t>
      </w:r>
      <w:r>
        <w:t xml:space="preserve"> </w:t>
      </w:r>
      <m:oMath>
        <m:r>
          <m:t>σ</m:t>
        </m:r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Standardisation</w:t>
      </w:r>
    </w:p>
    <w:p>
      <w:pPr>
        <w:pStyle w:val="Heading2"/>
      </w:pPr>
      <w:bookmarkStart w:id="44" w:name="theoreme-central-limite"/>
      <w:bookmarkEnd w:id="44"/>
      <w:r>
        <w:t xml:space="preserve">Théorème central limite</w:t>
      </w:r>
    </w:p>
    <w:p>
      <w:pPr>
        <w:pStyle w:val="FirstParagraph"/>
      </w:pPr>
      <w:r>
        <w:t xml:space="preserve">La somme de variables aléatoires indépendantes et identiquement distribuées tend vers une distribution gaussienne.</w:t>
      </w:r>
    </w:p>
    <w:p>
      <w:pPr>
        <w:pStyle w:val="BodyText"/>
      </w:pPr>
      <w:r>
        <w:rPr>
          <w:b/>
        </w:rPr>
        <w:t xml:space="preserve">Démo au cours</w:t>
      </w:r>
    </w:p>
    <w:p>
      <w:pPr>
        <w:pStyle w:val="Heading2"/>
      </w:pPr>
      <w:bookmarkStart w:id="45" w:name="variance-dechantillon"/>
      <w:bookmarkEnd w:id="45"/>
      <w:r>
        <w:t xml:space="preserve">Variance d'échantillon</w:t>
      </w:r>
    </w:p>
    <w:p>
      <w:pPr>
        <w:pStyle w:val="FirstParagraph"/>
      </w:pPr>
      <w:r>
        <w:t xml:space="preserve">Variance d'échantillon.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La variance d'échantillon constitue-t-elle un bon estimateur de la variance de la population ?</w:t>
      </w:r>
      <w:r>
        <w:t xml:space="preserve"> </w:t>
      </w:r>
      <w:r>
        <w:rPr>
          <w:b/>
        </w:rPr>
        <w:t xml:space="preserve">Non</w:t>
      </w:r>
      <w:r>
        <w:t xml:space="preserve">. Pourquoi ?</w:t>
      </w:r>
    </w:p>
    <w:p>
      <w:pPr>
        <w:pStyle w:val="Heading2"/>
      </w:pPr>
      <w:bookmarkStart w:id="46" w:name="biais-de-la-variance-dechantillon"/>
      <w:bookmarkEnd w:id="46"/>
      <w:r>
        <w:t xml:space="preserve">Biais de la variance d'échantillon</w:t>
      </w:r>
    </w:p>
    <w:p>
      <w:pPr>
        <w:pStyle w:val="FirstParagraph"/>
      </w:pPr>
      <w:r>
        <w:t xml:space="preserve">L'espérance de la variance d'échantillon diffère de la variance de la population.</w:t>
      </w:r>
    </w:p>
    <w:p>
      <w:pPr>
        <w:pStyle w:val="BodyText"/>
      </w:pPr>
      <m:oMathPara>
        <m:oMathParaPr>
          <m:jc m:val="center"/>
        </m:oMathParaPr>
        <m:oMath>
          <m:r>
            <m:t>&lt;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&gt;</m:t>
          </m:r>
          <m: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⋅</m:t>
          </m:r>
          <m:f>
            <m:fPr>
              <m:type m:val="bar"/>
            </m:fPr>
            <m:num>
              <m:r>
                <m:t>n</m:t>
              </m:r>
              <m:r>
                <m:t>−</m:t>
              </m:r>
              <m:r>
                <m:t>1</m:t>
              </m:r>
            </m:num>
            <m:den>
              <m:r>
                <m:t>n</m:t>
              </m:r>
            </m:den>
          </m:f>
          <m:r>
            <m:t>&lt;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>
        <m:r>
          <m:t>s</m:t>
        </m:r>
      </m:oMath>
      <w:r>
        <w:t xml:space="preserve"> </w:t>
      </w:r>
      <w:r>
        <w:t xml:space="preserve">est un estimateur</w:t>
      </w:r>
      <w:r>
        <w:t xml:space="preserve"> </w:t>
      </w:r>
      <w:r>
        <w:rPr>
          <w:b/>
        </w:rPr>
        <w:t xml:space="preserve">biaisé</w:t>
      </w:r>
      <w:r>
        <w:t xml:space="preserve"> </w:t>
      </w:r>
      <w:r>
        <w:t xml:space="preserve">de</w:t>
      </w:r>
      <w:r>
        <w:t xml:space="preserve"> </w:t>
      </w:r>
      <m:oMath>
        <m:r>
          <m:t>σ</m:t>
        </m:r>
      </m:oMath>
      <w:r>
        <w:t xml:space="preserve">:</w:t>
      </w:r>
    </w:p>
    <w:p>
      <w:pPr>
        <w:numPr>
          <w:numId w:val="1009"/>
          <w:ilvl w:val="0"/>
        </w:numPr>
      </w:pPr>
      <w:r>
        <w:t xml:space="preserve">la variance d'échantillon sous-estime systématiquement la variance de la population;</w:t>
      </w:r>
    </w:p>
    <w:p>
      <w:pPr>
        <w:numPr>
          <w:numId w:val="1009"/>
          <w:ilvl w:val="0"/>
        </w:numPr>
      </w:pPr>
      <w:r>
        <w:t xml:space="preserve">le biais est d'autant plus important que l'effectif est fiable.</w:t>
      </w:r>
    </w:p>
    <w:p>
      <w:pPr>
        <w:pStyle w:val="Heading2"/>
      </w:pPr>
      <w:bookmarkStart w:id="47" w:name="estimation-non-biaisee-de-la-variance"/>
      <w:bookmarkEnd w:id="47"/>
      <w:r>
        <w:t xml:space="preserve">Estimation non-biaisée de la variance</w:t>
      </w:r>
    </w:p>
    <w:p>
      <w:pPr>
        <w:pStyle w:val="FirstParagraph"/>
      </w:pPr>
      <w:r>
        <w:t xml:space="preserve">Pour estimer la variance de la population, on effectue une correction du biais mentionné.</w:t>
      </w:r>
    </w:p>
    <w:p>
      <w:pPr>
        <w:pStyle w:val="BodyText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groupChr>
          <m: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2"/>
      </w:pPr>
      <w:bookmarkStart w:id="48" w:name="intervalle-de-confiance-autour-de-la-moyenne"/>
      <w:bookmarkEnd w:id="48"/>
      <w:r>
        <w:t xml:space="preserve">Intervalle de confiance autour de la moyenne</w:t>
      </w:r>
    </w:p>
    <w:p>
      <w:pPr>
        <w:pStyle w:val="FirstParagraph"/>
      </w:pPr>
      <w:r>
        <w:t xml:space="preserve">On dispose d'une moyenne d'échantillon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.</w:t>
      </w:r>
    </w:p>
    <w:p>
      <w:pPr>
        <w:pStyle w:val="BodyText"/>
      </w:pPr>
      <w:r>
        <w:t xml:space="preserve">On ignore la moyenne de population</w:t>
      </w:r>
      <w:r>
        <w:t xml:space="preserve"> </w:t>
      </w:r>
      <m:oMath>
        <m:r>
          <m:t>μ</m:t>
        </m:r>
      </m:oMath>
      <w:r>
        <w:t xml:space="preserve">, mais on saite que la distribution de moyennes d'échantillon prélevés dans cette population suit une certaine distribution.</w:t>
      </w:r>
    </w:p>
    <w:p>
      <w:pPr>
        <w:pStyle w:val="BodyText"/>
      </w:pPr>
      <w:r>
        <w:t xml:space="preserve">Sur cette base, on peut calculer un</w:t>
      </w:r>
      <w:r>
        <w:t xml:space="preserve"> </w:t>
      </w:r>
      <w:r>
        <w:rPr>
          <w:b/>
        </w:rPr>
        <w:t xml:space="preserve">intervalle de confiance</w:t>
      </w:r>
      <w:r>
        <w:t xml:space="preserve">, qui est limité par les valeurs au-delà desquelles, si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s'y trouvait, la probabilité d'obtenir la moyenne observée serait inférieure à une probabilité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donnée (exemple: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).</w:t>
      </w:r>
    </w:p>
    <w:p>
      <w:pPr>
        <w:pStyle w:val="BodyText"/>
      </w:pPr>
      <w:r>
        <w:rPr>
          <w:b/>
        </w:rPr>
        <w:t xml:space="preserve">Niveau de confiance:</w:t>
      </w:r>
      <w:r>
        <w:t xml:space="preserve"> </w:t>
      </w:r>
      <m:oMath>
        <m:r>
          <m:t>1</m:t>
        </m:r>
        <m:r>
          <m:t>−</m:t>
        </m:r>
        <m:r>
          <m:t>α</m:t>
        </m:r>
      </m:oMath>
      <w:r>
        <w:t xml:space="preserve"> </w:t>
      </w:r>
      <w:r>
        <w:t xml:space="preserve">(exemple:</w:t>
      </w:r>
      <w:r>
        <w:t xml:space="preserve"> </w:t>
      </w:r>
      <m:oMath>
        <m:r>
          <m:t>1</m:t>
        </m:r>
        <m:r>
          <m:t>−</m:t>
        </m:r>
        <m:r>
          <m:t>α</m:t>
        </m:r>
        <m:r>
          <m:t>=</m:t>
        </m:r>
        <m:r>
          <m:t>0.95</m:t>
        </m:r>
      </m:oMath>
      <w:r>
        <w:t xml:space="preserve">).</w:t>
      </w:r>
    </w:p>
    <w:p>
      <w:pPr>
        <w:pStyle w:val="Heading2"/>
      </w:pPr>
      <w:bookmarkStart w:id="49" w:name="distribution-de-student"/>
      <w:bookmarkEnd w:id="49"/>
      <w:r>
        <w:t xml:space="preserve">Distribution de Student</w:t>
      </w:r>
    </w:p>
    <w:p>
      <w:pPr>
        <w:pStyle w:val="FirstParagraph"/>
      </w:pPr>
      <w:r>
        <w:rPr>
          <w:b/>
        </w:rPr>
        <w:t xml:space="preserve">Démo:</w:t>
      </w:r>
      <w:r>
        <w:t xml:space="preserve"> </w:t>
      </w:r>
      <w:r>
        <w:t xml:space="preserve">forme de la distribution de Student en fonction de</w:t>
      </w:r>
      <w:r>
        <w:t xml:space="preserve"> </w:t>
      </w:r>
      <m:oMath>
        <m:r>
          <m:t>ν</m:t>
        </m:r>
      </m:oMath>
      <w:r>
        <w:t xml:space="preserve">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sampling-estimation_student_distri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ffcc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7b2e7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c30faaed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6" Target="media/rId26.pdf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Echantillonnage et estimation</dc:title>
  <dc:creator>Jacques van Helden</dc:creator>
  <dcterms:created xsi:type="dcterms:W3CDTF">2017-09-21T05:15:43Z</dcterms:created>
  <dcterms:modified xsi:type="dcterms:W3CDTF">2017-09-21T05:15:43Z</dcterms:modified>
</cp:coreProperties>
</file>