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Formules</w:t>
      </w:r>
      <w:r>
        <w:t xml:space="preserve"> </w:t>
      </w:r>
      <w:r>
        <w:t xml:space="preserve">de</w:t>
      </w:r>
      <w:r>
        <w:t xml:space="preserve"> </w:t>
      </w:r>
      <w:r>
        <w:t xml:space="preserve">probabilités</w:t>
      </w:r>
      <w:r>
        <w:t xml:space="preserve"> </w:t>
      </w:r>
      <w:r>
        <w:t xml:space="preserve">et</w:t>
      </w:r>
      <w:r>
        <w:t xml:space="preserve"> </w:t>
      </w:r>
      <w:r>
        <w:t xml:space="preserve">statistique</w:t>
      </w:r>
    </w:p>
    <w:p>
      <w:pPr>
        <w:pStyle w:val="Subtitle"/>
      </w:pPr>
      <w:r>
        <w:t xml:space="preserve">Probabilités</w:t>
      </w:r>
      <w:r>
        <w:t xml:space="preserve"> </w:t>
      </w:r>
      <w:r>
        <w:t xml:space="preserve">et</w:t>
      </w:r>
      <w:r>
        <w:t xml:space="preserve"> </w:t>
      </w:r>
      <w:r>
        <w:t xml:space="preserve">statistique</w:t>
      </w:r>
      <w:r>
        <w:t xml:space="preserve"> </w:t>
      </w:r>
      <w:r>
        <w:t xml:space="preserve">pour</w:t>
      </w:r>
      <w:r>
        <w:t xml:space="preserve"> </w:t>
      </w:r>
      <w:r>
        <w:t xml:space="preserve">la</w:t>
      </w:r>
      <w:r>
        <w:t xml:space="preserve"> </w:t>
      </w:r>
      <w:r>
        <w:t xml:space="preserve">biologie</w:t>
      </w:r>
      <w:r>
        <w:t xml:space="preserve"> </w:t>
      </w:r>
      <w:r>
        <w:t xml:space="preserve">(STAT1)</w:t>
      </w:r>
    </w:p>
    <w:p>
      <w:pPr>
        <w:pStyle w:val="Author"/>
      </w:pPr>
      <w:r>
        <w:t xml:space="preserve">Jacques</w:t>
      </w:r>
      <w:r>
        <w:t xml:space="preserve"> </w:t>
      </w:r>
      <w:r>
        <w:t xml:space="preserve">van</w:t>
      </w:r>
      <w:r>
        <w:t xml:space="preserve"> </w:t>
      </w:r>
      <w:r>
        <w:t xml:space="preserve">Helden</w:t>
      </w:r>
    </w:p>
    <w:p>
      <w:pPr>
        <w:pStyle w:val="Date"/>
      </w:pPr>
      <w:r>
        <w:t xml:space="preserve">2018-05-10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combinatoire"/>
      <w:r>
        <w:t xml:space="preserve">Combinatoire</w:t>
      </w:r>
      <w:bookmarkEnd w:id="20"/>
    </w:p>
    <w:tbl>
      <w:tblPr>
        <w:tblStyle w:val="Table"/>
        <w:tblW w:type="pct" w:w="5000.0"/>
        <w:tblLook w:firstRow="1"/>
      </w:tblPr>
      <w:tblGrid>
        <w:gridCol w:w="2048"/>
        <w:gridCol w:w="2867"/>
        <w:gridCol w:w="30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Formule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Permutations (factorielle)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!</m:t>
              </m:r>
              <m:r>
                <m:t>=</m:t>
              </m:r>
              <m:r>
                <m:t>n</m:t>
              </m:r>
              <m:r>
                <m:t>⋅</m:t>
              </m:r>
              <m:r>
                <m:t>(</m:t>
              </m:r>
              <m:r>
                <m:t>n</m:t>
              </m:r>
              <m:r>
                <m:t>−</m:t>
              </m:r>
              <m:r>
                <m:t>1</m:t>
              </m:r>
              <m:r>
                <m:t>)</m:t>
              </m:r>
              <m:r>
                <m:t>⋅</m:t>
              </m:r>
              <m:r>
                <m:t>…</m:t>
              </m:r>
              <m:r>
                <m:t>⋅</m:t>
              </m:r>
              <m:r>
                <m:t>2</m:t>
              </m:r>
              <m:r>
                <m:t>⋅</m:t>
              </m:r>
              <m:r>
                <m:t>1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Arrangements</w:t>
            </w:r>
          </w:p>
        </w:tc>
        <w:tc>
          <w:p>
            <w:pPr>
              <w:pStyle w:val="Compact"/>
              <w:jc w:val="left"/>
            </w:pPr>
            <w:r>
              <w:t xml:space="preserve">Sans remise, ordonné</w:t>
            </w:r>
          </w:p>
        </w:tc>
        <w:tc>
          <w:p>
            <w:pPr>
              <w:pStyle w:val="Compact"/>
              <w:jc w:val="left"/>
            </w:pPr>
            <m:oMath>
              <m:sSubSup>
                <m:e>
                  <m:r>
                    <m:t>A</m:t>
                  </m:r>
                </m:e>
                <m:sub>
                  <m:r>
                    <m:t>n</m:t>
                  </m:r>
                </m:sub>
                <m:sup>
                  <m:r>
                    <m:t>x</m:t>
                  </m:r>
                </m:sup>
              </m:sSubSup>
              <m:r>
                <m:t>=</m:t>
              </m:r>
              <m:f>
                <m:fPr>
                  <m:type m:val="bar"/>
                </m:fPr>
                <m:num>
                  <m:r>
                    <m:t>n</m:t>
                  </m:r>
                  <m:r>
                    <m:t>!</m:t>
                  </m:r>
                </m:num>
                <m:den>
                  <m:r>
                    <m:t>(</m:t>
                  </m:r>
                  <m:r>
                    <m:t>n</m:t>
                  </m:r>
                  <m:r>
                    <m:t>−</m:t>
                  </m:r>
                  <m:r>
                    <m:t>x</m:t>
                  </m:r>
                  <m:r>
                    <m:t>)</m:t>
                  </m:r>
                  <m:r>
                    <m:t>!</m:t>
                  </m:r>
                </m:den>
              </m:f>
              <m:r>
                <m:t>=</m:t>
              </m:r>
              <m:r>
                <m:t>n</m:t>
              </m:r>
              <m:r>
                <m:t>⋅</m:t>
              </m:r>
              <m:r>
                <m:t>(</m:t>
              </m:r>
              <m:r>
                <m:t>n</m:t>
              </m:r>
              <m:r>
                <m:t>−</m:t>
              </m:r>
              <m:r>
                <m:t>1</m:t>
              </m:r>
              <m:r>
                <m:t>)</m:t>
              </m:r>
              <m:r>
                <m:t>⋅</m:t>
              </m:r>
              <m:r>
                <m:t>…</m:t>
              </m:r>
              <m:r>
                <m:t>⋅</m:t>
              </m:r>
              <m:r>
                <m:t>(</m:t>
              </m:r>
              <m:r>
                <m:t>n</m:t>
              </m:r>
              <m:r>
                <m:t>−</m:t>
              </m:r>
              <m:r>
                <m:t>x</m:t>
              </m:r>
              <m:r>
                <m:t>+</m:t>
              </m:r>
              <m:r>
                <m:t>1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Combinaison (</w:t>
            </w:r>
            <w:r>
              <w:rPr>
                <w:i/>
              </w:rPr>
              <w:t xml:space="preserve">choose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coefficient binomial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Sans remise, sans ordre</w:t>
            </w:r>
          </w:p>
        </w:tc>
        <w:tc>
          <w:p>
            <w:pPr>
              <w:pStyle w:val="Compact"/>
              <w:jc w:val="left"/>
            </w:pPr>
            <m:oMath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  <m:r>
                <m:t>=</m:t>
              </m:r>
              <m:sSubSup>
                <m:e>
                  <m:r>
                    <m:t>C</m:t>
                  </m:r>
                </m:e>
                <m:sub>
                  <m:r>
                    <m:t>n</m:t>
                  </m:r>
                </m:sub>
                <m:sup>
                  <m:r>
                    <m:t>x</m:t>
                  </m:r>
                </m:sup>
              </m:sSubSup>
              <m:r>
                <m:t>=</m:t>
              </m:r>
              <m:f>
                <m:fPr>
                  <m:type m:val="bar"/>
                </m:fPr>
                <m:num>
                  <m:r>
                    <m:t>n</m:t>
                  </m:r>
                  <m:r>
                    <m:t>!</m:t>
                  </m:r>
                </m:num>
                <m:den>
                  <m:r>
                    <m:t>x</m:t>
                  </m:r>
                  <m:r>
                    <m:t>!</m:t>
                  </m:r>
                  <m:r>
                    <m:t>(</m:t>
                  </m:r>
                  <m:r>
                    <m:t>n</m:t>
                  </m:r>
                  <m:r>
                    <m:t>−</m:t>
                  </m:r>
                  <m:r>
                    <m:t>x</m:t>
                  </m:r>
                  <m:r>
                    <m:t>)</m:t>
                  </m:r>
                  <m:r>
                    <m:t>!</m:t>
                  </m:r>
                </m:den>
              </m:f>
            </m:oMath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1" w:name="concepts-de-probabilite"/>
      <w:r>
        <w:t xml:space="preserve">Concepts de probabilité</w:t>
      </w:r>
      <w:bookmarkEnd w:id="21"/>
    </w:p>
    <w:tbl>
      <w:tblPr>
        <w:tblStyle w:val="Table"/>
        <w:tblW w:type="pct" w:w="5000.0"/>
        <w:tblLook w:firstRow="1"/>
      </w:tblPr>
      <w:tblGrid>
        <w:gridCol w:w="2364"/>
        <w:gridCol w:w="1773"/>
        <w:gridCol w:w="3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Formule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Définition fréquentielle de la probabilité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A</m:t>
              </m:r>
              <m:r>
                <m:t>)</m:t>
              </m:r>
              <m:r>
                <m:t>=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n</m:t>
                  </m:r>
                  <m:r>
                    <m:t>→</m:t>
                  </m:r>
                  <m:r>
                    <m:t>∞</m:t>
                  </m:r>
                </m:sub>
              </m:sSub>
              <m:f>
                <m:fPr>
                  <m:type m:val="bar"/>
                </m:fPr>
                <m:num>
                  <m:sSub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</m:num>
                <m:den>
                  <m:r>
                    <m:t>n</m:t>
                  </m:r>
                </m:den>
              </m:f>
            </m:oMath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Probabilité de non-réalisation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¬</m:t>
              </m:r>
              <m:r>
                <m:t>A</m:t>
              </m:r>
              <m:r>
                <m:t>)</m:t>
              </m:r>
              <m:r>
                <m:t>=</m:t>
              </m:r>
              <m:r>
                <m:t>1</m:t>
              </m:r>
              <m:r>
                <m:t>−</m:t>
              </m:r>
              <m:r>
                <m:t>P</m:t>
              </m:r>
              <m:r>
                <m:t>(</m:t>
              </m:r>
              <m:r>
                <m:t>A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Probabilités conditionnelles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A</m:t>
              </m:r>
              <m:r>
                <m:t>∣</m:t>
              </m:r>
              <m:r>
                <m:t>B</m:t>
              </m:r>
              <m:r>
                <m:t>)</m:t>
              </m:r>
              <m:r>
                <m:t>=</m:t>
              </m:r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t>A</m:t>
                  </m:r>
                  <m:r>
                    <m:t>∧</m:t>
                  </m:r>
                  <m:r>
                    <m:t>B</m:t>
                  </m:r>
                  <m:r>
                    <m:t>)</m:t>
                  </m:r>
                </m:num>
                <m:den>
                  <m:r>
                    <m:t>P</m:t>
                  </m:r>
                  <m:r>
                    <m:t>(</m:t>
                  </m:r>
                  <m:r>
                    <m:t>B</m:t>
                  </m:r>
                  <m:r>
                    <m:t>)</m:t>
                  </m:r>
                </m:den>
              </m:f>
            </m:oMath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B</m:t>
              </m:r>
              <m:r>
                <m:t>∣</m:t>
              </m:r>
              <m:r>
                <m:t>A</m:t>
              </m:r>
              <m:r>
                <m:t>)</m:t>
              </m:r>
              <m:r>
                <m:t>=</m:t>
              </m:r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t>A</m:t>
                  </m:r>
                  <m:r>
                    <m:t>∧</m:t>
                  </m:r>
                  <m:r>
                    <m:t>B</m:t>
                  </m:r>
                  <m:r>
                    <m:t>)</m:t>
                  </m:r>
                </m:num>
                <m:den>
                  <m:r>
                    <m:t>P</m:t>
                  </m:r>
                  <m:r>
                    <m:t>(</m:t>
                  </m:r>
                  <m:r>
                    <m:t>A</m:t>
                  </m:r>
                  <m:r>
                    <m:t>)</m:t>
                  </m:r>
                </m:den>
              </m:f>
            </m:oMath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Probabilité de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ou</w:t>
            </w:r>
            <w:r>
              <w:t xml:space="preserve"> </w:t>
            </w:r>
            <m:oMath>
              <m:r>
                <m:t>B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En général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A</m:t>
              </m:r>
              <m:r>
                <m:t>∨</m:t>
              </m:r>
              <m:r>
                <m:t>B</m:t>
              </m:r>
              <m:r>
                <m:t>)</m:t>
              </m:r>
              <m:r>
                <m:t>=</m:t>
              </m:r>
              <m:r>
                <m:t>P</m:t>
              </m:r>
              <m:r>
                <m:t>(</m:t>
              </m:r>
              <m:r>
                <m:t>A</m:t>
              </m:r>
              <m:r>
                <m:t>)</m:t>
              </m:r>
              <m:r>
                <m:t>+</m:t>
              </m:r>
              <m:r>
                <m:t>P</m:t>
              </m:r>
              <m:r>
                <m:t>(</m:t>
              </m:r>
              <m:r>
                <m:t>B</m:t>
              </m:r>
              <m:r>
                <m:t>)</m:t>
              </m:r>
              <m:r>
                <m:t>−</m:t>
              </m:r>
              <m:r>
                <m:t>P</m:t>
              </m:r>
              <m:r>
                <m:t>(</m:t>
              </m:r>
              <m:r>
                <m:t>A</m:t>
              </m:r>
              <m:r>
                <m:t>∧</m:t>
              </m:r>
              <m:r>
                <m:t>B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Probabilité de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ou</w:t>
            </w:r>
            <w:r>
              <w:t xml:space="preserve"> </w:t>
            </w:r>
            <m:oMath>
              <m:r>
                <m:t>B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Evénements mutuellement exclusifs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A</m:t>
              </m:r>
              <m:r>
                <m:t>∨</m:t>
              </m:r>
              <m:r>
                <m:t>B</m:t>
              </m:r>
              <m:r>
                <m:t>)</m:t>
              </m:r>
              <m:r>
                <m:t>=</m:t>
              </m:r>
              <m:r>
                <m:t>P</m:t>
              </m:r>
              <m:r>
                <m:t>(</m:t>
              </m:r>
              <m:r>
                <m:t>A</m:t>
              </m:r>
              <m:r>
                <m:t>)</m:t>
              </m:r>
              <m:r>
                <m:t>+</m:t>
              </m:r>
              <m:r>
                <m:t>P</m:t>
              </m:r>
              <m:r>
                <m:t>(</m:t>
              </m:r>
              <m:r>
                <m:t>B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Probabilité de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et</w:t>
            </w:r>
            <w:r>
              <w:t xml:space="preserve"> </w:t>
            </w:r>
            <m:oMath>
              <m:r>
                <m:t>B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En général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A</m:t>
              </m:r>
              <m:r>
                <m:t>∧</m:t>
              </m:r>
              <m:r>
                <m:t>B</m:t>
              </m:r>
              <m:r>
                <m:t>)</m:t>
              </m:r>
              <m:r>
                <m:t>=</m:t>
              </m:r>
              <m:r>
                <m:t>P</m:t>
              </m:r>
              <m:r>
                <m:t>(</m:t>
              </m:r>
              <m:r>
                <m:t>A</m:t>
              </m:r>
              <m:r>
                <m:t>)</m:t>
              </m:r>
              <m:r>
                <m:t>⋅</m:t>
              </m:r>
              <m:r>
                <m:t>P</m:t>
              </m:r>
              <m:r>
                <m:t>(</m:t>
              </m:r>
              <m:r>
                <m:t>B</m:t>
              </m:r>
              <m:r>
                <m:t>∣</m:t>
              </m:r>
              <m:r>
                <m:t>A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Probabilité de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et</w:t>
            </w:r>
            <w:r>
              <w:t xml:space="preserve"> </w:t>
            </w:r>
            <m:oMath>
              <m:r>
                <m:t>B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Evénements indépendants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A</m:t>
              </m:r>
              <m:r>
                <m:t>∧</m:t>
              </m:r>
              <m:r>
                <m:t>B</m:t>
              </m:r>
              <m:r>
                <m:t>)</m:t>
              </m:r>
              <m:r>
                <m:t>=</m:t>
              </m:r>
              <m:r>
                <m:t>P</m:t>
              </m:r>
              <m:r>
                <m:t>(</m:t>
              </m:r>
              <m:r>
                <m:t>A</m:t>
              </m:r>
              <m:r>
                <m:t>)</m:t>
              </m:r>
              <m:r>
                <m:t>⋅</m:t>
              </m:r>
              <m:r>
                <m:t>P</m:t>
              </m:r>
              <m:r>
                <m:t>(</m:t>
              </m:r>
              <m:r>
                <m:t>B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Règle de Bayes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A</m:t>
              </m:r>
              <m:r>
                <m:t>∧</m:t>
              </m:r>
              <m:r>
                <m:t>B</m:t>
              </m:r>
              <m:r>
                <m:t>)</m:t>
              </m:r>
              <m:r>
                <m:t>=</m:t>
              </m:r>
              <m:r>
                <m:t>P</m:t>
              </m:r>
              <m:r>
                <m:t>(</m:t>
              </m:r>
              <m:r>
                <m:t>A</m:t>
              </m:r>
              <m:r>
                <m:t>)</m:t>
              </m:r>
              <m:r>
                <m:t>⋅</m:t>
              </m:r>
              <m:r>
                <m:t>P</m:t>
              </m:r>
              <m:r>
                <m:t>(</m:t>
              </m:r>
              <m:r>
                <m:t>B</m:t>
              </m:r>
              <m:r>
                <m:t>∣</m:t>
              </m:r>
              <m:r>
                <m:t>A</m:t>
              </m:r>
              <m:r>
                <m:t>)</m:t>
              </m:r>
              <m:r>
                <m:t>=</m:t>
              </m:r>
              <m:r>
                <m:t>P</m:t>
              </m:r>
              <m:r>
                <m:t>(</m:t>
              </m:r>
              <m:r>
                <m:t>B</m:t>
              </m:r>
              <m:r>
                <m:t>)</m:t>
              </m:r>
              <m:r>
                <m:t>⋅</m:t>
              </m:r>
              <m:r>
                <m:t>P</m:t>
              </m:r>
              <m:r>
                <m:t>(</m:t>
              </m:r>
              <m:r>
                <m:t>A</m:t>
              </m:r>
              <m:r>
                <m:t>∣</m:t>
              </m:r>
              <m:r>
                <m:t>B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m:oMath>
              <m:r>
                <m:t>⟹</m:t>
              </m:r>
              <m:r>
                <m:t>P</m:t>
              </m:r>
              <m:r>
                <m:t>(</m:t>
              </m:r>
              <m:r>
                <m:t>A</m:t>
              </m:r>
              <m:r>
                <m:t>∣</m:t>
              </m:r>
              <m:r>
                <m:t>B</m:t>
              </m:r>
              <m:r>
                <m:t>)</m:t>
              </m:r>
              <m:r>
                <m:t>=</m:t>
              </m:r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t>A</m:t>
                  </m:r>
                  <m:r>
                    <m:t>)</m:t>
                  </m:r>
                  <m:r>
                    <m:t>⋅</m:t>
                  </m:r>
                  <m:r>
                    <m:t>P</m:t>
                  </m:r>
                  <m:r>
                    <m:t>(</m:t>
                  </m:r>
                  <m:r>
                    <m:t>B</m:t>
                  </m:r>
                  <m:r>
                    <m:t>∣</m:t>
                  </m:r>
                  <m:r>
                    <m:t>A</m:t>
                  </m:r>
                  <m:r>
                    <m:t>)</m:t>
                  </m:r>
                </m:num>
                <m:den>
                  <m:r>
                    <m:t>P</m:t>
                  </m:r>
                  <m:r>
                    <m:t>(</m:t>
                  </m:r>
                  <m:r>
                    <m:t>B</m:t>
                  </m:r>
                  <m:r>
                    <m:t>)</m:t>
                  </m:r>
                </m:den>
              </m:f>
            </m:oMath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m:oMath>
              <m:r>
                <m:t>⟹</m:t>
              </m:r>
              <m:r>
                <m:t>P</m:t>
              </m:r>
              <m:r>
                <m:t>(</m:t>
              </m:r>
              <m:r>
                <m:t>B</m:t>
              </m:r>
              <m:r>
                <m:t>∣</m:t>
              </m:r>
              <m:r>
                <m:t>A</m:t>
              </m:r>
              <m:r>
                <m:t>)</m:t>
              </m:r>
              <m:r>
                <m:t>=</m:t>
              </m:r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t>B</m:t>
                  </m:r>
                  <m:r>
                    <m:t>)</m:t>
                  </m:r>
                  <m:r>
                    <m:t>⋅</m:t>
                  </m:r>
                  <m:r>
                    <m:t>P</m:t>
                  </m:r>
                  <m:r>
                    <m:t>(</m:t>
                  </m:r>
                  <m:r>
                    <m:t>A</m:t>
                  </m:r>
                  <m:r>
                    <m:t>∣</m:t>
                  </m:r>
                  <m:r>
                    <m:t>B</m:t>
                  </m:r>
                  <m:r>
                    <m:t>)</m:t>
                  </m:r>
                </m:num>
                <m:den>
                  <m:r>
                    <m:t>P</m:t>
                  </m:r>
                  <m:r>
                    <m:t>(</m:t>
                  </m:r>
                  <m:r>
                    <m:t>A</m:t>
                  </m:r>
                  <m:r>
                    <m:t>)</m:t>
                  </m:r>
                </m:den>
              </m:f>
            </m:oMath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2" w:name="distributions-de-probabilite-discretes"/>
      <w:r>
        <w:t xml:space="preserve">Distributions de probabilité discrètes</w:t>
      </w:r>
      <w:bookmarkEnd w:id="22"/>
    </w:p>
    <w:p>
      <w:pPr>
        <w:pStyle w:val="Heading2"/>
      </w:pPr>
      <w:bookmarkStart w:id="23" w:name="geometrique"/>
      <w:r>
        <w:t xml:space="preserve">Géométrique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Conditions : nombre d’échecs avant le premier succès dans un schéma de Bernoulli</w:t>
      </w:r>
    </w:p>
    <w:p>
      <w:pPr>
        <w:pStyle w:val="Compact"/>
        <w:numPr>
          <w:numId w:val="1001"/>
          <w:ilvl w:val="0"/>
        </w:numPr>
      </w:pPr>
      <w:r>
        <w:t xml:space="preserve">Densité :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x</m:t>
          </m:r>
          <m:r>
            <m:t>)</m:t>
          </m:r>
          <m:r>
            <m:t>=</m:t>
          </m:r>
          <m:r>
            <m:t>(</m:t>
          </m:r>
          <m:r>
            <m:t>1</m:t>
          </m:r>
          <m:r>
            <m:t>−</m:t>
          </m:r>
          <m:r>
            <m:t>p</m:t>
          </m:r>
          <m:sSup>
            <m:e>
              <m:r>
                <m:t>)</m:t>
              </m:r>
            </m:e>
            <m:sup>
              <m:r>
                <m:t>x</m:t>
              </m:r>
            </m:sup>
          </m:sSup>
          <m:r>
            <m:t>p</m:t>
          </m:r>
        </m:oMath>
      </m:oMathPara>
    </w:p>
    <w:p>
      <w:pPr>
        <w:pStyle w:val="Compact"/>
        <w:numPr>
          <w:numId w:val="1001"/>
          <w:ilvl w:val="0"/>
        </w:numPr>
      </w:pPr>
      <w:r>
        <w:t xml:space="preserve">Répartition :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≤</m:t>
          </m:r>
          <m:r>
            <m:t>x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x</m:t>
              </m:r>
            </m:sup>
            <m:e>
              <m:r>
                <m:t>(</m:t>
              </m:r>
              <m:r>
                <m:t>1</m:t>
              </m:r>
              <m:r>
                <m:t>−</m:t>
              </m:r>
              <m:r>
                <m:t>p</m:t>
              </m:r>
              <m:sSup>
                <m:e>
                  <m:r>
                    <m:t>)</m:t>
                  </m:r>
                </m:e>
                <m:sup>
                  <m:r>
                    <m:t>i</m:t>
                  </m:r>
                </m:sup>
              </m:sSup>
              <m:r>
                <m:t>p</m:t>
              </m:r>
            </m:e>
          </m:nary>
        </m:oMath>
      </m:oMathPara>
    </w:p>
    <w:p>
      <w:pPr>
        <w:pStyle w:val="Compact"/>
        <w:numPr>
          <w:numId w:val="1001"/>
          <w:ilvl w:val="0"/>
        </w:numPr>
      </w:pPr>
      <w:r>
        <w:t xml:space="preserve">Moyenne :</w:t>
      </w:r>
      <w:r>
        <w:t xml:space="preserve"> </w:t>
      </w:r>
      <m:oMath>
        <m:sSub>
          <m:e>
            <m:r>
              <m:t>μ</m:t>
            </m:r>
          </m:e>
          <m:sub>
            <m:r>
              <m:t>G</m:t>
            </m:r>
          </m:sub>
        </m:sSub>
        <m:r>
          <m:t>=</m:t>
        </m:r>
        <m:r>
          <m:t>(</m:t>
        </m:r>
        <m:r>
          <m:t>1</m:t>
        </m:r>
        <m:r>
          <m:t>−</m:t>
        </m:r>
        <m:r>
          <m:t>p</m:t>
        </m:r>
        <m:r>
          <m:t>)</m:t>
        </m:r>
        <m:r>
          <m:t>/</m:t>
        </m:r>
        <m:r>
          <m:t>p</m:t>
        </m:r>
      </m:oMath>
    </w:p>
    <w:p>
      <w:pPr>
        <w:pStyle w:val="Compact"/>
        <w:numPr>
          <w:numId w:val="1001"/>
          <w:ilvl w:val="0"/>
        </w:numPr>
      </w:pPr>
      <w:r>
        <w:t xml:space="preserve">Variance :</w:t>
      </w:r>
      <w:r>
        <w:t xml:space="preserve"> </w:t>
      </w:r>
      <m:oMath>
        <m:sSubSup>
          <m:e>
            <m:r>
              <m:t>σ</m:t>
            </m:r>
          </m:e>
          <m:sub>
            <m:r>
              <m:t>G</m:t>
            </m:r>
          </m:sub>
          <m:sup>
            <m:r>
              <m:t>2</m:t>
            </m:r>
          </m:sup>
        </m:sSubSup>
        <m:r>
          <m:t>=</m:t>
        </m:r>
        <m:f>
          <m:fPr>
            <m:type m:val="bar"/>
          </m:fPr>
          <m:num>
            <m:r>
              <m:t>(</m:t>
            </m:r>
            <m:r>
              <m:t>1</m:t>
            </m:r>
            <m:r>
              <m:t>−</m:t>
            </m:r>
            <m:r>
              <m:t>p</m:t>
            </m:r>
            <m:r>
              <m:t>)</m:t>
            </m:r>
          </m:num>
          <m:den>
            <m:sSup>
              <m:e>
                <m:r>
                  <m:t>p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Heading2"/>
      </w:pPr>
      <w:bookmarkStart w:id="24" w:name="binomiale"/>
      <w:r>
        <w:t xml:space="preserve">Binomiale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Conditions : Nombre de succès au cours d’une série d’essais indépendants avec probabilité constante de succès (Schéma de Bernoulli)</w:t>
      </w:r>
    </w:p>
    <w:p>
      <w:pPr>
        <w:pStyle w:val="Compact"/>
        <w:numPr>
          <w:numId w:val="1002"/>
          <w:ilvl w:val="0"/>
        </w:numPr>
      </w:pPr>
      <w:r>
        <w:t xml:space="preserve">Densité :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x</m:t>
          </m:r>
          <m:r>
            <m:t>)</m:t>
          </m:r>
          <m:r>
            <m:t>=</m:t>
          </m:r>
          <m:sSubSup>
            <m:e>
              <m:r>
                <m:t>C</m:t>
              </m:r>
            </m:e>
            <m:sub>
              <m:r>
                <m:t>n</m:t>
              </m:r>
            </m:sub>
            <m:sup>
              <m:r>
                <m:t>x</m:t>
              </m:r>
            </m:sup>
          </m:sSubSup>
          <m:sSup>
            <m:e>
              <m:r>
                <m:t>p</m:t>
              </m:r>
            </m:e>
            <m:sup>
              <m:r>
                <m:t>x</m:t>
              </m:r>
            </m:sup>
          </m:sSup>
          <m:r>
            <m:t>(</m:t>
          </m:r>
          <m:r>
            <m:t>1</m:t>
          </m:r>
          <m:r>
            <m:t>−</m:t>
          </m:r>
          <m:r>
            <m:t>p</m:t>
          </m:r>
          <m:sSup>
            <m:e>
              <m:r>
                <m:t>)</m:t>
              </m:r>
            </m:e>
            <m:sup>
              <m:r>
                <m:t>n</m:t>
              </m:r>
              <m:r>
                <m:t>−</m:t>
              </m:r>
              <m:r>
                <m:t>x</m:t>
              </m:r>
            </m:sup>
          </m:sSup>
        </m:oMath>
      </m:oMathPara>
    </w:p>
    <w:p>
      <w:pPr>
        <w:pStyle w:val="Compact"/>
        <w:numPr>
          <w:numId w:val="1002"/>
          <w:ilvl w:val="0"/>
        </w:numPr>
      </w:pPr>
      <w:r>
        <w:t xml:space="preserve">Répartition :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≤</m:t>
          </m:r>
          <m:r>
            <m:t>x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x</m:t>
              </m:r>
            </m:sup>
            <m:e>
              <m:sSubSup>
                <m:e>
                  <m:r>
                    <m:t>C</m:t>
                  </m:r>
                </m:e>
                <m:sub>
                  <m:r>
                    <m:t>n</m:t>
                  </m:r>
                </m:sub>
                <m:sup>
                  <m:r>
                    <m:t>i</m:t>
                  </m:r>
                </m:sup>
              </m:sSubSup>
              <m:sSup>
                <m:e>
                  <m:r>
                    <m:t>p</m:t>
                  </m:r>
                </m:e>
                <m:sup>
                  <m:r>
                    <m:t>i</m:t>
                  </m:r>
                </m:sup>
              </m:sSup>
              <m:r>
                <m:t>(</m:t>
              </m:r>
              <m:r>
                <m:t>1</m:t>
              </m:r>
              <m:r>
                <m:t>−</m:t>
              </m:r>
              <m:r>
                <m:t>p</m:t>
              </m:r>
              <m:sSup>
                <m:e>
                  <m:r>
                    <m:t>)</m:t>
                  </m:r>
                </m:e>
                <m:sup>
                  <m:r>
                    <m:t>n</m:t>
                  </m:r>
                  <m:r>
                    <m:t>−</m:t>
                  </m:r>
                  <m:r>
                    <m:t>i</m:t>
                  </m:r>
                </m:sup>
              </m:sSup>
            </m:e>
          </m:nary>
        </m:oMath>
      </m:oMathPara>
    </w:p>
    <w:p>
      <w:pPr>
        <w:pStyle w:val="Compact"/>
        <w:numPr>
          <w:numId w:val="1002"/>
          <w:ilvl w:val="0"/>
        </w:numPr>
      </w:pPr>
      <w:r>
        <w:t xml:space="preserve">Moyenne :</w:t>
      </w:r>
      <w:r>
        <w:t xml:space="preserve"> </w:t>
      </w:r>
      <m:oMath>
        <m:sSub>
          <m:e>
            <m:r>
              <m:t>μ</m:t>
            </m:r>
          </m:e>
          <m:sub>
            <m:r>
              <m:t>B</m:t>
            </m:r>
          </m:sub>
        </m:sSub>
        <m:r>
          <m:t>=</m:t>
        </m:r>
        <m:r>
          <m:t>n</m:t>
        </m:r>
        <m:r>
          <m:t>p</m:t>
        </m:r>
      </m:oMath>
    </w:p>
    <w:p>
      <w:pPr>
        <w:pStyle w:val="Compact"/>
        <w:numPr>
          <w:numId w:val="1002"/>
          <w:ilvl w:val="0"/>
        </w:numPr>
      </w:pPr>
      <w:r>
        <w:t xml:space="preserve">Variance :</w:t>
      </w:r>
      <w:r>
        <w:t xml:space="preserve"> </w:t>
      </w:r>
      <m:oMath>
        <m:sSubSup>
          <m:e>
            <m:r>
              <m:t>σ</m:t>
            </m:r>
          </m:e>
          <m:sub>
            <m:r>
              <m:t>B</m:t>
            </m:r>
          </m:sub>
          <m:sup>
            <m:r>
              <m:t>2</m:t>
            </m:r>
          </m:sup>
        </m:sSubSup>
        <m:r>
          <m:t>=</m:t>
        </m:r>
        <m:r>
          <m:t>n</m:t>
        </m:r>
        <m:r>
          <m:t>p</m:t>
        </m:r>
        <m:r>
          <m:t>(</m:t>
        </m:r>
        <m:r>
          <m:t>1</m:t>
        </m:r>
        <m:r>
          <m:t>−</m:t>
        </m:r>
        <m:r>
          <m:t>p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Rapport moyenne/variance:</w:t>
      </w:r>
      <w:r>
        <w:t xml:space="preserve"> </w:t>
      </w:r>
      <m:oMath>
        <m:sSubSup>
          <m:e>
            <m:r>
              <m:t>σ</m:t>
            </m:r>
          </m:e>
          <m:sub>
            <m:r>
              <m:t>B</m:t>
            </m:r>
          </m:sub>
          <m:sup>
            <m:r>
              <m:t>2</m:t>
            </m:r>
          </m:sup>
        </m:sSubSup>
        <m:r>
          <m:t>&lt;</m:t>
        </m:r>
        <m:sSub>
          <m:e>
            <m:r>
              <m:t>μ</m:t>
            </m:r>
          </m:e>
          <m:sub>
            <m:r>
              <m:t>B</m:t>
            </m:r>
          </m:sub>
        </m:sSub>
      </m:oMath>
    </w:p>
    <w:p>
      <w:pPr>
        <w:pStyle w:val="Heading2"/>
      </w:pPr>
      <w:bookmarkStart w:id="25" w:name="poisson"/>
      <w:r>
        <w:t xml:space="preserve">Poisson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Conditions : nombre de succès observés au cours d’un intervalle de temps, en fonction du nombre attendu (</w:t>
      </w:r>
      <m:oMath>
        <m:r>
          <m:t>λ</m:t>
        </m:r>
      </m:oMath>
      <w: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Application : approximation de la binomiale quand</w:t>
      </w:r>
      <w:r>
        <w:t xml:space="preserve"> </w:t>
      </w:r>
      <m:oMath>
        <m:r>
          <m:t>n</m:t>
        </m:r>
        <m:r>
          <m:t>→</m:t>
        </m:r>
        <m:r>
          <m:t>∞</m:t>
        </m:r>
        <m:r>
          <m:t>,</m:t>
        </m:r>
        <m:r>
          <m:t>p</m:t>
        </m:r>
        <m:r>
          <m:t>→</m:t>
        </m:r>
        <m:r>
          <m:t>0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μ</m:t>
        </m:r>
        <m:r>
          <m:t>=</m:t>
        </m:r>
        <m:r>
          <m:t>n</m:t>
        </m:r>
        <m:r>
          <m:t>p</m:t>
        </m:r>
      </m:oMath>
      <w:r>
        <w:t xml:space="preserve"> </w:t>
      </w:r>
      <w:r>
        <w:t xml:space="preserve">faible (</w:t>
      </w:r>
      <m:oMath>
        <m:sSub>
          <m:e>
            <m:r>
              <m:t>μ</m:t>
            </m:r>
          </m:e>
          <m:sub>
            <m:r>
              <m:t>B</m:t>
            </m:r>
          </m:sub>
        </m:sSub>
        <m:r>
          <m:t>→</m:t>
        </m:r>
        <m:r>
          <m:t>λ</m:t>
        </m:r>
      </m:oMath>
      <w: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Densité :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t>!</m:t>
              </m:r>
            </m:den>
          </m:f>
        </m:oMath>
      </m:oMathPara>
    </w:p>
    <w:p>
      <w:pPr>
        <w:pStyle w:val="Compact"/>
        <w:numPr>
          <w:numId w:val="1003"/>
          <w:ilvl w:val="0"/>
        </w:numPr>
      </w:pPr>
      <w:r>
        <w:t xml:space="preserve">Répartition :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≤</m:t>
          </m:r>
          <m:r>
            <m:t>x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x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e</m:t>
                      </m:r>
                    </m:e>
                    <m:sup>
                      <m:r>
                        <m:t>−</m:t>
                      </m:r>
                      <m:r>
                        <m:t>λ</m:t>
                      </m:r>
                    </m:sup>
                  </m:sSup>
                  <m:sSup>
                    <m:e>
                      <m:r>
                        <m:t>λ</m:t>
                      </m:r>
                    </m:e>
                    <m:sup>
                      <m:r>
                        <m:t>i</m:t>
                      </m:r>
                    </m:sup>
                  </m:sSup>
                </m:num>
                <m:den>
                  <m:r>
                    <m:t>i</m:t>
                  </m:r>
                  <m:r>
                    <m:t>!</m:t>
                  </m:r>
                </m:den>
              </m:f>
            </m:e>
          </m:nary>
        </m:oMath>
      </m:oMathPara>
    </w:p>
    <w:p>
      <w:pPr>
        <w:pStyle w:val="Compact"/>
        <w:numPr>
          <w:numId w:val="1003"/>
          <w:ilvl w:val="0"/>
        </w:numPr>
      </w:pPr>
      <w:r>
        <w:t xml:space="preserve">Moyenne :</w:t>
      </w:r>
      <w:r>
        <w:t xml:space="preserve"> </w:t>
      </w:r>
      <m:oMath>
        <m:sSub>
          <m:e>
            <m:r>
              <m:t>μ</m:t>
            </m:r>
          </m:e>
          <m:sub>
            <m:r>
              <m:t>P</m:t>
            </m:r>
          </m:sub>
        </m:sSub>
        <m:r>
          <m:t>=</m:t>
        </m:r>
        <m:r>
          <m:t>λ</m:t>
        </m:r>
      </m:oMath>
    </w:p>
    <w:p>
      <w:pPr>
        <w:pStyle w:val="Compact"/>
        <w:numPr>
          <w:numId w:val="1003"/>
          <w:ilvl w:val="0"/>
        </w:numPr>
      </w:pPr>
      <w:r>
        <w:t xml:space="preserve">Variance :</w:t>
      </w:r>
      <w:r>
        <w:t xml:space="preserve"> </w:t>
      </w:r>
      <m:oMath>
        <m:sSubSup>
          <m:e>
            <m:r>
              <m:t>σ</m:t>
            </m:r>
          </m:e>
          <m:sub>
            <m:r>
              <m:t>P</m:t>
            </m:r>
          </m:sub>
          <m:sup>
            <m:r>
              <m:t>2</m:t>
            </m:r>
          </m:sup>
        </m:sSubSup>
        <m:r>
          <m:t>=</m:t>
        </m:r>
        <m:r>
          <m:t>λ</m:t>
        </m:r>
      </m:oMath>
    </w:p>
    <w:p>
      <w:pPr>
        <w:pStyle w:val="Compact"/>
        <w:numPr>
          <w:numId w:val="1003"/>
          <w:ilvl w:val="0"/>
        </w:numPr>
      </w:pPr>
      <w:r>
        <w:t xml:space="preserve">Rapport moyenne/variance:</w:t>
      </w:r>
      <w:r>
        <w:t xml:space="preserve"> </w:t>
      </w:r>
      <m:oMath>
        <m:sSubSup>
          <m:e>
            <m:r>
              <m:t>σ</m:t>
            </m:r>
          </m:e>
          <m:sub>
            <m:r>
              <m:t>P</m:t>
            </m:r>
          </m:sub>
          <m:sup>
            <m:r>
              <m:t>2</m:t>
            </m:r>
          </m:sup>
        </m:sSubSup>
        <m:r>
          <m:t>=</m:t>
        </m:r>
        <m:sSub>
          <m:e>
            <m:r>
              <m:t>μ</m:t>
            </m:r>
          </m:e>
          <m:sub>
            <m:r>
              <m:t>P</m:t>
            </m:r>
          </m:sub>
        </m:sSub>
      </m:oMath>
    </w:p>
    <w:p>
      <w:pPr>
        <w:pStyle w:val="Heading2"/>
      </w:pPr>
      <w:bookmarkStart w:id="26" w:name="hypergeometrique"/>
      <w:r>
        <w:t xml:space="preserve">Hypergéométrique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Conditions : Tirage non ordonné, sans remise dans un ensemble fini avec deux catégories.</w:t>
      </w:r>
    </w:p>
    <w:p>
      <w:pPr>
        <w:pStyle w:val="Compact"/>
        <w:numPr>
          <w:numId w:val="1004"/>
          <w:ilvl w:val="0"/>
        </w:numPr>
      </w:pPr>
      <w:r>
        <w:t xml:space="preserve">Exemple-type: urne avec boules de deux couleurs</w:t>
      </w:r>
    </w:p>
    <w:p>
      <w:pPr>
        <w:pStyle w:val="Compact"/>
        <w:numPr>
          <w:numId w:val="1004"/>
          <w:ilvl w:val="0"/>
        </w:numPr>
      </w:pPr>
      <w:r>
        <w:t xml:space="preserve">Densité :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sSubSup>
                <m:e>
                  <m:r>
                    <m:t>C</m:t>
                  </m:r>
                </m:e>
                <m:sub>
                  <m:r>
                    <m:t>m</m:t>
                  </m:r>
                </m:sub>
                <m:sup>
                  <m:r>
                    <m:t>x</m:t>
                  </m:r>
                </m:sup>
              </m:sSubSup>
              <m:sSubSup>
                <m:e>
                  <m:r>
                    <m:t>C</m:t>
                  </m:r>
                </m:e>
                <m:sub>
                  <m:r>
                    <m:t>n</m:t>
                  </m:r>
                </m:sub>
                <m:sup>
                  <m:r>
                    <m:t>k</m:t>
                  </m:r>
                  <m:r>
                    <m:t>−</m:t>
                  </m:r>
                  <m:r>
                    <m:t>x</m:t>
                  </m:r>
                </m:sup>
              </m:sSubSup>
            </m:num>
            <m:den>
              <m:sSubSup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+</m:t>
                  </m:r>
                  <m:r>
                    <m:t>n</m:t>
                  </m:r>
                </m:sub>
                <m:sup>
                  <m:r>
                    <m:t>k</m:t>
                  </m:r>
                </m:sup>
              </m:sSubSup>
            </m:den>
          </m:f>
        </m:oMath>
      </m:oMathPara>
    </w:p>
    <w:p>
      <w:pPr>
        <w:pStyle w:val="Compact"/>
        <w:numPr>
          <w:numId w:val="1004"/>
          <w:ilvl w:val="0"/>
        </w:numPr>
      </w:pPr>
      <w:r>
        <w:t xml:space="preserve">Répartition :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≤</m:t>
          </m:r>
          <m:r>
            <m:t>x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x</m:t>
              </m:r>
            </m:sub>
            <m:sup>
              <m:r>
                <m:rPr>
                  <m:sty m:val="p"/>
                </m:rPr>
                <m:t>min</m:t>
              </m:r>
              <m:r>
                <m:t>(</m:t>
              </m:r>
              <m:r>
                <m:t>k</m:t>
              </m:r>
              <m:r>
                <m:t>,</m:t>
              </m:r>
              <m:r>
                <m:t>m</m:t>
              </m:r>
              <m:r>
                <m:t>)</m:t>
              </m:r>
            </m:sup>
            <m:e>
              <m:f>
                <m:fPr>
                  <m:type m:val="bar"/>
                </m:fPr>
                <m:num>
                  <m:sSubSup>
                    <m:e>
                      <m:r>
                        <m:t>C</m:t>
                      </m:r>
                    </m:e>
                    <m:sub>
                      <m:r>
                        <m:t>m</m:t>
                      </m:r>
                    </m:sub>
                    <m:sup>
                      <m:r>
                        <m:t>i</m:t>
                      </m:r>
                    </m:sup>
                  </m:sSubSup>
                  <m:sSubSup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  <m:sup>
                      <m:r>
                        <m:t>k</m:t>
                      </m:r>
                      <m:r>
                        <m:t>−</m:t>
                      </m:r>
                      <m:r>
                        <m:t>i</m:t>
                      </m:r>
                    </m:sup>
                  </m:sSubSup>
                </m:num>
                <m:den>
                  <m:sSubSup>
                    <m:e>
                      <m:r>
                        <m:t>C</m:t>
                      </m:r>
                    </m:e>
                    <m:sub>
                      <m:r>
                        <m:t>m</m:t>
                      </m:r>
                      <m:r>
                        <m:t>+</m:t>
                      </m:r>
                      <m:r>
                        <m:t>n</m:t>
                      </m:r>
                    </m:sub>
                    <m:sup>
                      <m:r>
                        <m:t>k</m:t>
                      </m:r>
                    </m:sup>
                  </m:sSubSup>
                </m:den>
              </m:f>
            </m:e>
          </m:nary>
        </m:oMath>
      </m:oMathPara>
    </w:p>
    <w:p>
      <w:pPr>
        <w:pStyle w:val="Compact"/>
        <w:numPr>
          <w:numId w:val="1004"/>
          <w:ilvl w:val="0"/>
        </w:numPr>
      </w:pPr>
      <w:r>
        <w:t xml:space="preserve">Moyenne :</w:t>
      </w:r>
      <w:r>
        <w:t xml:space="preserve"> </w:t>
      </w:r>
      <m:oMath>
        <m:sSub>
          <m:e>
            <m:r>
              <m:t>μ</m:t>
            </m:r>
          </m:e>
          <m:sub>
            <m:r>
              <m:t>H</m:t>
            </m:r>
          </m:sub>
        </m:sSub>
        <m:r>
          <m:t>=</m:t>
        </m:r>
        <m:r>
          <m:t>k</m:t>
        </m:r>
        <m:r>
          <m:t>⋅</m:t>
        </m:r>
        <m:f>
          <m:fPr>
            <m:type m:val="bar"/>
          </m:fPr>
          <m:num>
            <m:r>
              <m:t>m</m:t>
            </m:r>
          </m:num>
          <m:den>
            <m:r>
              <m:t>m</m:t>
            </m:r>
            <m:r>
              <m:t>+</m:t>
            </m:r>
            <m:r>
              <m:t>n</m:t>
            </m:r>
          </m:den>
        </m:f>
      </m:oMath>
    </w:p>
    <w:p>
      <w:pPr>
        <w:pStyle w:val="Compact"/>
        <w:numPr>
          <w:numId w:val="1004"/>
          <w:ilvl w:val="0"/>
        </w:numPr>
      </w:pPr>
      <w:r>
        <w:t xml:space="preserve">Variance :</w:t>
      </w:r>
      <w:r>
        <w:t xml:space="preserve"> </w:t>
      </w:r>
      <m:oMath>
        <m:sSubSup>
          <m:e>
            <m:r>
              <m:t>σ</m:t>
            </m:r>
          </m:e>
          <m:sub>
            <m:r>
              <m:t>H</m:t>
            </m:r>
          </m:sub>
          <m:sup>
            <m:r>
              <m:t>2</m:t>
            </m:r>
          </m:sup>
        </m:sSubSup>
        <m:r>
          <m:t>=</m:t>
        </m:r>
        <m:f>
          <m:fPr>
            <m:type m:val="bar"/>
          </m:fPr>
          <m:num>
            <m:r>
              <m:t>k</m:t>
            </m:r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  <m:r>
              <m:t>(</m:t>
            </m:r>
            <m:r>
              <m:t>1</m:t>
            </m:r>
            <m:r>
              <m:t>−</m:t>
            </m:r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  <m:r>
              <m:t>)</m:t>
            </m:r>
            <m:r>
              <m:t>(</m:t>
            </m:r>
            <m:r>
              <m:t>N</m:t>
            </m:r>
            <m:r>
              <m:t>−</m:t>
            </m:r>
            <m:r>
              <m:t>k</m:t>
            </m:r>
            <m:r>
              <m:t>)</m:t>
            </m:r>
          </m:num>
          <m:den>
            <m:r>
              <m:t>(</m:t>
            </m:r>
            <m:r>
              <m:t>N</m:t>
            </m:r>
            <m:r>
              <m:t>−</m:t>
            </m:r>
            <m:r>
              <m:t>1</m:t>
            </m:r>
            <m:r>
              <m:t>)</m:t>
            </m:r>
          </m:den>
        </m:f>
        <m:r>
          <m:t>;</m:t>
        </m:r>
        <m:r>
          <m:t>N</m:t>
        </m:r>
        <m:r>
          <m:t>=</m:t>
        </m:r>
        <m:r>
          <m:t>m</m:t>
        </m:r>
        <m:r>
          <m:t>+</m:t>
        </m:r>
        <m:r>
          <m:t>n</m:t>
        </m:r>
      </m:oMath>
    </w:p>
    <w:p>
      <w:pPr>
        <w:pStyle w:val="Heading1"/>
      </w:pPr>
      <w:bookmarkStart w:id="27" w:name="echantillonnage-et-estimation"/>
      <w:r>
        <w:t xml:space="preserve">Echantillonnage et estimation</w:t>
      </w:r>
      <w:bookmarkEnd w:id="27"/>
    </w:p>
    <w:p>
      <w:pPr>
        <w:pStyle w:val="Compact"/>
        <w:numPr>
          <w:numId w:val="1005"/>
          <w:ilvl w:val="0"/>
        </w:numPr>
      </w:pPr>
      <w:r>
        <w:t xml:space="preserve">Les symboles grecs (</w:t>
      </w:r>
      <m:oMath>
        <m:r>
          <m:t>μ</m:t>
        </m:r>
      </m:oMath>
      <w:r>
        <w:t xml:space="preserve">,</w:t>
      </w:r>
      <w:r>
        <w:t xml:space="preserve"> </w:t>
      </w:r>
      <m:oMath>
        <m:r>
          <m:t>σ</m:t>
        </m:r>
      </m:oMath>
      <w:r>
        <w:t xml:space="preserve">) correspondent aux statistiques de population, les symboles romains 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,</w:t>
      </w:r>
      <w:r>
        <w:t xml:space="preserve"> </w:t>
      </w:r>
      <m:oMath>
        <m:r>
          <m:t>s</m:t>
        </m:r>
      </m:oMath>
      <w:r>
        <w:t xml:space="preserve">) aux statistiques d’échantillon.</w:t>
      </w:r>
    </w:p>
    <w:p>
      <w:pPr>
        <w:pStyle w:val="Compact"/>
        <w:numPr>
          <w:numId w:val="1005"/>
          <w:ilvl w:val="0"/>
        </w:numPr>
      </w:pPr>
      <w:r>
        <w:t xml:space="preserve">L’accent circonflexe (</w:t>
      </w:r>
      <m:oMath>
        <m:groupChr>
          <m:groupChrPr>
            <m:chr m:val="̂"/>
            <m:pos m:val="top"/>
            <m:vertJc m:val="bot"/>
          </m:groupChrPr>
          <m:e/>
        </m:groupChr>
      </m:oMath>
      <w:r>
        <w:t xml:space="preserve">) indique les estimateurs de paramètres de population calculés à partir de paramètres d’échantillons.</w:t>
      </w:r>
    </w:p>
    <w:tbl>
      <w:tblPr>
        <w:tblStyle w:val="Table"/>
        <w:tblW w:type="pct" w:w="5000.0"/>
        <w:tblLook w:firstRow="1"/>
      </w:tblPr>
      <w:tblGrid>
        <w:gridCol w:w="3907"/>
        <w:gridCol w:w="40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Symbole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Taille (nombre d’individus) de la population.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m:oMath>
              <m:r>
                <m:t>μ</m:t>
              </m:r>
              <m: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oMath>
          </w:p>
        </w:tc>
        <w:tc>
          <w:p>
            <w:pPr>
              <w:pStyle w:val="Compact"/>
              <w:jc w:val="left"/>
            </w:pPr>
            <w:r>
              <w:t xml:space="preserve">Moyenne de la population.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m:oMath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  <m: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r>
                    <m:t>μ</m:t>
                  </m: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−</m:t>
                  </m:r>
                  <m:sSup>
                    <m:e>
                      <m:r>
                        <m:t>μ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</w:p>
        </w:tc>
        <w:tc>
          <w:p>
            <w:pPr>
              <w:pStyle w:val="Compact"/>
              <w:jc w:val="left"/>
            </w:pPr>
            <w:r>
              <w:t xml:space="preserve">Variance de la population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m:oMath>
              <m:r>
                <m:t>σ</m:t>
              </m:r>
              <m:r>
                <m:t>=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oMath>
          </w:p>
        </w:tc>
        <w:tc>
          <w:p>
            <w:pPr>
              <w:pStyle w:val="Compact"/>
              <w:jc w:val="left"/>
            </w:pPr>
            <w:r>
              <w:t xml:space="preserve">Écart-type de la population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Effectif (nombre d’individus) de l’échantillon.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oMath>
          </w:p>
        </w:tc>
        <w:tc>
          <w:p>
            <w:pPr>
              <w:pStyle w:val="Compact"/>
              <w:jc w:val="left"/>
            </w:pPr>
            <w:r>
              <w:t xml:space="preserve">Moyenne d’échantillon.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m:oMath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  <m: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−</m:t>
                  </m:r>
                  <m:sSup>
                    <m:e>
                      <m:bar>
                        <m:barPr>
                          <m:pos m:val="top"/>
                        </m:barPr>
                        <m:e>
                          <m:r>
                            <m:t>x</m:t>
                          </m:r>
                        </m:e>
                      </m:ba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</w:p>
        </w:tc>
        <w:tc>
          <w:p>
            <w:pPr>
              <w:pStyle w:val="Compact"/>
              <w:jc w:val="left"/>
            </w:pPr>
            <w:r>
              <w:t xml:space="preserve">Variance de l’échantillon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m:oMath>
              <m:r>
                <m:t>s</m:t>
              </m:r>
              <m:r>
                <m:t>=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oMath>
          </w:p>
        </w:tc>
        <w:tc>
          <w:p>
            <w:pPr>
              <w:pStyle w:val="Compact"/>
              <w:jc w:val="left"/>
            </w:pPr>
            <w:r>
              <w:t xml:space="preserve">Écart-type de l’échantillon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m:oMath>
              <m:groupChr>
                <m:groupChrPr>
                  <m:chr m:val="̂"/>
                  <m:pos m:val="top"/>
                  <m:vertJc m:val="bot"/>
                </m:groupChrPr>
                <m:e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groupChr>
              <m:r>
                <m:t>=</m:t>
              </m:r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r>
                    <m:t>n</m:t>
                  </m:r>
                  <m:r>
                    <m:t>−</m:t>
                  </m:r>
                  <m:r>
                    <m:t>1</m:t>
                  </m:r>
                </m:den>
              </m:f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  <m: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</w:p>
        </w:tc>
        <w:tc>
          <w:p>
            <w:pPr>
              <w:pStyle w:val="Compact"/>
              <w:jc w:val="left"/>
            </w:pPr>
            <w:r>
              <w:t xml:space="preserve">Estimateur non-biaisé de la variance de la population.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m:oMath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σ</m:t>
                  </m:r>
                </m:e>
              </m:groupChr>
              <m:r>
                <m:t>=</m:t>
              </m:r>
              <m:rad>
                <m:radPr>
                  <m:degHide m:val="1"/>
                </m:radPr>
                <m:deg/>
                <m:e>
                  <m:sSup>
                    <m:e>
                      <m:groupChr>
                        <m:groupChrPr>
                          <m:chr m:val="̂"/>
                          <m:pos m:val="top"/>
                          <m:vertJc m:val="bot"/>
                        </m:groupChrPr>
                        <m:e>
                          <m:r>
                            <m:t>σ</m:t>
                          </m:r>
                        </m:e>
                      </m:groupChr>
                    </m:e>
                    <m:sup>
                      <m:r>
                        <m:t>2</m:t>
                      </m:r>
                    </m:sup>
                  </m:sSup>
                </m:e>
              </m:rad>
            </m:oMath>
          </w:p>
        </w:tc>
        <w:tc>
          <w:p>
            <w:pPr>
              <w:pStyle w:val="Compact"/>
              <w:jc w:val="left"/>
            </w:pPr>
            <w:r>
              <w:t xml:space="preserve">Estimateur non-biaisé de l’écart-type de la population.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m:oMath>
              <m:r>
                <m:t>&lt;</m:t>
              </m:r>
              <m:sSub>
                <m:e>
                  <m:r>
                    <m:t>σ</m:t>
                  </m:r>
                </m:e>
                <m:sub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sub>
              </m:sSub>
              <m:r>
                <m:t>&gt;</m:t>
              </m:r>
              <m:r>
                <m:t>=</m:t>
              </m:r>
              <m:f>
                <m:fPr>
                  <m:type m:val="bar"/>
                </m:fPr>
                <m:num>
                  <m:groupChr>
                    <m:groupChrPr>
                      <m:chr m:val="̂"/>
                      <m:pos m:val="top"/>
                      <m:vertJc m:val="bot"/>
                    </m:groupChrPr>
                    <m:e>
                      <m:r>
                        <m:t>σ</m:t>
                      </m:r>
                    </m:e>
                  </m:groupCh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oMath>
          </w:p>
        </w:tc>
        <w:tc>
          <w:p>
            <w:pPr>
              <w:pStyle w:val="Compact"/>
              <w:jc w:val="left"/>
            </w:pPr>
            <w:r>
              <w:t xml:space="preserve">Erreur standard: écart-type attendu sur la moyenne d’échantillon.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±</m:t>
              </m:r>
              <m:f>
                <m:fPr>
                  <m:type m:val="bar"/>
                </m:fPr>
                <m:num>
                  <m:groupChr>
                    <m:groupChrPr>
                      <m:chr m:val="̂"/>
                      <m:pos m:val="top"/>
                      <m:vertJc m:val="bot"/>
                    </m:groupChrPr>
                    <m:e>
                      <m:r>
                        <m:t>σ</m:t>
                      </m:r>
                    </m:e>
                  </m:groupCh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(</m:t>
                      </m:r>
                    </m:e>
                  </m:rad>
                  <m:r>
                    <m:t>n</m:t>
                  </m:r>
                  <m:r>
                    <m:t>)</m:t>
                  </m:r>
                </m:den>
              </m:f>
              <m:r>
                <m:t>⋅</m:t>
              </m:r>
              <m:sSubSup>
                <m:e>
                  <m:r>
                    <m:t>t</m:t>
                  </m:r>
                </m:e>
                <m:sub>
                  <m:r>
                    <m:t>1</m:t>
                  </m:r>
                  <m:r>
                    <m:t>−</m:t>
                  </m:r>
                  <m:r>
                    <m:t>α</m:t>
                  </m:r>
                  <m:r>
                    <m:t>/</m:t>
                  </m:r>
                  <m:r>
                    <m:t>2</m:t>
                  </m:r>
                </m:sub>
                <m:sup>
                  <m:r>
                    <m:t>n</m:t>
                  </m:r>
                  <m:r>
                    <m:t>−</m:t>
                  </m:r>
                  <m:r>
                    <m:t>1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Intervalle de confiance autour de la moyenne.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8" w:name="test-de-comparaison-de-moyennes"/>
      <w:r>
        <w:t xml:space="preserve">Test de comparaison de moyennes</w:t>
      </w:r>
      <w:bookmarkEnd w:id="28"/>
    </w:p>
    <w:tbl>
      <w:tblPr>
        <w:tblStyle w:val="Table"/>
        <w:tblW w:type="pct" w:w="5000.0"/>
        <w:tblLook w:firstRow="1"/>
      </w:tblPr>
      <w:tblGrid>
        <w:gridCol w:w="3360"/>
        <w:gridCol w:w="45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Symbole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Moyennes respectives des populations 1 et 2.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σ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e>
                  <m:r>
                    <m:t>σ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Écarts-types respectifs des populations 1 et 2.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Effectifs (nombre d’individus) des échantillons prélevés sur les populations 1 et 2.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oMath>
          </w:p>
        </w:tc>
        <w:tc>
          <w:p>
            <w:pPr>
              <w:pStyle w:val="Compact"/>
              <w:jc w:val="left"/>
            </w:pPr>
            <w:r>
              <w:t xml:space="preserve">Formule générale de la moyenne d’échantillon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Moyennes d’échantillons.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m:oMath>
              <m:r>
                <m:t>δ</m:t>
              </m:r>
              <m:r>
                <m:t>=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  <m:r>
                <m:t>−</m:t>
              </m:r>
              <m:r>
                <m:t>μ</m:t>
              </m:r>
              <m:r>
                <m:t>1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Différence entre les moyennes des populations.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=</m:t>
              </m:r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δ</m:t>
                  </m:r>
                </m:e>
              </m:groupChr>
              <m:r>
                <m:t>=</m:t>
              </m:r>
              <m:sSub>
                <m:e>
                  <m:groupChr>
                    <m:groupChrPr>
                      <m:chr m:val="̂"/>
                      <m:pos m:val="top"/>
                      <m:vertJc m:val="bot"/>
                    </m:groupChrPr>
                    <m:e>
                      <m:r>
                        <m:t>μ</m:t>
                      </m:r>
                    </m:e>
                  </m:groupChr>
                </m:e>
                <m:sub>
                  <m:r>
                    <m:t>2</m:t>
                  </m:r>
                </m:sub>
              </m:sSub>
              <m:r>
                <m:t>−</m:t>
              </m:r>
              <m:sSub>
                <m:e>
                  <m:groupChr>
                    <m:groupChrPr>
                      <m:chr m:val="̂"/>
                      <m:pos m:val="top"/>
                      <m:vertJc m:val="bot"/>
                    </m:groupChrPr>
                    <m:e>
                      <m:r>
                        <m:t>μ</m:t>
                      </m:r>
                    </m:e>
                  </m:groupCh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2</m:t>
                  </m:r>
                </m:sub>
              </m:sSub>
              <m:r>
                <m:t>−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</m:oMath>
            <w:r>
              <w:t xml:space="preserve"> </w:t>
            </w:r>
            <w:r>
              <w:t xml:space="preserve">=</w:t>
            </w:r>
            <w:r>
              <w:t xml:space="preserve"> </w:t>
            </w:r>
            <w:r>
              <w:rPr>
                <w:b/>
              </w:rPr>
              <w:t xml:space="preserve">Taille d’effet</w:t>
            </w:r>
            <w:r>
              <w:t xml:space="preserve">: dans un test de comparaison de moyennes, il s’agit de la différence entre les moyennes d’échantillons, utilisée comme estimateur de</w:t>
            </w:r>
            <w:r>
              <w:t xml:space="preserve"> </w:t>
            </w:r>
            <m:oMath>
              <m:r>
                <m:t>δ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m:oMath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  <m: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  <m:r>
                <m:t>−</m:t>
              </m:r>
              <m:sSup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Formule générale de la variance d’échantillon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m:oMath>
              <m:sSubSup>
                <m:e>
                  <m:r>
                    <m:t>s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,</m:t>
              </m:r>
              <m:sSubSup>
                <m:e>
                  <m:r>
                    <m:t>s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Variances mesurées sur les échantillons.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groupChr>
                    <m:groupChrPr>
                      <m:chr m:val="̂"/>
                      <m:pos m:val="top"/>
                      <m:vertJc m:val="bot"/>
                    </m:groupChrPr>
                    <m:e>
                      <m:r>
                        <m:t>σ</m:t>
                      </m:r>
                    </m:e>
                  </m:groupChr>
                </m:e>
                <m:sub>
                  <m:r>
                    <m:t>p</m:t>
                  </m:r>
                </m:sub>
              </m:sSub>
              <m:r>
                <m:t>=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+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−</m:t>
                      </m:r>
                      <m:r>
                        <m:t>2</m:t>
                      </m:r>
                    </m:den>
                  </m:f>
                </m:e>
              </m:rad>
            </m:oMath>
          </w:p>
        </w:tc>
        <w:tc>
          <w:p>
            <w:pPr>
              <w:pStyle w:val="Compact"/>
              <w:jc w:val="left"/>
            </w:pPr>
            <w:r>
              <w:t xml:space="preserve">Écart-type groupé (</w:t>
            </w:r>
            <w:r>
              <w:rPr>
                <w:i/>
              </w:rPr>
              <w:t xml:space="preserve">pooled standard deviation</w:t>
            </w:r>
            <w:r>
              <w:t xml:space="preserve">), utilisé comme estimateur de l’écart-type commun des deux populations, en supposant leurs variances égales (hypothèse de travail d’homoscédasticité).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groupChr>
                    <m:groupChrPr>
                      <m:chr m:val="̂"/>
                      <m:pos m:val="top"/>
                      <m:vertJc m:val="bot"/>
                    </m:groupChrPr>
                    <m:e>
                      <m:r>
                        <m:t>σ</m:t>
                      </m:r>
                    </m:e>
                  </m:groupChr>
                </m:e>
                <m:sub>
                  <m:r>
                    <m:t>δ</m:t>
                  </m:r>
                </m:sub>
              </m:sSub>
              <m:r>
                <m:t>=</m:t>
              </m:r>
              <m:sSub>
                <m:e>
                  <m:groupChr>
                    <m:groupChrPr>
                      <m:chr m:val="̂"/>
                      <m:pos m:val="top"/>
                      <m:vertJc m:val="bot"/>
                    </m:groupChrPr>
                    <m:e>
                      <m:r>
                        <m:t>σ</m:t>
                      </m:r>
                    </m:e>
                  </m:groupChr>
                </m:e>
                <m:sub>
                  <m:r>
                    <m:t>p</m:t>
                  </m:r>
                </m:sub>
              </m:sSub>
              <m:rad>
                <m:radPr>
                  <m:degHide m:val="1"/>
                </m:radPr>
                <m:deg/>
                <m:e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den>
                      </m:f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oMath>
          </w:p>
        </w:tc>
        <w:tc>
          <w:p>
            <w:pPr>
              <w:pStyle w:val="Compact"/>
              <w:jc w:val="left"/>
            </w:pPr>
            <w:r>
              <w:t xml:space="preserve">Erreur standard sur la différence entre moyennes, en supposant que les populations ont la même variance (test de Student).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t</m:t>
                  </m:r>
                </m:e>
                <m:sub>
                  <m:r>
                    <m:t>S</m:t>
                  </m:r>
                </m:sub>
              </m:sSub>
              <m:r>
                <m:t>=</m:t>
              </m:r>
              <m:f>
                <m:fPr>
                  <m:type m:val="bar"/>
                </m:fPr>
                <m:num>
                  <m:groupChr>
                    <m:groupChrPr>
                      <m:chr m:val="̂"/>
                      <m:pos m:val="top"/>
                      <m:vertJc m:val="bot"/>
                    </m:groupChrPr>
                    <m:e>
                      <m:r>
                        <m:t>δ</m:t>
                      </m:r>
                    </m:e>
                  </m:groupChr>
                </m:num>
                <m:den>
                  <m:sSub>
                    <m:e>
                      <m:groupChr>
                        <m:groupChrPr>
                          <m:chr m:val="̂"/>
                          <m:pos m:val="top"/>
                          <m:vertJc m:val="bot"/>
                        </m:groupChrPr>
                        <m:e>
                          <m:r>
                            <m:t>σ</m:t>
                          </m:r>
                        </m:e>
                      </m:groupChr>
                    </m:e>
                    <m:sub>
                      <m:r>
                        <m:t>δ</m:t>
                      </m:r>
                    </m:sub>
                  </m:sSub>
                </m:den>
              </m:f>
              <m:r>
                <m:t>=</m:t>
              </m:r>
              <m:f>
                <m:fPr>
                  <m:type m:val="bar"/>
                </m:fPr>
                <m:num>
                  <m:sSub>
                    <m:e>
                      <m:bar>
                        <m:barPr>
                          <m:pos m:val="top"/>
                        </m:barPr>
                        <m:e>
                          <m:r>
                            <m:t>x</m:t>
                          </m:r>
                        </m:e>
                      </m:bar>
                    </m:e>
                    <m:sub>
                      <m:r>
                        <m:t>2</m:t>
                      </m:r>
                    </m:sub>
                  </m:sSub>
                  <m:r>
                    <m:t>−</m:t>
                  </m:r>
                  <m:sSub>
                    <m:e>
                      <m:bar>
                        <m:barPr>
                          <m:pos m:val="top"/>
                        </m:barPr>
                        <m:e>
                          <m:r>
                            <m:t>x</m:t>
                          </m:r>
                        </m:e>
                      </m:bar>
                    </m:e>
                    <m:sub>
                      <m:r>
                        <m:t>1</m:t>
                      </m:r>
                    </m:sub>
                  </m:sSub>
                </m:num>
                <m:den>
                  <m:rad>
                    <m:radPr>
                      <m:degHide m:val="1"/>
                    </m:radPr>
                    <m:deg/>
                    <m:e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Sup>
                            <m:e>
                              <m:r>
                                <m:t>s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  <m:r>
                            <m:t>+</m:t>
                          </m:r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Sup>
                            <m:e>
                              <m:r>
                                <m:t>s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t>+</m:t>
                          </m:r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r>
                            <m:t>−</m:t>
                          </m:r>
                          <m:r>
                            <m:t>2</m:t>
                          </m:r>
                        </m:den>
                      </m:f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rad>
                </m:den>
              </m:f>
            </m:oMath>
          </w:p>
        </w:tc>
        <w:tc>
          <w:p>
            <w:pPr>
              <w:pStyle w:val="Compact"/>
              <w:jc w:val="left"/>
            </w:pPr>
            <w:r>
              <w:t xml:space="preserve">Statistique</w:t>
            </w:r>
            <w:r>
              <w:t xml:space="preserve"> </w:t>
            </w:r>
            <m:oMath>
              <m:r>
                <m:t>t</m:t>
              </m:r>
            </m:oMath>
            <w:r>
              <w:t xml:space="preserve"> </w:t>
            </w:r>
            <w:r>
              <w:t xml:space="preserve">de Student,</w:t>
            </w:r>
            <w:r>
              <w:t xml:space="preserve"> </w:t>
            </w:r>
            <m:oMath>
              <m:r>
                <m:t>ν</m:t>
              </m:r>
              <m:r>
                <m:t>=</m:t>
              </m:r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−</m:t>
              </m:r>
              <m:r>
                <m:t>2</m:t>
              </m:r>
            </m:oMath>
            <w:r>
              <w:t xml:space="preserve"> </w:t>
            </w:r>
            <w:r>
              <w:t xml:space="preserve">d.l.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t</m:t>
                  </m:r>
                </m:e>
                <m:sub>
                  <m:r>
                    <m:t>W</m:t>
                  </m:r>
                </m:sub>
              </m:sSub>
              <m:r>
                <m:t>=</m:t>
              </m:r>
              <m:f>
                <m:fPr>
                  <m:type m:val="bar"/>
                </m:fPr>
                <m:num>
                  <m:sSub>
                    <m:e>
                      <m:bar>
                        <m:barPr>
                          <m:pos m:val="top"/>
                        </m:barPr>
                        <m:e>
                          <m:r>
                            <m:t>x</m:t>
                          </m:r>
                        </m:e>
                      </m:bar>
                    </m:e>
                    <m:sub>
                      <m:r>
                        <m:t>1</m:t>
                      </m:r>
                    </m:sub>
                  </m:sSub>
                  <m:r>
                    <m:t>−</m:t>
                  </m:r>
                  <m:sSub>
                    <m:e>
                      <m:bar>
                        <m:barPr>
                          <m:pos m:val="top"/>
                        </m:barPr>
                        <m:e>
                          <m:r>
                            <m:t>x</m:t>
                          </m:r>
                        </m:e>
                      </m:bar>
                    </m:e>
                    <m:sub>
                      <m: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</m:radPr>
                    <m:deg/>
                    <m:e>
                      <m:f>
                        <m:fPr>
                          <m:type m:val="bar"/>
                        </m:fPr>
                        <m:num>
                          <m:sSubSup>
                            <m:e>
                              <m:groupChr>
                                <m:groupChrPr>
                                  <m:chr m:val="̂"/>
                                  <m:pos m:val="top"/>
                                  <m:vertJc m:val="bot"/>
                                </m:groupChrPr>
                                <m:e>
                                  <m:r>
                                    <m:t>σ</m:t>
                                  </m:r>
                                </m:e>
                              </m:groupCh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den>
                      </m:f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sSubSup>
                            <m:e>
                              <m:groupChr>
                                <m:groupChrPr>
                                  <m:chr m:val="̂"/>
                                  <m:pos m:val="top"/>
                                  <m:vertJc m:val="bot"/>
                                </m:groupChrPr>
                                <m:e>
                                  <m:r>
                                    <m:t>σ</m:t>
                                  </m:r>
                                </m:e>
                              </m:groupCh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oMath>
          </w:p>
        </w:tc>
        <w:tc>
          <w:p>
            <w:pPr>
              <w:pStyle w:val="Compact"/>
              <w:jc w:val="left"/>
            </w:pPr>
            <w:r>
              <w:t xml:space="preserve">Statistique</w:t>
            </w:r>
            <w:r>
              <w:t xml:space="preserve"> </w:t>
            </w:r>
            <m:oMath>
              <m:r>
                <m:t>t</m:t>
              </m:r>
            </m:oMath>
            <w:r>
              <w:t xml:space="preserve"> </w:t>
            </w:r>
            <w:r>
              <w:t xml:space="preserve">de Welch,</w:t>
            </w:r>
            <w:r>
              <w:t xml:space="preserve"> </w:t>
            </w:r>
            <m:oMath>
              <m:r>
                <m:t>ν</m:t>
              </m:r>
              <m:r>
                <m:t>=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r>
                                    <m:t>s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r>
                                    <m:t>s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</m:num>
                    <m:den>
                      <m:sSubSup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</m:den>
                  </m:f>
                  <m:r>
                    <m:t>+</m:t>
                  </m:r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</m:num>
                    <m:den>
                      <m:sSubSup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</m:den>
                  </m:f>
                </m:den>
              </m:f>
            </m:oMath>
            <w:r>
              <w:t xml:space="preserve"> </w:t>
            </w:r>
            <w:r>
              <w:t xml:space="preserve">d.l.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Formules de probabilités et statistique</dc:title>
  <dc:creator>Jacques van Helden</dc:creator>
  <cp:keywords/>
  <dcterms:created xsi:type="dcterms:W3CDTF">2018-05-10T10:09:42Z</dcterms:created>
  <dcterms:modified xsi:type="dcterms:W3CDTF">2018-05-10T10:09:42Z</dcterms:modified>
</cp:coreProperties>
</file>