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>, N = 247,546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exposed</w:t>
            </w:r>
            <w:r>
              <w:rPr>
                <w:rFonts w:ascii="Calibri" w:hAnsi="Calibri"/>
                <w:sz w:val="20"/>
              </w:rPr>
              <w:t xml:space="preserve">, N = 43,906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historical</w:t>
            </w:r>
            <w:r>
              <w:rPr>
                <w:rFonts w:ascii="Calibri" w:hAnsi="Calibri"/>
                <w:sz w:val="20"/>
              </w:rPr>
              <w:t xml:space="preserve">, N = 40,957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unexposed</w:t>
            </w:r>
            <w:r>
              <w:rPr>
                <w:rFonts w:ascii="Calibri" w:hAnsi="Calibri"/>
                <w:sz w:val="20"/>
              </w:rPr>
              <w:t xml:space="preserve">, N = 162,683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154,086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28,731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26,119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99,236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(18.9)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48.7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48.6 (18.4)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53.5 (19.0)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127,686 (51.6%)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19,386 (44.2%)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20,848 (50.9%)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87,452 (53.8%)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52,918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11,657 (26.5%)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9,098 (22.2%)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32,163 (19.8%)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52,946 (21.4%)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10,497 (23.9%)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8,694 (21.2%)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33,755 (20.7%)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nhother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13,945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2,336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2,316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9,293 (5.7%)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smoking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116,243 (47%)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18,462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20,164 (49%)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77,617 (48%)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91,231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15,169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15,249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60,813 (46%)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51,291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8,154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31,912 (24%)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24,355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3,663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15,317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19,019 (8.8%)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6,145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3,927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8,947 (6.8%)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12,087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2,767 (6.4%)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4,698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4,622 (3.5%)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983 (0.5%)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185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262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Source7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16,619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5,240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1,933 (4.7%)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9,446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27,962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5,149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6,163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16,650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5,255 (2.4%)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1,236 (2.9%)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723 (1.8%)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3,296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17,930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3,305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3,563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11,062 (8.4%)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38,064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5,639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7,759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24,666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51,138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9,240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5,742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36,156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4,168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1,729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1,872 (1.4%)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71,068 (33%)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17,899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15,278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37,891 (29%)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payer_type_secondary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215,585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Bluecross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3,075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376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585 (1.4%)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2,114 (1.6%)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Government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2,060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1,429 (1.1%)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8,689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1,906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1,111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5,672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1,668 (0.8%)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383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286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(0.8%)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Information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163,435 (76%)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31,999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32,919 (80%)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98,517 (75%)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11,223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3,566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6,041 (4.6%)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 or 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25,435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6,479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2,135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16,821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31,090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hospitalization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64,880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12,069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3,005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49,806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p_hyperglycemia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94,478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2,808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539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2,269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153,068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28,775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32,289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92,004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29.4 (7.4)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30.5 (7.7)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29.0 (7.2)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29.3 (7.3)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246,108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66.1 (4.0)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66.2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SYSTOLIC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217,258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(18.6)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125.0 (17.8)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125.7 (17.9)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125.9 (18.9)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30,288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7,813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3,114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9,979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2,222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1,859 (4.5%)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5,898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cardiovascular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12,238 (4.9%)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2,127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2,411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7,700 (4.7%)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536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103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 (0.3%)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298 (0.2%)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23,402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4,162 (9.5%)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5,009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14,231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pulmonary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7,370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1,491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1,209 (3.0%)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4,670 (2.9%)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18,191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3,578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3,768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10,845 (6.7%)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antidepressants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31,805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5,887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5,179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20,739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antipsychotics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10,869 (4.4%)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2,192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1,566 (3.8%)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7,111 (4.4%)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antihypertensives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67,675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12,244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9,420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46,011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statins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31,508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5,556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4,003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21,949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immunosuppresants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22,143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4,661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2,958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14,524 (8.9%)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hba1c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47,413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6.3 (1.7)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6.1 (1.5)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6.2 (1.6)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200,133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33,669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36,046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130,418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glucose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112.8 (45.7)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113.6 (47.9)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109.7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113.1 (45.6)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23,688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67,578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118,292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 (12.0,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2.0, 1,813.0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2.0, 1,693.0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2.0, 5,751.0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129,254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27,094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81,846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119,719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(15.0,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19.0 (16.0, 25.0)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20.0 (16.0, 26.0)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3.0, 2,252.0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5.0, 1,820.0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3.0, 6,769.0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127,827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19,972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26,662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81,193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serum_creatinine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137,276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 (0.7,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 (0.7, 1.1)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0.1, 29.5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0.1, 23.6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0.1, 31.3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110,270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17,251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24,099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68,920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54,952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50.9 (16.9)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50.2 (15.7)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51.8 (19.2)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51.0 (16.8)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192,594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32,393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34,183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126,018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ldl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57,217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83.1 (50.0)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80.3 (53.5)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96.0 (42.1)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81.7 (49.8)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190,329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31,630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33,923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124,776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3.0)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0.0, 320.0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0.0, 303.0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 (0.0, 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0.0, 141.0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0.0, 454.0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AV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3.0 (1.0, 10.0)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6.0 (2.0, 14.0)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4.0 (1.0, 12.0)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0.0, 709.0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0.0, 819.0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0.0, 135.0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0.0, 90.0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1.0)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0.0, 167.0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0.0, 178.0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0.0, 16.0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 (0.0, 0.0)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0.0, 2.0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bmi_category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Normal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67,676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10,414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12,153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45,109 (28%)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Obese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99,208 (40%)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20,214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15,404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63,590 (39%)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Overweight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74,552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12,403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12,471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49,678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Underweight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6,110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875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929 (2.3%)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4,306 (2.6%)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Censored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207,083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36,416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35,179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135,488 (95%)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141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(&lt;0.1%)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(&lt;0.1%)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CP2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11,630 (5.3%)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2,231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7,308 (5.1%)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218,713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Median (IQR)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236 (95, 416)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172 (72, 353)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455 (255, 590)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209 (85, 367)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Range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0, 686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28,833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19,887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incident_dm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11,771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2,257 (5.8%)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2,119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7,395 (5.2%)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Missing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landmark_cpit2dm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New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 onset in Landmark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43,906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40,957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162,683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lookback_cpit2dm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New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10,370 (4.2%)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2,374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1,450 (3.5%)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6,546 (4.0%)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Unverified No onset in Lookback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237,176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41,532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39,507 (96%)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156,137 (96%)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supremedm_availability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247,546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218,854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38,673 (88%)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37,298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142,883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SUPREMEDM Unavailable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28,692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5,233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3,659 (8.9%)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19,800 (12%)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2024-03-01T02:52:19Z</dcterms:created>
  <dcterms:modified xsi:type="dcterms:W3CDTF">2024-03-01T02:52:19Z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