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8FDFD" w14:textId="77777777" w:rsidR="00AD5F5F" w:rsidRDefault="00393447">
      <w:pPr>
        <w:pStyle w:val="Standard"/>
        <w:spacing w:after="240" w:line="276" w:lineRule="auto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GYGA methodology irrigated wheat in Egypt</w:t>
      </w:r>
    </w:p>
    <w:p w14:paraId="6F148795" w14:textId="77777777" w:rsidR="00AD5F5F" w:rsidRDefault="00393447">
      <w:pPr>
        <w:pStyle w:val="Standard"/>
        <w:spacing w:after="240" w:line="276" w:lineRule="auto"/>
        <w:jc w:val="both"/>
      </w:pPr>
      <w:r>
        <w:rPr>
          <w:b/>
          <w:bCs/>
        </w:rPr>
        <w:t>Wheat Production in Egypt</w:t>
      </w:r>
    </w:p>
    <w:p w14:paraId="01A25392" w14:textId="77777777" w:rsidR="00AD5F5F" w:rsidRDefault="00393447">
      <w:pPr>
        <w:pStyle w:val="Standard"/>
        <w:spacing w:after="240" w:line="276" w:lineRule="auto"/>
        <w:jc w:val="both"/>
      </w:pPr>
      <w:r>
        <w:t>Egypt has a very arid climate, and agricultural production mostly relies on irrigation</w:t>
      </w:r>
      <w:r>
        <w:rPr>
          <w:position w:val="8"/>
          <w:sz w:val="20"/>
          <w:szCs w:val="20"/>
        </w:rPr>
        <w:t>1,2)</w:t>
      </w:r>
      <w:r>
        <w:t xml:space="preserve">. The area of agricultural land in Egypt is mainly confined to the Nile </w:t>
      </w:r>
      <w:r>
        <w:t>delta and valley. Arable land (% of land area) is around 3%</w:t>
      </w:r>
      <w:r>
        <w:rPr>
          <w:position w:val="8"/>
          <w:sz w:val="20"/>
          <w:szCs w:val="20"/>
        </w:rPr>
        <w:t>3)</w:t>
      </w:r>
      <w:r>
        <w:t>. The total population in Egypt was estimated at 96.2 million people in 2017, and employment in agriculture (% of total employment) is 25% in the same year. Wheat, maize, and rice are the major c</w:t>
      </w:r>
      <w:r>
        <w:t>ereals cultivated in the country. Their productivity is high (see below Table)</w:t>
      </w:r>
      <w:r>
        <w:rPr>
          <w:position w:val="8"/>
          <w:sz w:val="20"/>
          <w:szCs w:val="20"/>
        </w:rPr>
        <w:t>4)</w:t>
      </w:r>
      <w:r>
        <w:t>, since they are grown under irrigated conditions and high input use</w:t>
      </w:r>
      <w:r>
        <w:rPr>
          <w:position w:val="8"/>
          <w:sz w:val="20"/>
          <w:szCs w:val="20"/>
        </w:rPr>
        <w:t>5,6)</w:t>
      </w:r>
      <w:r>
        <w:t>. However, today, water scarcity is a major concern in the country, and it dictates policy measures incl</w:t>
      </w:r>
      <w:r>
        <w:t>uding the reduction in rice area.</w:t>
      </w:r>
    </w:p>
    <w:p w14:paraId="4B6CC601" w14:textId="77777777" w:rsidR="00AD5F5F" w:rsidRDefault="00393447">
      <w:pPr>
        <w:pStyle w:val="Standard"/>
        <w:spacing w:after="240" w:line="276" w:lineRule="auto"/>
        <w:jc w:val="both"/>
        <w:rPr>
          <w:b/>
          <w:bCs/>
        </w:rPr>
      </w:pPr>
      <w:r>
        <w:rPr>
          <w:b/>
          <w:bCs/>
        </w:rPr>
        <w:t>Harvested Area</w:t>
      </w:r>
    </w:p>
    <w:p w14:paraId="26F4F686" w14:textId="77777777" w:rsidR="00AD5F5F" w:rsidRDefault="00393447">
      <w:pPr>
        <w:pStyle w:val="Standard"/>
        <w:spacing w:after="240" w:line="276" w:lineRule="auto"/>
        <w:jc w:val="both"/>
      </w:pPr>
      <w:r>
        <w:t>Harvested area of irrigated wheat in Egypt was retrieved from SPAM2010 v1.1</w:t>
      </w:r>
      <w:r>
        <w:rPr>
          <w:position w:val="8"/>
          <w:sz w:val="20"/>
          <w:szCs w:val="20"/>
        </w:rPr>
        <w:t>7)</w:t>
      </w:r>
      <w:r>
        <w:t>.</w:t>
      </w:r>
    </w:p>
    <w:p w14:paraId="1EA22FAC" w14:textId="77777777" w:rsidR="00AD5F5F" w:rsidRDefault="00393447">
      <w:pPr>
        <w:pStyle w:val="Standard"/>
        <w:spacing w:after="240" w:line="276" w:lineRule="auto"/>
        <w:jc w:val="both"/>
      </w:pPr>
      <w:r>
        <w:rPr>
          <w:b/>
          <w:bCs/>
        </w:rPr>
        <w:t>Weather data and reference weather stations (RWS)</w:t>
      </w:r>
    </w:p>
    <w:p w14:paraId="4F0BADC7" w14:textId="636B74A4" w:rsidR="00AD5F5F" w:rsidRDefault="00393447">
      <w:pPr>
        <w:pStyle w:val="Standard"/>
        <w:spacing w:after="240" w:line="276" w:lineRule="auto"/>
        <w:jc w:val="both"/>
      </w:pPr>
      <w:r>
        <w:t>In total, 2 RWSs belonging to 2 different climate zones were selected followin</w:t>
      </w:r>
      <w:r>
        <w:t>g the GYGA protocols. The buffer zones of the designated RWSs cover 59% of the wheat national harvested area. Weather data for 10 years (2009-2019), including maximum and minimum temperatures, sunshine hours, wind speed, relative humidity and precipitation</w:t>
      </w:r>
      <w:r>
        <w:t xml:space="preserve"> were collected from the 2 RWS. Weather data for the RWS in </w:t>
      </w:r>
      <w:proofErr w:type="spellStart"/>
      <w:r>
        <w:t>Kafr</w:t>
      </w:r>
      <w:proofErr w:type="spellEnd"/>
      <w:r>
        <w:t xml:space="preserve"> Elsheikh (Nile delta) were obtained from the Sakha Agricultural Research Station, part of the Agriculture Research Center (ARC) of the Ministry of Agriculture and Land Reclamation</w:t>
      </w:r>
      <w:r w:rsidR="00A87E62">
        <w:t>, Egypt</w:t>
      </w:r>
      <w:r>
        <w:t>. Weather da</w:t>
      </w:r>
      <w:r>
        <w:t xml:space="preserve">ta for the RWS in Luxor (Upper Egypt) was obtained from </w:t>
      </w:r>
      <w:r w:rsidR="00A87E62" w:rsidRPr="00A87E62">
        <w:t>Central Laboratory of Climate, Ministry of Agriculture,  Egypt</w:t>
      </w:r>
      <w:r>
        <w:t>.</w:t>
      </w:r>
    </w:p>
    <w:p w14:paraId="0E169266" w14:textId="77777777" w:rsidR="00AD5F5F" w:rsidRDefault="00393447">
      <w:pPr>
        <w:pStyle w:val="Standard"/>
        <w:spacing w:after="240" w:line="276" w:lineRule="auto"/>
        <w:jc w:val="both"/>
      </w:pPr>
      <w:r>
        <w:rPr>
          <w:b/>
          <w:bCs/>
        </w:rPr>
        <w:t>Actual yields</w:t>
      </w:r>
    </w:p>
    <w:p w14:paraId="12FB0423" w14:textId="77777777" w:rsidR="00AD5F5F" w:rsidRDefault="00393447">
      <w:pPr>
        <w:pStyle w:val="Standard"/>
        <w:spacing w:after="240" w:line="276" w:lineRule="auto"/>
        <w:jc w:val="both"/>
      </w:pPr>
      <w:r>
        <w:t>Actual yields data from 2013 to 2019 were collected from the Wheat Research Department, Field Crops Research Institute, Agriculture R</w:t>
      </w:r>
      <w:r>
        <w:t>esearch Center (ARC) of the Ministry of Agriculture and Land Reclamation and from the extension advisory system from the Ministry of Agriculture and Land Reclamation.</w:t>
      </w:r>
    </w:p>
    <w:p w14:paraId="42DA6537" w14:textId="77777777" w:rsidR="00AD5F5F" w:rsidRDefault="00393447">
      <w:pPr>
        <w:pStyle w:val="Standard"/>
        <w:spacing w:after="240" w:line="276" w:lineRule="auto"/>
        <w:jc w:val="both"/>
      </w:pPr>
      <w:r>
        <w:rPr>
          <w:b/>
          <w:bCs/>
        </w:rPr>
        <w:t>Model calibration</w:t>
      </w:r>
    </w:p>
    <w:p w14:paraId="4F69D927" w14:textId="77777777" w:rsidR="00AD5F5F" w:rsidRDefault="00393447">
      <w:pPr>
        <w:pStyle w:val="Standard"/>
        <w:spacing w:after="240" w:line="276" w:lineRule="auto"/>
        <w:jc w:val="both"/>
      </w:pPr>
      <w:r>
        <w:t>The WOFOST crop growth model as implemented in the Python Crop Simulati</w:t>
      </w:r>
      <w:r>
        <w:t>on Environment (PCSE</w:t>
      </w:r>
      <w:r>
        <w:rPr>
          <w:position w:val="8"/>
          <w:sz w:val="20"/>
          <w:szCs w:val="20"/>
        </w:rPr>
        <w:t>8)</w:t>
      </w:r>
      <w:r>
        <w:t>) was used to simulate the wheat potential yield under irrigated conditions. Crop development was calibrated in the model using information about the duration of the different growth stages of a wheat crop in each of the RWS and infor</w:t>
      </w:r>
      <w:r>
        <w:t>mation about sowing and harvest dates (Table 1). Parameters controlling translocation of biomass from leaves and stems to grains after anthesis, leaf dynamics and CO</w:t>
      </w:r>
      <w:r>
        <w:rPr>
          <w:vertAlign w:val="subscript"/>
        </w:rPr>
        <w:t>2</w:t>
      </w:r>
      <w:r>
        <w:t xml:space="preserve"> assimilation were also adjusted during model calibration independently of the RWS. </w:t>
      </w:r>
    </w:p>
    <w:p w14:paraId="2ABC95C5" w14:textId="77777777" w:rsidR="00AD5F5F" w:rsidRDefault="00AD5F5F">
      <w:pPr>
        <w:pStyle w:val="Standard"/>
        <w:spacing w:after="240" w:line="276" w:lineRule="auto"/>
        <w:jc w:val="center"/>
        <w:rPr>
          <w:b/>
          <w:bCs/>
        </w:rPr>
      </w:pPr>
    </w:p>
    <w:p w14:paraId="1FCA6FEC" w14:textId="77777777" w:rsidR="00AD5F5F" w:rsidRDefault="00393447">
      <w:pPr>
        <w:pStyle w:val="Standard"/>
        <w:spacing w:after="240" w:line="276" w:lineRule="auto"/>
        <w:jc w:val="center"/>
        <w:rPr>
          <w:b/>
          <w:bCs/>
        </w:rPr>
      </w:pPr>
      <w:r>
        <w:rPr>
          <w:b/>
          <w:bCs/>
        </w:rPr>
        <w:lastRenderedPageBreak/>
        <w:t>Table 1. Window of sowing, anthesis and maturity dates considered for model calibration</w:t>
      </w:r>
    </w:p>
    <w:tbl>
      <w:tblPr>
        <w:tblW w:w="8522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D5F5F" w14:paraId="1F20F06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83E8" w14:textId="77777777" w:rsidR="00AD5F5F" w:rsidRDefault="00393447">
            <w:pPr>
              <w:spacing w:line="276" w:lineRule="auto"/>
              <w:jc w:val="both"/>
              <w:textAlignment w:val="auto"/>
            </w:pPr>
            <w:r>
              <w:rPr>
                <w:rFonts w:eastAsia="Calibri" w:cs="Arial"/>
                <w:b/>
                <w:bCs/>
                <w:kern w:val="0"/>
              </w:rPr>
              <w:t>Growth stages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52695" w14:textId="77777777" w:rsidR="00AD5F5F" w:rsidRDefault="00393447">
            <w:pPr>
              <w:spacing w:line="276" w:lineRule="auto"/>
              <w:jc w:val="center"/>
              <w:textAlignment w:val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Kafr</w:t>
            </w:r>
            <w:proofErr w:type="spellEnd"/>
            <w:r>
              <w:rPr>
                <w:b/>
                <w:bCs/>
              </w:rPr>
              <w:t xml:space="preserve"> Elsheikh </w:t>
            </w:r>
          </w:p>
          <w:p w14:paraId="09961107" w14:textId="77777777" w:rsidR="00AD5F5F" w:rsidRDefault="00393447">
            <w:pPr>
              <w:spacing w:line="276" w:lineRule="auto"/>
              <w:jc w:val="center"/>
              <w:textAlignment w:val="auto"/>
            </w:pPr>
            <w:r>
              <w:rPr>
                <w:b/>
                <w:bCs/>
              </w:rPr>
              <w:t>(</w:t>
            </w:r>
            <w:r>
              <w:rPr>
                <w:rFonts w:eastAsia="Calibri" w:cs="Arial"/>
                <w:b/>
                <w:bCs/>
                <w:kern w:val="0"/>
              </w:rPr>
              <w:t>Nile delta)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E66C" w14:textId="77777777" w:rsidR="00AD5F5F" w:rsidRDefault="00393447">
            <w:pPr>
              <w:spacing w:line="276" w:lineRule="auto"/>
              <w:jc w:val="center"/>
              <w:textAlignment w:val="auto"/>
              <w:rPr>
                <w:rFonts w:eastAsia="Calibri" w:cs="Arial"/>
                <w:b/>
                <w:bCs/>
                <w:kern w:val="0"/>
              </w:rPr>
            </w:pPr>
            <w:r>
              <w:rPr>
                <w:rFonts w:eastAsia="Calibri" w:cs="Arial"/>
                <w:b/>
                <w:bCs/>
                <w:kern w:val="0"/>
              </w:rPr>
              <w:t xml:space="preserve">Luxor </w:t>
            </w:r>
          </w:p>
          <w:p w14:paraId="78EFB5DE" w14:textId="77777777" w:rsidR="00AD5F5F" w:rsidRDefault="00393447">
            <w:pPr>
              <w:spacing w:line="276" w:lineRule="auto"/>
              <w:jc w:val="center"/>
              <w:textAlignment w:val="auto"/>
            </w:pPr>
            <w:r>
              <w:rPr>
                <w:rFonts w:eastAsia="Calibri" w:cs="Arial"/>
                <w:b/>
                <w:bCs/>
                <w:kern w:val="0"/>
              </w:rPr>
              <w:t>(Upper Egypt)</w:t>
            </w:r>
          </w:p>
        </w:tc>
      </w:tr>
      <w:tr w:rsidR="00AD5F5F" w14:paraId="0780805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432EE" w14:textId="77777777" w:rsidR="00AD5F5F" w:rsidRDefault="00393447">
            <w:pPr>
              <w:spacing w:line="276" w:lineRule="auto"/>
              <w:jc w:val="both"/>
              <w:textAlignment w:val="auto"/>
            </w:pPr>
            <w:r>
              <w:rPr>
                <w:rFonts w:eastAsia="Calibri" w:cs="Arial"/>
                <w:kern w:val="0"/>
              </w:rPr>
              <w:t>Sowing period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2AA2F" w14:textId="77777777" w:rsidR="00AD5F5F" w:rsidRDefault="00393447">
            <w:pPr>
              <w:spacing w:line="276" w:lineRule="auto"/>
              <w:jc w:val="center"/>
              <w:textAlignment w:val="auto"/>
            </w:pPr>
            <w:r>
              <w:rPr>
                <w:rFonts w:eastAsia="Calibri" w:cs="Arial"/>
                <w:kern w:val="0"/>
              </w:rPr>
              <w:t>10 Nov – 30 Nov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778C3" w14:textId="77777777" w:rsidR="00AD5F5F" w:rsidRDefault="00393447">
            <w:pPr>
              <w:spacing w:line="276" w:lineRule="auto"/>
              <w:jc w:val="center"/>
              <w:textAlignment w:val="auto"/>
            </w:pPr>
            <w:r>
              <w:rPr>
                <w:rFonts w:eastAsia="Calibri" w:cs="Arial"/>
                <w:kern w:val="0"/>
              </w:rPr>
              <w:t>01 Nov – 20 Nov</w:t>
            </w:r>
          </w:p>
        </w:tc>
      </w:tr>
      <w:tr w:rsidR="00AD5F5F" w14:paraId="60D0554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88FF3" w14:textId="77777777" w:rsidR="00AD5F5F" w:rsidRDefault="00393447">
            <w:pPr>
              <w:spacing w:line="276" w:lineRule="auto"/>
              <w:jc w:val="both"/>
              <w:textAlignment w:val="auto"/>
            </w:pPr>
            <w:r>
              <w:rPr>
                <w:rFonts w:eastAsia="Calibri" w:cs="Arial"/>
                <w:kern w:val="0"/>
              </w:rPr>
              <w:t>Anthesis period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75145" w14:textId="77777777" w:rsidR="00AD5F5F" w:rsidRDefault="00393447">
            <w:pPr>
              <w:spacing w:line="276" w:lineRule="auto"/>
              <w:jc w:val="center"/>
              <w:textAlignment w:val="auto"/>
            </w:pPr>
            <w:r>
              <w:rPr>
                <w:rFonts w:eastAsia="Calibri" w:cs="Arial"/>
                <w:kern w:val="0"/>
              </w:rPr>
              <w:t>25 Feb – 10 Mar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57E70" w14:textId="77777777" w:rsidR="00AD5F5F" w:rsidRDefault="00393447">
            <w:pPr>
              <w:spacing w:line="276" w:lineRule="auto"/>
              <w:jc w:val="center"/>
              <w:textAlignment w:val="auto"/>
            </w:pPr>
            <w:r>
              <w:rPr>
                <w:rFonts w:eastAsia="Calibri" w:cs="Arial"/>
                <w:kern w:val="0"/>
              </w:rPr>
              <w:t>15 Feb – 25 Feb</w:t>
            </w:r>
          </w:p>
        </w:tc>
      </w:tr>
      <w:tr w:rsidR="00AD5F5F" w14:paraId="596FC014" w14:textId="77777777">
        <w:tblPrEx>
          <w:tblCellMar>
            <w:top w:w="0" w:type="dxa"/>
            <w:bottom w:w="0" w:type="dxa"/>
          </w:tblCellMar>
        </w:tblPrEx>
        <w:trPr>
          <w:trHeight w:val="152"/>
          <w:jc w:val="center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415F4" w14:textId="77777777" w:rsidR="00AD5F5F" w:rsidRDefault="00393447">
            <w:pPr>
              <w:spacing w:line="276" w:lineRule="auto"/>
              <w:jc w:val="both"/>
              <w:textAlignment w:val="auto"/>
            </w:pPr>
            <w:r>
              <w:rPr>
                <w:rFonts w:eastAsia="Calibri" w:cs="Arial"/>
                <w:kern w:val="0"/>
              </w:rPr>
              <w:t>Maturity period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AFBF9" w14:textId="77777777" w:rsidR="00AD5F5F" w:rsidRDefault="00393447">
            <w:pPr>
              <w:spacing w:line="276" w:lineRule="auto"/>
              <w:jc w:val="center"/>
              <w:textAlignment w:val="auto"/>
            </w:pPr>
            <w:r>
              <w:rPr>
                <w:rFonts w:eastAsia="Calibri" w:cs="Arial"/>
                <w:kern w:val="0"/>
              </w:rPr>
              <w:t>15 Apr – 10 May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3A20" w14:textId="77777777" w:rsidR="00AD5F5F" w:rsidRDefault="00393447">
            <w:pPr>
              <w:spacing w:line="276" w:lineRule="auto"/>
              <w:jc w:val="center"/>
              <w:textAlignment w:val="auto"/>
            </w:pPr>
            <w:r>
              <w:rPr>
                <w:rFonts w:eastAsia="Calibri" w:cs="Arial"/>
                <w:kern w:val="0"/>
              </w:rPr>
              <w:t>25 Mar – 15 Apr</w:t>
            </w:r>
          </w:p>
        </w:tc>
      </w:tr>
    </w:tbl>
    <w:p w14:paraId="2F28B308" w14:textId="77777777" w:rsidR="00AD5F5F" w:rsidRDefault="00AD5F5F">
      <w:pPr>
        <w:pStyle w:val="Textbody"/>
        <w:spacing w:after="240"/>
        <w:jc w:val="both"/>
        <w:rPr>
          <w:b/>
          <w:bCs/>
        </w:rPr>
      </w:pPr>
    </w:p>
    <w:p w14:paraId="476905BC" w14:textId="77777777" w:rsidR="00AD5F5F" w:rsidRDefault="00393447">
      <w:pPr>
        <w:pStyle w:val="Textbody"/>
        <w:spacing w:after="240"/>
        <w:jc w:val="both"/>
      </w:pPr>
      <w:r>
        <w:rPr>
          <w:b/>
          <w:bCs/>
        </w:rPr>
        <w:t>References</w:t>
      </w:r>
    </w:p>
    <w:p w14:paraId="230DD03F" w14:textId="77777777" w:rsidR="00AD5F5F" w:rsidRDefault="00393447">
      <w:pPr>
        <w:pStyle w:val="Textbody"/>
        <w:numPr>
          <w:ilvl w:val="0"/>
          <w:numId w:val="1"/>
        </w:numPr>
        <w:spacing w:after="0"/>
        <w:ind w:left="360"/>
        <w:jc w:val="both"/>
      </w:pPr>
      <w:hyperlink r:id="rId7" w:history="1">
        <w:r>
          <w:t>http://www.fao.org/docrep/v9978e/v9978e0e.htm</w:t>
        </w:r>
      </w:hyperlink>
    </w:p>
    <w:p w14:paraId="63FAB748" w14:textId="77777777" w:rsidR="00AD5F5F" w:rsidRDefault="00393447">
      <w:pPr>
        <w:pStyle w:val="Textbody"/>
        <w:numPr>
          <w:ilvl w:val="0"/>
          <w:numId w:val="1"/>
        </w:numPr>
        <w:spacing w:after="0"/>
        <w:ind w:left="360"/>
        <w:jc w:val="both"/>
      </w:pPr>
      <w:hyperlink r:id="rId8" w:history="1">
        <w:r>
          <w:rPr>
            <w:rStyle w:val="Hyperlink"/>
          </w:rPr>
          <w:t>http://www.fao.org/docrep/005/Y4632E/y4632e0c.htm</w:t>
        </w:r>
      </w:hyperlink>
    </w:p>
    <w:p w14:paraId="2456406A" w14:textId="77777777" w:rsidR="00AD5F5F" w:rsidRDefault="00393447">
      <w:pPr>
        <w:pStyle w:val="Textbody"/>
        <w:numPr>
          <w:ilvl w:val="0"/>
          <w:numId w:val="1"/>
        </w:numPr>
        <w:spacing w:after="0"/>
        <w:ind w:left="360"/>
        <w:jc w:val="both"/>
      </w:pPr>
      <w:hyperlink r:id="rId9" w:history="1">
        <w:r>
          <w:t>https://tradingeconomics.com/egypt/arable-land-hectares</w:t>
        </w:r>
        <w:r>
          <w:t>-wb-data.html</w:t>
        </w:r>
      </w:hyperlink>
    </w:p>
    <w:p w14:paraId="1BF1F4A2" w14:textId="77777777" w:rsidR="00AD5F5F" w:rsidRDefault="00393447">
      <w:pPr>
        <w:pStyle w:val="Textbody"/>
        <w:numPr>
          <w:ilvl w:val="0"/>
          <w:numId w:val="1"/>
        </w:numPr>
        <w:spacing w:after="0"/>
        <w:ind w:left="360"/>
        <w:jc w:val="both"/>
      </w:pPr>
      <w:hyperlink r:id="rId10" w:history="1">
        <w:r>
          <w:t>http://www.fao.org/faostat/en/</w:t>
        </w:r>
      </w:hyperlink>
    </w:p>
    <w:p w14:paraId="2C42A153" w14:textId="77777777" w:rsidR="00AD5F5F" w:rsidRDefault="00393447">
      <w:pPr>
        <w:pStyle w:val="Textbody"/>
        <w:numPr>
          <w:ilvl w:val="0"/>
          <w:numId w:val="1"/>
        </w:numPr>
        <w:spacing w:after="0"/>
        <w:ind w:left="360"/>
        <w:jc w:val="both"/>
      </w:pPr>
      <w:r>
        <w:rPr>
          <w:lang w:val="pt-PT"/>
        </w:rPr>
        <w:t xml:space="preserve">Saito, K., Dieng, I., Toure, A., Somado, E.A., Wopereis, M.C.S. 2015. </w:t>
      </w:r>
      <w:r>
        <w:t>Rice yield growth analysis for 24 African countries over 1960–2012. Global Food Security 5, 6</w:t>
      </w:r>
      <w:r>
        <w:t>2-69.</w:t>
      </w:r>
    </w:p>
    <w:p w14:paraId="1333C904" w14:textId="77777777" w:rsidR="00AD5F5F" w:rsidRDefault="00393447">
      <w:pPr>
        <w:pStyle w:val="Textbody"/>
        <w:numPr>
          <w:ilvl w:val="0"/>
          <w:numId w:val="1"/>
        </w:numPr>
        <w:spacing w:after="0"/>
        <w:ind w:left="360"/>
        <w:jc w:val="both"/>
      </w:pPr>
      <w:r>
        <w:t xml:space="preserve">van Oort, P.A.J., Saito, K., Tanaka, A., </w:t>
      </w:r>
      <w:proofErr w:type="spellStart"/>
      <w:r>
        <w:t>Amovin-Assagba</w:t>
      </w:r>
      <w:proofErr w:type="spellEnd"/>
      <w:r>
        <w:t xml:space="preserve">, E., Van Bussel L.G.J., van Wart, J., de Groote, H., van Ittersum, M.K., Cassman, K.G., </w:t>
      </w:r>
      <w:proofErr w:type="spellStart"/>
      <w:r>
        <w:t>Wopereis</w:t>
      </w:r>
      <w:proofErr w:type="spellEnd"/>
      <w:r>
        <w:t>, M.C.S. 2015. Assessment of rice self-sufficiency in eight African countries in 2025. Global Food</w:t>
      </w:r>
      <w:r>
        <w:t xml:space="preserve"> Security 5, 39-49</w:t>
      </w:r>
    </w:p>
    <w:p w14:paraId="44B36C74" w14:textId="77777777" w:rsidR="00AD5F5F" w:rsidRDefault="00393447">
      <w:pPr>
        <w:pStyle w:val="Textbody"/>
        <w:numPr>
          <w:ilvl w:val="0"/>
          <w:numId w:val="1"/>
        </w:numPr>
        <w:spacing w:after="0"/>
        <w:ind w:left="360"/>
        <w:jc w:val="both"/>
      </w:pPr>
      <w:r>
        <w:t>You, L., U. Wood-</w:t>
      </w:r>
      <w:proofErr w:type="spellStart"/>
      <w:r>
        <w:t>Sichra</w:t>
      </w:r>
      <w:proofErr w:type="spellEnd"/>
      <w:r>
        <w:t xml:space="preserve">, S. Fritz, Z. Guo, L. See, and J. Koo. 2014. Spatial Production Allocation Model (SPAM) 2010 V1r1. [October 8, 2019]. Available from http://mapspam.info and on IFPRI’s </w:t>
      </w:r>
      <w:proofErr w:type="spellStart"/>
      <w:r>
        <w:t>Dataverse</w:t>
      </w:r>
      <w:proofErr w:type="spellEnd"/>
      <w:r>
        <w:t xml:space="preserve"> Site.</w:t>
      </w:r>
    </w:p>
    <w:p w14:paraId="32547B5A" w14:textId="77777777" w:rsidR="00AD5F5F" w:rsidRDefault="00393447">
      <w:pPr>
        <w:pStyle w:val="Textbody"/>
        <w:numPr>
          <w:ilvl w:val="0"/>
          <w:numId w:val="1"/>
        </w:numPr>
        <w:spacing w:after="0"/>
        <w:ind w:left="360"/>
        <w:jc w:val="both"/>
      </w:pPr>
      <w:r>
        <w:t xml:space="preserve">de Wit, A., Boogaard, H., </w:t>
      </w:r>
      <w:proofErr w:type="spellStart"/>
      <w:r>
        <w:t>Fum</w:t>
      </w:r>
      <w:r>
        <w:t>agalli</w:t>
      </w:r>
      <w:proofErr w:type="spellEnd"/>
      <w:r>
        <w:t xml:space="preserve">, D., Janssen, S., </w:t>
      </w:r>
      <w:proofErr w:type="spellStart"/>
      <w:r>
        <w:t>Knapen</w:t>
      </w:r>
      <w:proofErr w:type="spellEnd"/>
      <w:r>
        <w:t xml:space="preserve">, R., van </w:t>
      </w:r>
      <w:proofErr w:type="spellStart"/>
      <w:r>
        <w:t>Kraalingen</w:t>
      </w:r>
      <w:proofErr w:type="spellEnd"/>
      <w:r>
        <w:t xml:space="preserve">, D., Supit, I., van der </w:t>
      </w:r>
      <w:proofErr w:type="spellStart"/>
      <w:r>
        <w:t>Wijngaart</w:t>
      </w:r>
      <w:proofErr w:type="spellEnd"/>
      <w:r>
        <w:t xml:space="preserve">, R., van </w:t>
      </w:r>
      <w:proofErr w:type="spellStart"/>
      <w:r>
        <w:t>Diepen</w:t>
      </w:r>
      <w:proofErr w:type="spellEnd"/>
      <w:r>
        <w:t xml:space="preserve">, K. 2019. 25 years of the WOFOST cropping systems model. Agricultural Systems, 168, 154 – 167.  </w:t>
      </w:r>
    </w:p>
    <w:sectPr w:rsidR="00AD5F5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B0F8E" w14:textId="77777777" w:rsidR="00393447" w:rsidRDefault="00393447">
      <w:r>
        <w:separator/>
      </w:r>
    </w:p>
  </w:endnote>
  <w:endnote w:type="continuationSeparator" w:id="0">
    <w:p w14:paraId="40BDB02F" w14:textId="77777777" w:rsidR="00393447" w:rsidRDefault="00393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81B44" w14:textId="77777777" w:rsidR="00393447" w:rsidRDefault="00393447">
      <w:r>
        <w:rPr>
          <w:color w:val="000000"/>
        </w:rPr>
        <w:separator/>
      </w:r>
    </w:p>
  </w:footnote>
  <w:footnote w:type="continuationSeparator" w:id="0">
    <w:p w14:paraId="5767D347" w14:textId="77777777" w:rsidR="00393447" w:rsidRDefault="00393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844E8"/>
    <w:multiLevelType w:val="multilevel"/>
    <w:tmpl w:val="9366418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D5F5F"/>
    <w:rsid w:val="00393447"/>
    <w:rsid w:val="005453DE"/>
    <w:rsid w:val="00A87E62"/>
    <w:rsid w:val="00AD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8737"/>
  <w15:docId w15:val="{53B6B274-4E7F-47BA-90D6-FB89ED1D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CommentText">
    <w:name w:val="annotation text"/>
    <w:basedOn w:val="Normal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BalloonText">
    <w:name w:val="Balloon Text"/>
    <w:basedOn w:val="Normal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rPr>
      <w:rFonts w:ascii="Segoe UI" w:hAnsi="Segoe UI" w:cs="Mangal"/>
      <w:sz w:val="18"/>
      <w:szCs w:val="16"/>
    </w:rPr>
  </w:style>
  <w:style w:type="paragraph" w:styleId="CommentSubject">
    <w:name w:val="annotation subject"/>
    <w:basedOn w:val="CommentText"/>
    <w:next w:val="CommentText"/>
    <w:rPr>
      <w:rFonts w:cs="FreeSans"/>
      <w:b/>
      <w:bCs/>
      <w:szCs w:val="20"/>
    </w:rPr>
  </w:style>
  <w:style w:type="character" w:customStyle="1" w:styleId="CommentTextChar1">
    <w:name w:val="Comment Text Char1"/>
    <w:basedOn w:val="DefaultParagraphFont"/>
    <w:rPr>
      <w:rFonts w:cs="Mangal"/>
      <w:sz w:val="20"/>
      <w:szCs w:val="18"/>
    </w:rPr>
  </w:style>
  <w:style w:type="character" w:customStyle="1" w:styleId="CommentSubjectChar">
    <w:name w:val="Comment Subject Char"/>
    <w:basedOn w:val="CommentTextChar1"/>
    <w:rPr>
      <w:rFonts w:cs="Mangal"/>
      <w:b/>
      <w:bCs/>
      <w:sz w:val="20"/>
      <w:szCs w:val="20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o.org/docrep/005/Y4632E/y4632e0c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o.org/docrep/v9978e/v9978e0e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fao.org/faostat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dingeconomics.com/egypt/arable-land-hectares-wb-data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 Mosad</dc:creator>
  <cp:lastModifiedBy>SILVA, Joao Vasco (CIMMYT-Zimbabwe)</cp:lastModifiedBy>
  <cp:revision>2</cp:revision>
  <dcterms:created xsi:type="dcterms:W3CDTF">2021-08-20T07:26:00Z</dcterms:created>
  <dcterms:modified xsi:type="dcterms:W3CDTF">2021-08-20T07:26:00Z</dcterms:modified>
</cp:coreProperties>
</file>