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2E7D32"/>
          <w:sz w:val="52"/>
          <w:szCs w:val="52"/>
        </w:rPr>
        <w:t xml:space="preserve">CarcinoS</w:t>
      </w:r>
    </w:p>
    <w:p>
      <w:pPr>
        <w:spacing w:after="80" w:before="0"/>
      </w:pPr>
      <w:r>
        <w:rPr>
          <w:b/>
          <w:bCs/>
          <w:color w:val="212121"/>
          <w:sz w:val="36"/>
          <w:szCs w:val="36"/>
        </w:rPr>
        <w:t xml:space="preserve">Security Review Report</w:t>
      </w:r>
    </w:p>
    <w:p>
      <w:pPr>
        <w:spacing w:after="240" w:before="0"/>
      </w:pPr>
      <w:r>
        <w:rPr>
          <w:color w:val="555555"/>
          <w:sz w:val="18"/>
          <w:szCs w:val="18"/>
        </w:rPr>
        <w:t xml:space="preserve">Date: August 13, 2026   |   Prepared by: Claude (Anthropic)   |   Classification: Internal</w:t>
      </w:r>
    </w:p>
    <w:p>
      <w:pPr>
        <w:pStyle w:val="Heading1"/>
        <w:spacing w:after="120" w:before="320"/>
      </w:pPr>
      <w:r>
        <w:rPr>
          <w:b/>
          <w:bCs/>
          <w:color w:val="2E7D32"/>
          <w:sz w:val="28"/>
          <w:szCs w:val="28"/>
        </w:rPr>
        <w:t xml:space="preserve">Executive Summary</w:t>
      </w:r>
    </w:p>
    <w:p>
      <w:pPr>
        <w:spacing w:after="80" w:before="80"/>
      </w:pPr>
      <w:r>
        <w:rPr>
          <w:color w:val="555555"/>
          <w:sz w:val="20"/>
          <w:szCs w:val="20"/>
        </w:rPr>
        <w:t xml:space="preserve">This report documents the security posture of the CarcinoS platform as of August 2026, following a full code review of the frontend (Netlify) and Python ingestion pipeline. The platform collects names, email addresses, professional credentials, and oncology specialty preferences from physician subscribers. Overall security posture is strong. One gap was identified in Supabase Row-Level Security on the profiles table; a fix was applied. All other critical controls are in place.</w:t>
      </w:r>
    </w:p>
    <w:p>
      <w:pPr>
        <w:spacing w:after="80" w:before="80"/>
      </w:pPr>
      <w:r>
        <w:t xml:space="preserve"/>
      </w:r>
    </w:p>
    <w:p>
      <w:pPr>
        <w:pStyle w:val="Heading1"/>
        <w:spacing w:after="120" w:before="320"/>
      </w:pPr>
      <w:r>
        <w:rPr>
          <w:b/>
          <w:bCs/>
          <w:color w:val="2E7D32"/>
          <w:sz w:val="28"/>
          <w:szCs w:val="28"/>
        </w:rPr>
        <w:t xml:space="preserve">Scope</w:t>
      </w:r>
    </w:p>
    <w:p>
      <w:pPr>
        <w:spacing w:after="80" w:before="80"/>
      </w:pPr>
      <w:r>
        <w:rPr>
          <w:color w:val="555555"/>
          <w:sz w:val="20"/>
          <w:szCs w:val="20"/>
        </w:rPr>
        <w:t xml:space="preserve">The following components were reviewed:</w:t>
      </w:r>
    </w:p>
    <w:p>
      <w:pPr>
        <w:spacing w:after="60" w:before="60"/>
        <w:ind w:left="440"/>
      </w:pPr>
      <w:r>
        <w:rPr>
          <w:b/>
          <w:bCs/>
          <w:color w:val="2E7D32"/>
          <w:sz w:val="20"/>
          <w:szCs w:val="20"/>
        </w:rPr>
        <w:t xml:space="preserve">• </w:t>
      </w:r>
      <w:r>
        <w:rPr>
          <w:color w:val="555555"/>
          <w:sz w:val="20"/>
          <w:szCs w:val="20"/>
        </w:rPr>
        <w:t xml:space="preserve">Frontend HTML/JS: index.html, this-week/, archive/, admin/, settings/, unsubscribe/</w:t>
      </w:r>
    </w:p>
    <w:p>
      <w:pPr>
        <w:spacing w:after="60" w:before="60"/>
        <w:ind w:left="440"/>
      </w:pPr>
      <w:r>
        <w:rPr>
          <w:b/>
          <w:bCs/>
          <w:color w:val="2E7D32"/>
          <w:sz w:val="20"/>
          <w:szCs w:val="20"/>
        </w:rPr>
        <w:t xml:space="preserve">• </w:t>
      </w:r>
      <w:r>
        <w:rPr>
          <w:color w:val="555555"/>
          <w:sz w:val="20"/>
          <w:szCs w:val="20"/>
        </w:rPr>
        <w:t xml:space="preserve">Infrastructure config: _headers, netlify.toml, admin-auth.js Netlify edge function</w:t>
      </w:r>
    </w:p>
    <w:p>
      <w:pPr>
        <w:spacing w:after="60" w:before="60"/>
        <w:ind w:left="440"/>
      </w:pPr>
      <w:r>
        <w:rPr>
          <w:b/>
          <w:bCs/>
          <w:color w:val="2E7D32"/>
          <w:sz w:val="20"/>
          <w:szCs w:val="20"/>
        </w:rPr>
        <w:t xml:space="preserve">• </w:t>
      </w:r>
      <w:r>
        <w:rPr>
          <w:color w:val="555555"/>
          <w:sz w:val="20"/>
          <w:szCs w:val="20"/>
        </w:rPr>
        <w:t xml:space="preserve">Backend pipeline: config.py, supabase_client.py, deliver.py, pass1.py, all triage modules</w:t>
      </w:r>
    </w:p>
    <w:p>
      <w:pPr>
        <w:spacing w:after="60" w:before="60"/>
        <w:ind w:left="440"/>
      </w:pPr>
      <w:r>
        <w:rPr>
          <w:b/>
          <w:bCs/>
          <w:color w:val="2E7D32"/>
          <w:sz w:val="20"/>
          <w:szCs w:val="20"/>
        </w:rPr>
        <w:t xml:space="preserve">• </w:t>
      </w:r>
      <w:r>
        <w:rPr>
          <w:color w:val="555555"/>
          <w:sz w:val="20"/>
          <w:szCs w:val="20"/>
        </w:rPr>
        <w:t xml:space="preserve">Database schema and functions: 01_schema.sql, 02_functions.sql, migrations 07–15, unsubscribe_user()</w:t>
      </w:r>
    </w:p>
    <w:p>
      <w:pPr>
        <w:spacing w:after="60" w:before="60"/>
        <w:ind w:left="440"/>
      </w:pPr>
      <w:r>
        <w:rPr>
          <w:b/>
          <w:bCs/>
          <w:color w:val="2E7D32"/>
          <w:sz w:val="20"/>
          <w:szCs w:val="20"/>
        </w:rPr>
        <w:t xml:space="preserve">• </w:t>
      </w:r>
      <w:r>
        <w:rPr>
          <w:color w:val="555555"/>
          <w:sz w:val="20"/>
          <w:szCs w:val="20"/>
        </w:rPr>
        <w:t xml:space="preserve">Supabase RLS policies: verified live against the actual pg_policies table export</w:t>
      </w:r>
    </w:p>
    <w:p>
      <w:pPr>
        <w:spacing w:after="80" w:before="80"/>
      </w:pPr>
      <w:r>
        <w:t xml:space="preserve"/>
      </w:r>
    </w:p>
    <w:p>
      <w:pPr>
        <w:pStyle w:val="Heading1"/>
        <w:spacing w:after="120" w:before="320"/>
      </w:pPr>
      <w:r>
        <w:rPr>
          <w:b/>
          <w:bCs/>
          <w:color w:val="2E7D32"/>
          <w:sz w:val="28"/>
          <w:szCs w:val="28"/>
        </w:rPr>
        <w:t xml:space="preserve">Findings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00"/>
            <w:shd w:fill="1B5E20" w:val="clear"/>
          </w:tcPr>
          <w:p>
            <w:pPr>
              <w:spacing w:after="80" w:before="80"/>
            </w:pPr>
            <w:r>
              <w:rPr>
                <w:b/>
                <w:bCs/>
                <w:color w:val="FFFFFF"/>
                <w:sz w:val="19"/>
                <w:szCs w:val="19"/>
              </w:rPr>
              <w:t xml:space="preserve">Security Area</w:t>
            </w:r>
          </w:p>
        </w:tc>
        <w:tc>
          <w:tcPr>
            <w:tcW w:type="dxa" w:w="1900"/>
            <w:shd w:fill="1B5E20" w:val="clear"/>
          </w:tcPr>
          <w:p>
            <w:pPr>
              <w:spacing w:after="80" w:before="80"/>
            </w:pPr>
            <w:r>
              <w:rPr>
                <w:b/>
                <w:bCs/>
                <w:color w:val="FFFFFF"/>
                <w:sz w:val="19"/>
                <w:szCs w:val="19"/>
              </w:rPr>
              <w:t xml:space="preserve">Status</w:t>
            </w:r>
          </w:p>
        </w:tc>
        <w:tc>
          <w:tcPr>
            <w:tcW w:type="dxa" w:w="4600"/>
            <w:shd w:fill="1B5E20" w:val="clear"/>
          </w:tcPr>
          <w:p>
            <w:pPr>
              <w:spacing w:after="80" w:before="80"/>
            </w:pPr>
            <w:r>
              <w:rPr>
                <w:b/>
                <w:bCs/>
                <w:color w:val="FFFFFF"/>
                <w:sz w:val="19"/>
                <w:szCs w:val="19"/>
              </w:rPr>
              <w:t xml:space="preserve">Notes</w:t>
            </w:r>
          </w:p>
        </w:tc>
      </w:tr>
      <w:tr>
        <w:tc>
          <w:tcPr>
            <w:tcW w:type="dxa" w:w="3100"/>
            <w:shd w:fill="F5F5F5" w:val="clear"/>
          </w:tcPr>
          <w:p>
            <w:pPr>
              <w:spacing w:after="80" w:before="80"/>
              <w:jc w:val="left"/>
            </w:pPr>
            <w:r>
              <w:rPr>
                <w:b/>
                <w:bCs/>
                <w:color w:val="212121"/>
                <w:sz w:val="19"/>
                <w:szCs w:val="19"/>
              </w:rPr>
              <w:t xml:space="preserve">Alerts write access</w:t>
            </w:r>
          </w:p>
        </w:tc>
        <w:tc>
          <w:tcPr>
            <w:tcW w:type="dxa" w:w="1900"/>
            <w:shd w:fill="F5F5F5" w:val="clear"/>
          </w:tcPr>
          <w:p>
            <w:pPr>
              <w:spacing w:after="80" w:before="80"/>
              <w:jc w:val="center"/>
            </w:pPr>
            <w:r>
              <w:rPr>
                <w:b/>
                <w:bCs/>
                <w:color w:val="2E7D32"/>
                <w:sz w:val="19"/>
                <w:szCs w:val="19"/>
              </w:rPr>
              <w:t xml:space="preserve">✓ PROTECTED</w:t>
            </w:r>
          </w:p>
        </w:tc>
        <w:tc>
          <w:tcPr>
            <w:tcW w:type="dxa" w:w="4600"/>
            <w:shd w:fill="F5F5F5" w:val="clear"/>
          </w:tcPr>
          <w:p>
            <w:pPr>
              <w:spacing w:after="80" w:before="80"/>
              <w:jc w:val="left"/>
            </w:pPr>
            <w:r>
              <w:rPr>
                <w:b w:val="false"/>
                <w:bCs w:val="false"/>
                <w:color w:val="555555"/>
                <w:sz w:val="19"/>
                <w:szCs w:val="19"/>
              </w:rPr>
              <w:t xml:space="preserve">is_founder_editor() RLS gate on all writes (ALL operations)</w:t>
            </w:r>
          </w:p>
        </w:tc>
      </w:tr>
      <w:tr>
        <w:tc>
          <w:tcPr>
            <w:tcW w:type="dxa" w:w="3100"/>
            <w:shd w:fill="F5F5F5" w:val="clear"/>
          </w:tcPr>
          <w:p>
            <w:pPr>
              <w:spacing w:after="80" w:before="80"/>
              <w:jc w:val="left"/>
            </w:pPr>
            <w:r>
              <w:rPr>
                <w:b/>
                <w:bCs/>
                <w:color w:val="212121"/>
                <w:sz w:val="19"/>
                <w:szCs w:val="19"/>
              </w:rPr>
              <w:t xml:space="preserve">Admin portal</w:t>
            </w:r>
          </w:p>
        </w:tc>
        <w:tc>
          <w:tcPr>
            <w:tcW w:type="dxa" w:w="1900"/>
            <w:shd w:fill="F5F5F5" w:val="clear"/>
          </w:tcPr>
          <w:p>
            <w:pPr>
              <w:spacing w:after="80" w:before="80"/>
              <w:jc w:val="center"/>
            </w:pPr>
            <w:r>
              <w:rPr>
                <w:b/>
                <w:bCs/>
                <w:color w:val="2E7D32"/>
                <w:sz w:val="19"/>
                <w:szCs w:val="19"/>
              </w:rPr>
              <w:t xml:space="preserve">✓ PROTECTED</w:t>
            </w:r>
          </w:p>
        </w:tc>
        <w:tc>
          <w:tcPr>
            <w:tcW w:type="dxa" w:w="4600"/>
            <w:shd w:fill="F5F5F5" w:val="clear"/>
          </w:tcPr>
          <w:p>
            <w:pPr>
              <w:spacing w:after="80" w:before="80"/>
              <w:jc w:val="left"/>
            </w:pPr>
            <w:r>
              <w:rPr>
                <w:b w:val="false"/>
                <w:bCs w:val="false"/>
                <w:color w:val="555555"/>
                <w:sz w:val="19"/>
                <w:szCs w:val="19"/>
              </w:rPr>
              <w:t xml:space="preserve">Netlify edge function HTTP Basic Auth + RLS double-gated</w:t>
            </w:r>
          </w:p>
        </w:tc>
      </w:tr>
      <w:tr>
        <w:tc>
          <w:tcPr>
            <w:tcW w:type="dxa" w:w="3100"/>
            <w:shd w:fill="F5F5F5" w:val="clear"/>
          </w:tcPr>
          <w:p>
            <w:pPr>
              <w:spacing w:after="80" w:before="80"/>
              <w:jc w:val="left"/>
            </w:pPr>
            <w:r>
              <w:rPr>
                <w:b/>
                <w:bCs/>
                <w:color w:val="212121"/>
                <w:sz w:val="19"/>
                <w:szCs w:val="19"/>
              </w:rPr>
              <w:t xml:space="preserve">Users table (name / email)</w:t>
            </w:r>
          </w:p>
        </w:tc>
        <w:tc>
          <w:tcPr>
            <w:tcW w:type="dxa" w:w="1900"/>
            <w:shd w:fill="F5F5F5" w:val="clear"/>
          </w:tcPr>
          <w:p>
            <w:pPr>
              <w:spacing w:after="80" w:before="80"/>
              <w:jc w:val="center"/>
            </w:pPr>
            <w:r>
              <w:rPr>
                <w:b/>
                <w:bCs/>
                <w:color w:val="2E7D32"/>
                <w:sz w:val="19"/>
                <w:szCs w:val="19"/>
              </w:rPr>
              <w:t xml:space="preserve">✓ PROTECTED</w:t>
            </w:r>
          </w:p>
        </w:tc>
        <w:tc>
          <w:tcPr>
            <w:tcW w:type="dxa" w:w="4600"/>
            <w:shd w:fill="F5F5F5" w:val="clear"/>
          </w:tcPr>
          <w:p>
            <w:pPr>
              <w:spacing w:after="80" w:before="80"/>
              <w:jc w:val="left"/>
            </w:pPr>
            <w:r>
              <w:rPr>
                <w:b w:val="false"/>
                <w:bCs w:val="false"/>
                <w:color w:val="555555"/>
                <w:sz w:val="19"/>
                <w:szCs w:val="19"/>
              </w:rPr>
              <w:t xml:space="preserve">Row-scoped: each user reads/writes only their own row</w:t>
            </w:r>
          </w:p>
        </w:tc>
      </w:tr>
      <w:tr>
        <w:tc>
          <w:tcPr>
            <w:tcW w:type="dxa" w:w="3100"/>
            <w:shd w:fill="F5F5F5" w:val="clear"/>
          </w:tcPr>
          <w:p>
            <w:pPr>
              <w:spacing w:after="80" w:before="80"/>
              <w:jc w:val="left"/>
            </w:pPr>
            <w:r>
              <w:rPr>
                <w:b/>
                <w:bCs/>
                <w:color w:val="212121"/>
                <w:sz w:val="19"/>
                <w:szCs w:val="19"/>
              </w:rPr>
              <w:t xml:space="preserve">Digest deliveries</w:t>
            </w:r>
          </w:p>
        </w:tc>
        <w:tc>
          <w:tcPr>
            <w:tcW w:type="dxa" w:w="1900"/>
            <w:shd w:fill="F5F5F5" w:val="clear"/>
          </w:tcPr>
          <w:p>
            <w:pPr>
              <w:spacing w:after="80" w:before="80"/>
              <w:jc w:val="center"/>
            </w:pPr>
            <w:r>
              <w:rPr>
                <w:b/>
                <w:bCs/>
                <w:color w:val="2E7D32"/>
                <w:sz w:val="19"/>
                <w:szCs w:val="19"/>
              </w:rPr>
              <w:t xml:space="preserve">✓ PROTECTED</w:t>
            </w:r>
          </w:p>
        </w:tc>
        <w:tc>
          <w:tcPr>
            <w:tcW w:type="dxa" w:w="4600"/>
            <w:shd w:fill="F5F5F5" w:val="clear"/>
          </w:tcPr>
          <w:p>
            <w:pPr>
              <w:spacing w:after="80" w:before="80"/>
              <w:jc w:val="left"/>
            </w:pPr>
            <w:r>
              <w:rPr>
                <w:b w:val="false"/>
                <w:bCs w:val="false"/>
                <w:color w:val="555555"/>
                <w:sz w:val="19"/>
                <w:szCs w:val="19"/>
              </w:rPr>
              <w:t xml:space="preserve">service_role only; no authenticated or anon read path</w:t>
            </w:r>
          </w:p>
        </w:tc>
      </w:tr>
      <w:tr>
        <w:tc>
          <w:tcPr>
            <w:tcW w:type="dxa" w:w="3100"/>
            <w:shd w:fill="F5F5F5" w:val="clear"/>
          </w:tcPr>
          <w:p>
            <w:pPr>
              <w:spacing w:after="80" w:before="80"/>
              <w:jc w:val="left"/>
            </w:pPr>
            <w:r>
              <w:rPr>
                <w:b/>
                <w:bCs/>
                <w:color w:val="212121"/>
                <w:sz w:val="19"/>
                <w:szCs w:val="19"/>
              </w:rPr>
              <w:t xml:space="preserve">Pipeline secrets</w:t>
            </w:r>
          </w:p>
        </w:tc>
        <w:tc>
          <w:tcPr>
            <w:tcW w:type="dxa" w:w="1900"/>
            <w:shd w:fill="F5F5F5" w:val="clear"/>
          </w:tcPr>
          <w:p>
            <w:pPr>
              <w:spacing w:after="80" w:before="80"/>
              <w:jc w:val="center"/>
            </w:pPr>
            <w:r>
              <w:rPr>
                <w:b/>
                <w:bCs/>
                <w:color w:val="2E7D32"/>
                <w:sz w:val="19"/>
                <w:szCs w:val="19"/>
              </w:rPr>
              <w:t xml:space="preserve">✓ PROTECTED</w:t>
            </w:r>
          </w:p>
        </w:tc>
        <w:tc>
          <w:tcPr>
            <w:tcW w:type="dxa" w:w="4600"/>
            <w:shd w:fill="F5F5F5" w:val="clear"/>
          </w:tcPr>
          <w:p>
            <w:pPr>
              <w:spacing w:after="80" w:before="80"/>
              <w:jc w:val="left"/>
            </w:pPr>
            <w:r>
              <w:rPr>
                <w:b w:val="false"/>
                <w:bCs w:val="false"/>
                <w:color w:val="555555"/>
                <w:sz w:val="19"/>
                <w:szCs w:val="19"/>
              </w:rPr>
              <w:t xml:space="preserve">.env gitignored; all keys via environment variables, none hardcoded</w:t>
            </w:r>
          </w:p>
        </w:tc>
      </w:tr>
      <w:tr>
        <w:tc>
          <w:tcPr>
            <w:tcW w:type="dxa" w:w="3100"/>
            <w:shd w:fill="F5F5F5" w:val="clear"/>
          </w:tcPr>
          <w:p>
            <w:pPr>
              <w:spacing w:after="80" w:before="80"/>
              <w:jc w:val="left"/>
            </w:pPr>
            <w:r>
              <w:rPr>
                <w:b/>
                <w:bCs/>
                <w:color w:val="212121"/>
                <w:sz w:val="19"/>
                <w:szCs w:val="19"/>
              </w:rPr>
              <w:t xml:space="preserve">Subscriptions / preferences</w:t>
            </w:r>
          </w:p>
        </w:tc>
        <w:tc>
          <w:tcPr>
            <w:tcW w:type="dxa" w:w="1900"/>
            <w:shd w:fill="F5F5F5" w:val="clear"/>
          </w:tcPr>
          <w:p>
            <w:pPr>
              <w:spacing w:after="80" w:before="80"/>
              <w:jc w:val="center"/>
            </w:pPr>
            <w:r>
              <w:rPr>
                <w:b/>
                <w:bCs/>
                <w:color w:val="2E7D32"/>
                <w:sz w:val="19"/>
                <w:szCs w:val="19"/>
              </w:rPr>
              <w:t xml:space="preserve">✓ PROTECTED</w:t>
            </w:r>
          </w:p>
        </w:tc>
        <w:tc>
          <w:tcPr>
            <w:tcW w:type="dxa" w:w="4600"/>
            <w:shd w:fill="F5F5F5" w:val="clear"/>
          </w:tcPr>
          <w:p>
            <w:pPr>
              <w:spacing w:after="80" w:before="80"/>
              <w:jc w:val="left"/>
            </w:pPr>
            <w:r>
              <w:rPr>
                <w:b w:val="false"/>
                <w:bCs w:val="false"/>
                <w:color w:val="555555"/>
                <w:sz w:val="19"/>
                <w:szCs w:val="19"/>
              </w:rPr>
              <w:t xml:space="preserve">Owner-scoped RLS on subscriptions, user_preferences, notifications</w:t>
            </w:r>
          </w:p>
        </w:tc>
      </w:tr>
      <w:tr>
        <w:tc>
          <w:tcPr>
            <w:tcW w:type="dxa" w:w="3100"/>
            <w:shd w:fill="F5F5F5" w:val="clear"/>
          </w:tcPr>
          <w:p>
            <w:pPr>
              <w:spacing w:after="80" w:before="80"/>
              <w:jc w:val="left"/>
            </w:pPr>
            <w:r>
              <w:rPr>
                <w:b/>
                <w:bCs/>
                <w:color w:val="212121"/>
                <w:sz w:val="19"/>
                <w:szCs w:val="19"/>
              </w:rPr>
              <w:t xml:space="preserve">Security headers</w:t>
            </w:r>
          </w:p>
        </w:tc>
        <w:tc>
          <w:tcPr>
            <w:tcW w:type="dxa" w:w="1900"/>
            <w:shd w:fill="F5F5F5" w:val="clear"/>
          </w:tcPr>
          <w:p>
            <w:pPr>
              <w:spacing w:after="80" w:before="80"/>
              <w:jc w:val="center"/>
            </w:pPr>
            <w:r>
              <w:rPr>
                <w:b/>
                <w:bCs/>
                <w:color w:val="2E7D32"/>
                <w:sz w:val="19"/>
                <w:szCs w:val="19"/>
              </w:rPr>
              <w:t xml:space="preserve">✓ IN PLACE</w:t>
            </w:r>
          </w:p>
        </w:tc>
        <w:tc>
          <w:tcPr>
            <w:tcW w:type="dxa" w:w="4600"/>
            <w:shd w:fill="F5F5F5" w:val="clear"/>
          </w:tcPr>
          <w:p>
            <w:pPr>
              <w:spacing w:after="80" w:before="80"/>
              <w:jc w:val="left"/>
            </w:pPr>
            <w:r>
              <w:rPr>
                <w:b w:val="false"/>
                <w:bCs w:val="false"/>
                <w:color w:val="555555"/>
                <w:sz w:val="19"/>
                <w:szCs w:val="19"/>
              </w:rPr>
              <w:t xml:space="preserve">X-Frame-Options, nosniff, Referrer-Policy, Permissions-Policy</w:t>
            </w:r>
          </w:p>
        </w:tc>
      </w:tr>
      <w:tr>
        <w:tc>
          <w:tcPr>
            <w:tcW w:type="dxa" w:w="3100"/>
            <w:shd w:fill="F5F5F5" w:val="clear"/>
          </w:tcPr>
          <w:p>
            <w:pPr>
              <w:spacing w:after="80" w:before="80"/>
              <w:jc w:val="left"/>
            </w:pPr>
            <w:r>
              <w:rPr>
                <w:b/>
                <w:bCs/>
                <w:color w:val="212121"/>
                <w:sz w:val="19"/>
                <w:szCs w:val="19"/>
              </w:rPr>
              <w:t xml:space="preserve">Exploit path blocking</w:t>
            </w:r>
          </w:p>
        </w:tc>
        <w:tc>
          <w:tcPr>
            <w:tcW w:type="dxa" w:w="1900"/>
            <w:shd w:fill="F5F5F5" w:val="clear"/>
          </w:tcPr>
          <w:p>
            <w:pPr>
              <w:spacing w:after="80" w:before="80"/>
              <w:jc w:val="center"/>
            </w:pPr>
            <w:r>
              <w:rPr>
                <w:b/>
                <w:bCs/>
                <w:color w:val="2E7D32"/>
                <w:sz w:val="19"/>
                <w:szCs w:val="19"/>
              </w:rPr>
              <w:t xml:space="preserve">✓ IN PLACE</w:t>
            </w:r>
          </w:p>
        </w:tc>
        <w:tc>
          <w:tcPr>
            <w:tcW w:type="dxa" w:w="4600"/>
            <w:shd w:fill="F5F5F5" w:val="clear"/>
          </w:tcPr>
          <w:p>
            <w:pPr>
              <w:spacing w:after="80" w:before="80"/>
              <w:jc w:val="left"/>
            </w:pPr>
            <w:r>
              <w:rPr>
                <w:b w:val="false"/>
                <w:bCs w:val="false"/>
                <w:color w:val="555555"/>
                <w:sz w:val="19"/>
                <w:szCs w:val="19"/>
              </w:rPr>
              <w:t xml:space="preserve">.env, .git, wp-admin, xmlrpc.php paths return 404 via netlify.toml</w:t>
            </w:r>
          </w:p>
        </w:tc>
      </w:tr>
      <w:tr>
        <w:tc>
          <w:tcPr>
            <w:tcW w:type="dxa" w:w="3100"/>
            <w:shd w:fill="F5F5F5" w:val="clear"/>
          </w:tcPr>
          <w:p>
            <w:pPr>
              <w:spacing w:after="80" w:before="80"/>
              <w:jc w:val="left"/>
            </w:pPr>
            <w:r>
              <w:rPr>
                <w:b/>
                <w:bCs/>
                <w:color w:val="212121"/>
                <w:sz w:val="19"/>
                <w:szCs w:val="19"/>
              </w:rPr>
              <w:t xml:space="preserve">Audit trail</w:t>
            </w:r>
          </w:p>
        </w:tc>
        <w:tc>
          <w:tcPr>
            <w:tcW w:type="dxa" w:w="1900"/>
            <w:shd w:fill="F5F5F5" w:val="clear"/>
          </w:tcPr>
          <w:p>
            <w:pPr>
              <w:spacing w:after="80" w:before="80"/>
              <w:jc w:val="center"/>
            </w:pPr>
            <w:r>
              <w:rPr>
                <w:b/>
                <w:bCs/>
                <w:color w:val="2E7D32"/>
                <w:sz w:val="19"/>
                <w:szCs w:val="19"/>
              </w:rPr>
              <w:t xml:space="preserve">✓ EXCELLENT</w:t>
            </w:r>
          </w:p>
        </w:tc>
        <w:tc>
          <w:tcPr>
            <w:tcW w:type="dxa" w:w="4600"/>
            <w:shd w:fill="F5F5F5" w:val="clear"/>
          </w:tcPr>
          <w:p>
            <w:pPr>
              <w:spacing w:after="80" w:before="80"/>
              <w:jc w:val="left"/>
            </w:pPr>
            <w:r>
              <w:rPr>
                <w:b w:val="false"/>
                <w:bCs w:val="false"/>
                <w:color w:val="555555"/>
                <w:sz w:val="19"/>
                <w:szCs w:val="19"/>
              </w:rPr>
              <w:t xml:space="preserve">All alert changes logged with actor + JSON diff via Postgres triggers</w:t>
            </w:r>
          </w:p>
        </w:tc>
      </w:tr>
      <w:tr>
        <w:tc>
          <w:tcPr>
            <w:tcW w:type="dxa" w:w="3100"/>
            <w:shd w:fill="F5F5F5" w:val="clear"/>
          </w:tcPr>
          <w:p>
            <w:pPr>
              <w:spacing w:after="80" w:before="80"/>
              <w:jc w:val="left"/>
            </w:pPr>
            <w:r>
              <w:rPr>
                <w:b/>
                <w:bCs/>
                <w:color w:val="212121"/>
                <w:sz w:val="19"/>
                <w:szCs w:val="19"/>
              </w:rPr>
              <w:t xml:space="preserve">profiles_select RLS</w:t>
            </w:r>
          </w:p>
        </w:tc>
        <w:tc>
          <w:tcPr>
            <w:tcW w:type="dxa" w:w="1900"/>
            <w:shd w:fill="F5F5F5" w:val="clear"/>
          </w:tcPr>
          <w:p>
            <w:pPr>
              <w:spacing w:after="80" w:before="80"/>
              <w:jc w:val="center"/>
            </w:pPr>
            <w:r>
              <w:rPr>
                <w:b/>
                <w:bCs/>
                <w:color w:val="E65100"/>
                <w:sz w:val="19"/>
                <w:szCs w:val="19"/>
              </w:rPr>
              <w:t xml:space="preserve">⚠ FIXED 2026-08-13</w:t>
            </w:r>
          </w:p>
        </w:tc>
        <w:tc>
          <w:tcPr>
            <w:tcW w:type="dxa" w:w="4600"/>
            <w:shd w:fill="F5F5F5" w:val="clear"/>
          </w:tcPr>
          <w:p>
            <w:pPr>
              <w:spacing w:after="80" w:before="80"/>
              <w:jc w:val="left"/>
            </w:pPr>
            <w:r>
              <w:rPr>
                <w:b w:val="false"/>
                <w:bCs w:val="false"/>
                <w:color w:val="555555"/>
                <w:sz w:val="19"/>
                <w:szCs w:val="19"/>
              </w:rPr>
              <w:t xml:space="preserve">Was USING(true); corrected to USING(auth.uid() = user_id)</w:t>
            </w:r>
          </w:p>
        </w:tc>
      </w:tr>
      <w:tr>
        <w:tc>
          <w:tcPr>
            <w:tcW w:type="dxa" w:w="3100"/>
            <w:shd w:fill="F5F5F5" w:val="clear"/>
          </w:tcPr>
          <w:p>
            <w:pPr>
              <w:spacing w:after="80" w:before="80"/>
              <w:jc w:val="left"/>
            </w:pPr>
            <w:r>
              <w:rPr>
                <w:b/>
                <w:bCs/>
                <w:color w:val="212121"/>
                <w:sz w:val="19"/>
                <w:szCs w:val="19"/>
              </w:rPr>
              <w:t xml:space="preserve">Supabase anon key in HTML</w:t>
            </w:r>
          </w:p>
        </w:tc>
        <w:tc>
          <w:tcPr>
            <w:tcW w:type="dxa" w:w="1900"/>
            <w:shd w:fill="F5F5F5" w:val="clear"/>
          </w:tcPr>
          <w:p>
            <w:pPr>
              <w:spacing w:after="80" w:before="80"/>
              <w:jc w:val="center"/>
            </w:pPr>
            <w:r>
              <w:rPr>
                <w:b/>
                <w:bCs/>
                <w:color w:val="1565C0"/>
                <w:sz w:val="19"/>
                <w:szCs w:val="19"/>
              </w:rPr>
              <w:t xml:space="preserve">ℹ EXPECTED</w:t>
            </w:r>
          </w:p>
        </w:tc>
        <w:tc>
          <w:tcPr>
            <w:tcW w:type="dxa" w:w="4600"/>
            <w:shd w:fill="F5F5F5" w:val="clear"/>
          </w:tcPr>
          <w:p>
            <w:pPr>
              <w:spacing w:after="80" w:before="80"/>
              <w:jc w:val="left"/>
            </w:pPr>
            <w:r>
              <w:rPr>
                <w:b w:val="false"/>
                <w:bCs w:val="false"/>
                <w:color w:val="555555"/>
                <w:sz w:val="19"/>
                <w:szCs w:val="19"/>
              </w:rPr>
              <w:t xml:space="preserve">Public by design; security relies on RLS, not key secrecy</w:t>
            </w:r>
          </w:p>
        </w:tc>
      </w:tr>
      <w:tr>
        <w:tc>
          <w:tcPr>
            <w:tcW w:type="dxa" w:w="3100"/>
            <w:shd w:fill="F5F5F5" w:val="clear"/>
          </w:tcPr>
          <w:p>
            <w:pPr>
              <w:spacing w:after="80" w:before="80"/>
              <w:jc w:val="left"/>
            </w:pPr>
            <w:r>
              <w:rPr>
                <w:b/>
                <w:bCs/>
                <w:color w:val="212121"/>
                <w:sz w:val="19"/>
                <w:szCs w:val="19"/>
              </w:rPr>
              <w:t xml:space="preserve">Unsubscribe via UUID</w:t>
            </w:r>
          </w:p>
        </w:tc>
        <w:tc>
          <w:tcPr>
            <w:tcW w:type="dxa" w:w="1900"/>
            <w:shd w:fill="F5F5F5" w:val="clear"/>
          </w:tcPr>
          <w:p>
            <w:pPr>
              <w:spacing w:after="80" w:before="80"/>
              <w:jc w:val="center"/>
            </w:pPr>
            <w:r>
              <w:rPr>
                <w:b/>
                <w:bCs/>
                <w:color w:val="1565C0"/>
                <w:sz w:val="19"/>
                <w:szCs w:val="19"/>
              </w:rPr>
              <w:t xml:space="preserve">ℹ ACCEPTABLE</w:t>
            </w:r>
          </w:p>
        </w:tc>
        <w:tc>
          <w:tcPr>
            <w:tcW w:type="dxa" w:w="4600"/>
            <w:shd w:fill="F5F5F5" w:val="clear"/>
          </w:tcPr>
          <w:p>
            <w:pPr>
              <w:spacing w:after="80" w:before="80"/>
              <w:jc w:val="left"/>
            </w:pPr>
            <w:r>
              <w:rPr>
                <w:b w:val="false"/>
                <w:bCs w:val="false"/>
                <w:color w:val="555555"/>
                <w:sz w:val="19"/>
                <w:szCs w:val="19"/>
              </w:rPr>
              <w:t xml:space="preserve">UUID in email footer; 128-bit random is non-guessable in practice</w:t>
            </w:r>
          </w:p>
        </w:tc>
      </w:tr>
      <w:tr>
        <w:tc>
          <w:tcPr>
            <w:tcW w:type="dxa" w:w="3100"/>
            <w:shd w:fill="F5F5F5" w:val="clear"/>
          </w:tcPr>
          <w:p>
            <w:pPr>
              <w:spacing w:after="80" w:before="80"/>
              <w:jc w:val="left"/>
            </w:pPr>
            <w:r>
              <w:rPr>
                <w:b/>
                <w:bCs/>
                <w:color w:val="212121"/>
                <w:sz w:val="19"/>
                <w:szCs w:val="19"/>
              </w:rPr>
              <w:t xml:space="preserve">Content-Security-Policy</w:t>
            </w:r>
          </w:p>
        </w:tc>
        <w:tc>
          <w:tcPr>
            <w:tcW w:type="dxa" w:w="1900"/>
            <w:shd w:fill="F5F5F5" w:val="clear"/>
          </w:tcPr>
          <w:p>
            <w:pPr>
              <w:spacing w:after="80" w:before="80"/>
              <w:jc w:val="center"/>
            </w:pPr>
            <w:r>
              <w:rPr>
                <w:b/>
                <w:bCs/>
                <w:color w:val="1565C0"/>
                <w:sz w:val="19"/>
                <w:szCs w:val="19"/>
              </w:rPr>
              <w:t xml:space="preserve">ℹ LOW PRIORITY</w:t>
            </w:r>
          </w:p>
        </w:tc>
        <w:tc>
          <w:tcPr>
            <w:tcW w:type="dxa" w:w="4600"/>
            <w:shd w:fill="F5F5F5" w:val="clear"/>
          </w:tcPr>
          <w:p>
            <w:pPr>
              <w:spacing w:after="80" w:before="80"/>
              <w:jc w:val="left"/>
            </w:pPr>
            <w:r>
              <w:rPr>
                <w:b w:val="false"/>
                <w:bCs w:val="false"/>
                <w:color w:val="555555"/>
                <w:sz w:val="19"/>
                <w:szCs w:val="19"/>
              </w:rPr>
              <w:t xml:space="preserve">No CSP header; XSS surface is narrow; complex to add with CDN deps</w:t>
            </w:r>
          </w:p>
        </w:tc>
      </w:tr>
    </w:tbl>
    <w:p>
      <w:pPr>
        <w:spacing w:after="80" w:before="80"/>
      </w:pPr>
      <w:r>
        <w:t xml:space="preserve"/>
      </w:r>
    </w:p>
    <w:p>
      <w:pPr>
        <w:pStyle w:val="Heading1"/>
        <w:spacing w:after="120" w:before="320"/>
      </w:pPr>
      <w:r>
        <w:rPr>
          <w:b/>
          <w:bCs/>
          <w:color w:val="2E7D32"/>
          <w:sz w:val="28"/>
          <w:szCs w:val="28"/>
        </w:rPr>
        <w:t xml:space="preserve">Detailed Findings</w:t>
      </w:r>
    </w:p>
    <w:p>
      <w:pPr>
        <w:pStyle w:val="Heading2"/>
        <w:spacing w:after="80" w:before="240"/>
      </w:pPr>
      <w:r>
        <w:rPr>
          <w:b/>
          <w:bCs/>
          <w:color w:val="212121"/>
          <w:sz w:val="22"/>
          <w:szCs w:val="22"/>
        </w:rPr>
        <w:t xml:space="preserve">1. Alerts Write Access — PROTECTED</w:t>
      </w:r>
    </w:p>
    <w:p>
      <w:pPr>
        <w:spacing w:after="80" w:before="80"/>
      </w:pPr>
      <w:r>
        <w:rPr>
          <w:color w:val="555555"/>
          <w:sz w:val="20"/>
          <w:szCs w:val="20"/>
        </w:rPr>
        <w:t xml:space="preserve">The alerts table has a policy alerts_editor_all (cmd: ALL, role: authenticated, USING and WITH CHECK: is_founder_editor()). Every INSERT, UPDATE, and DELETE requires the caller to pass this function, which verifies identity against the founder account in the auth.users table. No subscriber — even with a valid session token — can create, modify, or delete alert records. This was confirmed against the live pg_policies export and was already present before this review.</w:t>
      </w:r>
    </w:p>
    <w:p>
      <w:pPr>
        <w:pStyle w:val="Heading2"/>
        <w:spacing w:after="80" w:before="240"/>
      </w:pPr>
      <w:r>
        <w:rPr>
          <w:b/>
          <w:bCs/>
          <w:color w:val="212121"/>
          <w:sz w:val="22"/>
          <w:szCs w:val="22"/>
        </w:rPr>
        <w:t xml:space="preserve">2. Admin Portal — PROTECTED (Double-Gated)</w:t>
      </w:r>
    </w:p>
    <w:p>
      <w:pPr>
        <w:spacing w:after="80" w:before="80"/>
      </w:pPr>
      <w:r>
        <w:rPr>
          <w:color w:val="555555"/>
          <w:sz w:val="20"/>
          <w:szCs w:val="20"/>
        </w:rPr>
        <w:t xml:space="preserve">The admin portal at /admin/* is protected by two independent layers. First, a Netlify edge function (admin-auth.js) enforces HTTP Basic Auth before any HTML is delivered to the browser. Credentials are read from Netlify environment variables (ADMIN_USER, ADMIN_PASSWORD) — never from code. Second, even if the page were somehow accessed without auth, all Supabase write operations require is_founder_editor(). An attacker would need to defeat both layers independently.</w:t>
      </w:r>
    </w:p>
    <w:p>
      <w:pPr>
        <w:pStyle w:val="Heading2"/>
        <w:spacing w:after="80" w:before="240"/>
      </w:pPr>
      <w:r>
        <w:rPr>
          <w:b/>
          <w:bCs/>
          <w:color w:val="212121"/>
          <w:sz w:val="22"/>
          <w:szCs w:val="22"/>
        </w:rPr>
        <w:t xml:space="preserve">3. User Data (users table) — PROTECTED</w:t>
      </w:r>
    </w:p>
    <w:p>
      <w:pPr>
        <w:spacing w:after="80" w:before="80"/>
      </w:pPr>
      <w:r>
        <w:rPr>
          <w:color w:val="555555"/>
          <w:sz w:val="20"/>
          <w:szCs w:val="20"/>
        </w:rPr>
        <w:t xml:space="preserve">The users table has row-scoped RLS on SELECT (users_owner_read: id = auth.uid() OR is_founder_editor()) and UPDATE (users_owner_update: id = auth.uid()). Subscribers can only access their own row. The anon INSERT policy is limited to role = 'subscriber', preventing privilege escalation through self-registration.</w:t>
      </w:r>
    </w:p>
    <w:p>
      <w:pPr>
        <w:pStyle w:val="Heading2"/>
        <w:spacing w:after="80" w:before="240"/>
      </w:pPr>
      <w:r>
        <w:rPr>
          <w:b/>
          <w:bCs/>
          <w:color w:val="212121"/>
          <w:sz w:val="22"/>
          <w:szCs w:val="22"/>
        </w:rPr>
        <w:t xml:space="preserve">4. Profiles Table — GAP IDENTIFIED AND FIXED</w:t>
      </w:r>
    </w:p>
    <w:p>
      <w:pPr>
        <w:spacing w:after="80" w:before="80"/>
      </w:pPr>
      <w:r>
        <w:rPr>
          <w:color w:val="555555"/>
          <w:sz w:val="20"/>
          <w:szCs w:val="20"/>
        </w:rPr>
        <w:t xml:space="preserve">The profiles_select policy had USING(true), meaning any authenticated user could query any other user's profile row, which contains name, credentials (MD/PhD/DO), institution, and specialty. This was the only material gap found in the review. The fix — replacing the open policy with USING(auth.uid() = user_id) — was applied on August 13, 2026. Writes (INSERT, UPDATE) were already correctly row-scoped.</w:t>
      </w:r>
    </w:p>
    <w:p>
      <w:pPr>
        <w:spacing w:after="80" w:before="80"/>
      </w:pPr>
      <w:r>
        <w:rPr>
          <w:color w:val="555555"/>
          <w:sz w:val="20"/>
          <w:szCs w:val="20"/>
        </w:rPr>
        <w:t xml:space="preserve">SQL applied:</w:t>
      </w:r>
    </w:p>
    <w:p>
      <w:pPr>
        <w:spacing w:after="60" w:before="60"/>
        <w:ind w:left="440"/>
      </w:pPr>
      <w:r>
        <w:rPr>
          <w:rFonts w:ascii="Courier New" w:cs="Courier New" w:eastAsia="Courier New" w:hAnsi="Courier New"/>
          <w:color w:val="212121"/>
          <w:sz w:val="18"/>
          <w:szCs w:val="18"/>
        </w:rPr>
        <w:t xml:space="preserve">DROP POLICY IF EXISTS "profiles_select" ON profiles;</w:t>
      </w:r>
    </w:p>
    <w:p>
      <w:pPr>
        <w:spacing w:after="60" w:before="60"/>
        <w:ind w:left="440"/>
      </w:pPr>
      <w:r>
        <w:rPr>
          <w:rFonts w:ascii="Courier New" w:cs="Courier New" w:eastAsia="Courier New" w:hAnsi="Courier New"/>
          <w:color w:val="212121"/>
          <w:sz w:val="18"/>
          <w:szCs w:val="18"/>
        </w:rPr>
        <w:t xml:space="preserve">CREATE POLICY "profiles_select" ON profiles FOR SELECT TO authenticated USING (auth.uid() = user_id);</w:t>
      </w:r>
    </w:p>
    <w:p>
      <w:pPr>
        <w:pStyle w:val="Heading2"/>
        <w:spacing w:after="80" w:before="240"/>
      </w:pPr>
      <w:r>
        <w:rPr>
          <w:b/>
          <w:bCs/>
          <w:color w:val="212121"/>
          <w:sz w:val="22"/>
          <w:szCs w:val="22"/>
        </w:rPr>
        <w:t xml:space="preserve">5. Pipeline Secrets Management — PROTECTED</w:t>
      </w:r>
    </w:p>
    <w:p>
      <w:pPr>
        <w:spacing w:after="80" w:before="80"/>
      </w:pPr>
      <w:r>
        <w:rPr>
          <w:color w:val="555555"/>
          <w:sz w:val="20"/>
          <w:szCs w:val="20"/>
        </w:rPr>
        <w:t xml:space="preserve">All sensitive keys (SUPABASE_SERVICE_ROLE_KEY, OPENAI_API_KEY, RESEND_API_KEY, CARCINOS_NCBI_API_KEY) are loaded exclusively from environment variables via config.py. The .env file is in .gitignore. No hardcoded secrets were found in any Python source file. config.py also enforces an approved model allowlist, raising a ValueError at startup if an unapproved OpenAI model is specified — a meaningful guard against accidental cost overruns.</w:t>
      </w:r>
    </w:p>
    <w:p>
      <w:pPr>
        <w:pStyle w:val="Heading2"/>
        <w:spacing w:after="80" w:before="240"/>
      </w:pPr>
      <w:r>
        <w:rPr>
          <w:b/>
          <w:bCs/>
          <w:color w:val="212121"/>
          <w:sz w:val="22"/>
          <w:szCs w:val="22"/>
        </w:rPr>
        <w:t xml:space="preserve">6. Supabase Anon Key in Frontend HTML — EXPECTED</w:t>
      </w:r>
    </w:p>
    <w:p>
      <w:pPr>
        <w:spacing w:after="80" w:before="80"/>
      </w:pPr>
      <w:r>
        <w:rPr>
          <w:color w:val="555555"/>
          <w:sz w:val="20"/>
          <w:szCs w:val="20"/>
        </w:rPr>
        <w:t xml:space="preserve">The Supabase anon key appears in plaintext in all frontend HTML files. This is standard and expected Supabase architecture. The anon key is intentionally public — Supabase documents it as the "public" key and it appears in their dashboard. Security does not rely on keeping this key secret; it relies entirely on RLS policies enforced server-side. Critically, the service_role key (which bypasses RLS) does not appear anywhere in the frontend codebase.</w:t>
      </w:r>
    </w:p>
    <w:p>
      <w:pPr>
        <w:pStyle w:val="Heading2"/>
        <w:spacing w:after="80" w:before="240"/>
      </w:pPr>
      <w:r>
        <w:rPr>
          <w:b/>
          <w:bCs/>
          <w:color w:val="212121"/>
          <w:sz w:val="22"/>
          <w:szCs w:val="22"/>
        </w:rPr>
        <w:t xml:space="preserve">7. Unsubscribe Function — ACCEPTABLE RISK</w:t>
      </w:r>
    </w:p>
    <w:p>
      <w:pPr>
        <w:spacing w:after="80" w:before="80"/>
      </w:pPr>
      <w:r>
        <w:rPr>
          <w:color w:val="555555"/>
          <w:sz w:val="20"/>
          <w:szCs w:val="20"/>
        </w:rPr>
        <w:t xml:space="preserve">The unsubscribe_user(uuid) Postgres function is callable by the anon role and sets verified = false for a user with the supplied UUID. The UUID is embedded in email footers. This means anyone with a user's UUID can unsubscribe them. UUIDs are 128-bit random values and are not guessable; the realistic threat is limited to recipients forwarding their own email. This is an acceptable design trade-off for frictionless unsubscribe, consistent with CAN-SPAM requirements.</w:t>
      </w:r>
    </w:p>
    <w:p>
      <w:pPr>
        <w:pStyle w:val="Heading2"/>
        <w:spacing w:after="80" w:before="240"/>
      </w:pPr>
      <w:r>
        <w:rPr>
          <w:b/>
          <w:bCs/>
          <w:color w:val="212121"/>
          <w:sz w:val="22"/>
          <w:szCs w:val="22"/>
        </w:rPr>
        <w:t xml:space="preserve">8. Security Headers — IN PLACE</w:t>
      </w:r>
    </w:p>
    <w:p>
      <w:pPr>
        <w:spacing w:after="80" w:before="80"/>
      </w:pPr>
      <w:r>
        <w:rPr>
          <w:color w:val="555555"/>
          <w:sz w:val="20"/>
          <w:szCs w:val="20"/>
        </w:rPr>
        <w:t xml:space="preserve">The following headers are served on all pages via _headers and netlify.toml:</w:t>
      </w:r>
    </w:p>
    <w:p>
      <w:pPr>
        <w:spacing w:after="60" w:before="60"/>
        <w:ind w:left="440"/>
      </w:pPr>
      <w:r>
        <w:rPr>
          <w:b/>
          <w:bCs/>
          <w:color w:val="2E7D32"/>
          <w:sz w:val="20"/>
          <w:szCs w:val="20"/>
        </w:rPr>
        <w:t xml:space="preserve">• </w:t>
      </w:r>
      <w:r>
        <w:rPr>
          <w:b/>
          <w:bCs/>
          <w:color w:val="212121"/>
          <w:sz w:val="20"/>
          <w:szCs w:val="20"/>
        </w:rPr>
        <w:t xml:space="preserve">X-Frame-Options: DENY </w:t>
      </w:r>
      <w:r>
        <w:rPr>
          <w:color w:val="555555"/>
          <w:sz w:val="20"/>
          <w:szCs w:val="20"/>
        </w:rPr>
        <w:t xml:space="preserve">— prevents clickjacking attacks</w:t>
      </w:r>
    </w:p>
    <w:p>
      <w:pPr>
        <w:spacing w:after="60" w:before="60"/>
        <w:ind w:left="440"/>
      </w:pPr>
      <w:r>
        <w:rPr>
          <w:b/>
          <w:bCs/>
          <w:color w:val="2E7D32"/>
          <w:sz w:val="20"/>
          <w:szCs w:val="20"/>
        </w:rPr>
        <w:t xml:space="preserve">• </w:t>
      </w:r>
      <w:r>
        <w:rPr>
          <w:b/>
          <w:bCs/>
          <w:color w:val="212121"/>
          <w:sz w:val="20"/>
          <w:szCs w:val="20"/>
        </w:rPr>
        <w:t xml:space="preserve">X-Content-Type-Options: nosniff </w:t>
      </w:r>
      <w:r>
        <w:rPr>
          <w:color w:val="555555"/>
          <w:sz w:val="20"/>
          <w:szCs w:val="20"/>
        </w:rPr>
        <w:t xml:space="preserve">— prevents MIME-type sniffing</w:t>
      </w:r>
    </w:p>
    <w:p>
      <w:pPr>
        <w:spacing w:after="60" w:before="60"/>
        <w:ind w:left="440"/>
      </w:pPr>
      <w:r>
        <w:rPr>
          <w:b/>
          <w:bCs/>
          <w:color w:val="2E7D32"/>
          <w:sz w:val="20"/>
          <w:szCs w:val="20"/>
        </w:rPr>
        <w:t xml:space="preserve">• </w:t>
      </w:r>
      <w:r>
        <w:rPr>
          <w:b/>
          <w:bCs/>
          <w:color w:val="212121"/>
          <w:sz w:val="20"/>
          <w:szCs w:val="20"/>
        </w:rPr>
        <w:t xml:space="preserve">Referrer-Policy: strict-origin-when-cross-origin </w:t>
      </w:r>
      <w:r>
        <w:rPr>
          <w:color w:val="555555"/>
          <w:sz w:val="20"/>
          <w:szCs w:val="20"/>
        </w:rPr>
        <w:t xml:space="preserve">— limits referrer leakage</w:t>
      </w:r>
    </w:p>
    <w:p>
      <w:pPr>
        <w:spacing w:after="60" w:before="60"/>
        <w:ind w:left="440"/>
      </w:pPr>
      <w:r>
        <w:rPr>
          <w:b/>
          <w:bCs/>
          <w:color w:val="2E7D32"/>
          <w:sz w:val="20"/>
          <w:szCs w:val="20"/>
        </w:rPr>
        <w:t xml:space="preserve">• </w:t>
      </w:r>
      <w:r>
        <w:rPr>
          <w:b/>
          <w:bCs/>
          <w:color w:val="212121"/>
          <w:sz w:val="20"/>
          <w:szCs w:val="20"/>
        </w:rPr>
        <w:t xml:space="preserve">Permissions-Policy: geolocation=(), microphone=(), camera=() </w:t>
      </w:r>
      <w:r>
        <w:rPr>
          <w:color w:val="555555"/>
          <w:sz w:val="20"/>
          <w:szCs w:val="20"/>
        </w:rPr>
        <w:t xml:space="preserve">— restricts browser APIs</w:t>
      </w:r>
    </w:p>
    <w:p>
      <w:pPr>
        <w:spacing w:after="80" w:before="80"/>
      </w:pPr>
      <w:r>
        <w:rPr>
          <w:color w:val="555555"/>
          <w:sz w:val="20"/>
          <w:szCs w:val="20"/>
        </w:rPr>
        <w:t xml:space="preserve">Common exploit scanner paths (.env, .git/*, wp-admin/*, wp-login.php, xmlrpc.php) are blocked via Netlify redirect rules returning 404.</w:t>
      </w:r>
    </w:p>
    <w:p>
      <w:pPr>
        <w:pStyle w:val="Heading2"/>
        <w:spacing w:after="80" w:before="240"/>
      </w:pPr>
      <w:r>
        <w:rPr>
          <w:b/>
          <w:bCs/>
          <w:color w:val="212121"/>
          <w:sz w:val="22"/>
          <w:szCs w:val="22"/>
        </w:rPr>
        <w:t xml:space="preserve">9. Audit Trail — EXCELLENT</w:t>
      </w:r>
    </w:p>
    <w:p>
      <w:pPr>
        <w:spacing w:after="80" w:before="80"/>
      </w:pPr>
      <w:r>
        <w:rPr>
          <w:color w:val="555555"/>
          <w:sz w:val="20"/>
          <w:szCs w:val="20"/>
        </w:rPr>
        <w:t xml:space="preserve">Every state change to an alert is captured by Postgres triggers (alerts_audit_insert_trg, alerts_audit_update_trg) that write to alert_audit_log with the alert ID, actor user ID, action name, and a JSON diff of changed fields. Corrections are also logged as first-class audit events. The log itself is restricted to founder-editor read access. This provides a complete, immutable history of all editorial decisions.</w:t>
      </w:r>
    </w:p>
    <w:p>
      <w:pPr>
        <w:spacing w:after="80" w:before="80"/>
      </w:pPr>
      <w:r>
        <w:t xml:space="preserve"/>
      </w:r>
    </w:p>
    <w:p>
      <w:pPr>
        <w:pStyle w:val="Heading1"/>
        <w:spacing w:after="120" w:before="320"/>
      </w:pPr>
      <w:r>
        <w:rPr>
          <w:b/>
          <w:bCs/>
          <w:color w:val="2E7D32"/>
          <w:sz w:val="28"/>
          <w:szCs w:val="28"/>
        </w:rPr>
        <w:t xml:space="preserve">Low-Priority Items (No Immediate Action Required)</w:t>
      </w:r>
    </w:p>
    <w:p>
      <w:pPr>
        <w:pStyle w:val="Heading2"/>
        <w:spacing w:after="80" w:before="240"/>
      </w:pPr>
      <w:r>
        <w:rPr>
          <w:b/>
          <w:bCs/>
          <w:color w:val="212121"/>
          <w:sz w:val="22"/>
          <w:szCs w:val="22"/>
        </w:rPr>
        <w:t xml:space="preserve">Content-Security-Policy (CSP)</w:t>
      </w:r>
    </w:p>
    <w:p>
      <w:pPr>
        <w:spacing w:after="80" w:before="80"/>
      </w:pPr>
      <w:r>
        <w:rPr>
          <w:color w:val="555555"/>
          <w:sz w:val="20"/>
          <w:szCs w:val="20"/>
        </w:rPr>
        <w:t xml:space="preserve">No CSP header is present. A CSP provides defense-in-depth against XSS by whitelisting allowed script sources. The frontend depends on CDN-hosted libraries (Supabase JS, etc.), which complicates CSP configuration. Given the narrow XSS attack surface (no user-generated HTML rendering, all content fetched via the authenticated Supabase client), this is low urgency. Recommended as a future improvement once the CDN dependency list stabilizes.</w:t>
      </w:r>
    </w:p>
    <w:p>
      <w:pPr>
        <w:pStyle w:val="Heading2"/>
        <w:spacing w:after="80" w:before="240"/>
      </w:pPr>
      <w:r>
        <w:rPr>
          <w:b/>
          <w:bCs/>
          <w:color w:val="212121"/>
          <w:sz w:val="22"/>
          <w:szCs w:val="22"/>
        </w:rPr>
        <w:t xml:space="preserve">Strict-Transport-Security (HSTS)</w:t>
      </w:r>
    </w:p>
    <w:p>
      <w:pPr>
        <w:spacing w:after="80" w:before="80"/>
      </w:pPr>
      <w:r>
        <w:rPr>
          <w:color w:val="555555"/>
          <w:sz w:val="20"/>
          <w:szCs w:val="20"/>
        </w:rPr>
        <w:t xml:space="preserve">No explicit HSTS header is configured. Netlify enforces HTTPS automatically for all custom domains, providing equivalent protection in practice. Adding Strict-Transport-Security: max-age=31536000 to _headers is a low-risk one-line improvement.</w:t>
      </w:r>
    </w:p>
    <w:p>
      <w:pPr>
        <w:spacing w:after="80" w:before="80"/>
      </w:pPr>
      <w:r>
        <w:t xml:space="preserve"/>
      </w:r>
    </w:p>
    <w:p>
      <w:pPr>
        <w:pStyle w:val="Heading1"/>
        <w:spacing w:after="120" w:before="320"/>
      </w:pPr>
      <w:r>
        <w:rPr>
          <w:b/>
          <w:bCs/>
          <w:color w:val="2E7D32"/>
          <w:sz w:val="28"/>
          <w:szCs w:val="28"/>
        </w:rPr>
        <w:t xml:space="preserve">Conclusion</w:t>
      </w:r>
    </w:p>
    <w:p>
      <w:pPr>
        <w:spacing w:after="80" w:before="80"/>
      </w:pPr>
      <w:r>
        <w:rPr>
          <w:color w:val="555555"/>
          <w:sz w:val="20"/>
          <w:szCs w:val="20"/>
        </w:rPr>
        <w:t xml:space="preserve">CarcinoS has a well-designed security architecture. The Supabase RLS layer was built thoughtfully from the start, with is_founder_editor() as a clean centralized gate for all admin operations. The only material gap found — the open profiles_select policy — has been corrected. Pipeline secrets are properly managed via environment variables. The admin portal is double-gated. An audit trail captures all editorial actions immutably.</w:t>
      </w:r>
    </w:p>
    <w:p>
      <w:pPr>
        <w:spacing w:after="80" w:before="80"/>
      </w:pPr>
      <w:r>
        <w:rPr>
          <w:color w:val="555555"/>
          <w:sz w:val="20"/>
          <w:szCs w:val="20"/>
        </w:rPr>
        <w:t xml:space="preserve">No further immediate action is required. The two low-priority items (CSP, HSTS) can be addressed as time permits.</w:t>
      </w:r>
    </w:p>
    <w:p>
      <w:pPr>
        <w:spacing w:after="80" w:before="80"/>
      </w:pPr>
      <w:r>
        <w:t xml:space="preserve"/>
      </w:r>
    </w:p>
    <w:p>
      <w:pPr>
        <w:spacing w:after="0" w:before="160"/>
      </w:pPr>
      <w:r>
        <w:rPr>
          <w:i/>
          <w:iCs/>
          <w:color w:val="555555"/>
          <w:sz w:val="18"/>
          <w:szCs w:val="1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2026-08-13T16:45:57.886Z</dcterms:created>
  <dcterms:modified xsi:type="dcterms:W3CDTF">2026-08-13T16:45:57.886Z</dcterms:modified>
</cp:coreProperties>
</file>

<file path=docProps/custom.xml><?xml version="1.0" encoding="utf-8"?>
<Properties xmlns="http://schemas.openxmlformats.org/officeDocument/2006/custom-properties" xmlns:vt="http://schemas.openxmlformats.org/officeDocument/2006/docPropsVTypes"/>
</file>