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Hybrid Deterministic and Large Language Model Framework for Oncology Evidence Surveillance</w:t>
      </w:r>
    </w:p>
    <w:p>
      <w:r>
        <w:rPr>
          <w:b/>
        </w:rPr>
        <w:t>Jeff Brower, MD, PhD</w:t>
      </w:r>
    </w:p>
    <w:p>
      <w:r>
        <w:t>Department of Radiation Oncology</w:t>
      </w:r>
    </w:p>
    <w:p>
      <w:r>
        <w:t>[Institution]</w:t>
      </w:r>
    </w:p>
    <w:p>
      <w:r>
        <w:t>Corresponding author: [email]</w:t>
      </w:r>
    </w:p>
    <w:p>
      <w:pPr>
        <w:pStyle w:val="Heading1"/>
      </w:pPr>
      <w:r>
        <w:t>Abstract</w:t>
      </w:r>
    </w:p>
    <w:p>
      <w:r>
        <w:rPr>
          <w:b/>
        </w:rPr>
        <w:t>Background:</w:t>
      </w:r>
      <w:r>
        <w:t xml:space="preserve"> The volume and fragmentation of contemporary oncology literature make comprehensive evidence surveillance increasingly difficult for individual clinicians. Conventional approaches rely on journal alerts, newsletters, conference reporting, and manual review, while large language models (LLMs) offer opportunities for semantic evidence triage but remain limited by probabilistic output, inconsistent prioritization, and incomplete retrieval. We developed a hybrid surveillance framework designed to combine deterministic evidence acquisition and filtering with targeted LLM-based interpretation and physician editorial adjudication.</w:t>
      </w:r>
    </w:p>
    <w:p>
      <w:r>
        <w:rPr>
          <w:b/>
        </w:rPr>
        <w:t>Methods:</w:t>
      </w:r>
      <w:r>
        <w:t xml:space="preserve"> We developed a prospective oncology evidence-surveillance system spanning 11 oncologic disease sites. The architecture separates literature surveillance into sequential functions: multi-lane evidence acquisition, deterministic filtering and qualifying-signal detection, LLM-assisted semantic triage and classification, and physician editorial adjudication. High-priority evidence, including regulatory actions, major guideline updates, randomized trials reporting primary outcomes, and selected high-impact journal publications, is preferentially routed for semantic review. Remaining publications undergo secondary relevance triage to preserve sensitivity for clinically important evidence that does not satisfy predefined qualifying criteria. Automated classification does not determine final dissemination; a physician editor reviews candidate findings and retains final authority over inclusion and evidence tier. Surfaced findings were additionally characterized by evidence provenance, study design, and publication source to assess the composition of evidence across final physician-adjudicated tiers.</w:t>
      </w:r>
    </w:p>
    <w:p>
      <w:r>
        <w:rPr>
          <w:b/>
        </w:rPr>
        <w:t>Results:</w:t>
      </w:r>
      <w:r>
        <w:t xml:space="preserve"> During nine weekly surveillance cycles from July 20 through September 20, 2026, the system scanned 8,057 papers across 11 oncologic disease sites (mean, 895 per week; range, 591–1,192). Of these, 952 (18.6%) underwent LLM deep review and 120 (2.3% of scanned) were computationally selected for physician adjudication. Following physician editorial adjudication, 142 findings (1.76%) were ultimately disseminated. Of these, 27 (19.0%) were classified as practice-impacting, 73 (51.4%) as incremental, and 42 (29.6%) as horizon/exploratory; practice-impacting findings represented 0.33% of all papers scanned. Descriptive characterization of the final evidence set by regulatory status, guideline provenance, study design, and publication source was prespecified to assess output composition; these measures were not treated as an independent validation standard. In a prospective single-week pilot sensitivity analysis (week 5), CarcinoS demonstrated 80% sensitivity (4/5) for practice-impacting findings versus 40% (2/5) for an independent physician comparator, with a positive predictive value of 67% for CarcinoS versus 100% for the comparator.</w:t>
      </w:r>
    </w:p>
    <w:p>
      <w:r>
        <w:rPr>
          <w:b/>
        </w:rPr>
        <w:t>Conclusions:</w:t>
      </w:r>
      <w:r>
        <w:t xml:space="preserve"> A hybrid architecture that assigns deterministic methods, LLMs, and physicians to distinct components of evidence surveillance can reduce a large weekly oncology literature stream to a small set of clinically prioritized findings. Across initial prospective operation, fewer than 1.8% of scanned papers were ultimately selected for dissemination and fewer than 0.35% were classified as practice-impacting. In a prospective pilot sensitivity analysis, CarcinoS demonstrated 80% sensitivity for practice-impacting findings versus 40% for an independent physician comparator. Formal multi-week validation against an independent reference standard is needed to establish sensitivity, precision, reproducibility, and clinical utility.</w:t>
      </w:r>
    </w:p>
    <w:p>
      <w:r>
        <w:rPr>
          <w:b/>
        </w:rPr>
        <w:t>Keywords:</w:t>
      </w:r>
      <w:r>
        <w:t xml:space="preserve"> artificial intelligence; large language models; oncology; evidence surveillance; literature triage; clinical informatics</w:t>
      </w:r>
    </w:p>
    <w:p>
      <w:pPr>
        <w:pStyle w:val="Heading1"/>
      </w:pPr>
      <w:r>
        <w:t>Introduction</w:t>
      </w:r>
    </w:p>
    <w:p>
      <w:r>
        <w:t xml:space="preserve">The challenge of remaining current in oncology is increasingly one of information volume rather than information access. Approximately 50,000 oncology-relevant publications are indexed annually, distributed across hundreds of journals, conferences, regulatory announcements, and professional society communications. Conventional surveillance strategies — journal alerts, curated newsletters, and conference reviews — are inherently disease-site specific and provide incomplete cross-disciplinary coverage. The clinically actionable fraction of this literature is sparse, variable in timing, and does not concentrate in any single source.</w:t>
      </w:r>
    </w:p>
    <w:p>
      <w:r>
        <w:t xml:space="preserve">Large language models (LLMs) offer contextual interpretation of clinical relevance, but autonomous LLM-based classification introduces well-characterized failure modes, including misclassification of statistical significance as clinical importance and unreliable handling of negative or inconclusive evidence. We hypothesized that the optimal role of LLMs in evidence surveillance is not autonomous determination of clinical impact, but targeted assistance within a framework that assigns retrieval, qualifying-signal detection, and final dissemination decisions to deterministic rules and physician judgment, respectively. We report the design and nine-week prospective operating characteristics of CarcinoS, a hybrid oncology evidence-surveillance system built on this principle.</w:t>
      </w:r>
    </w:p>
    <w:p>
      <w:pPr>
        <w:pStyle w:val="Heading1"/>
      </w:pPr>
      <w:r>
        <w:t>Methods</w:t>
      </w:r>
    </w:p>
    <w:p>
      <w:pPr>
        <w:pStyle w:val="Heading2"/>
      </w:pPr>
      <w:r>
        <w:t>System Architecture</w:t>
      </w:r>
    </w:p>
    <w:p>
      <w:r>
        <w:t xml:space="preserve">The CarcinoS surveillance framework is organized around four sequential functional layers: (1) deterministic and targeted evidence acquisition; (2) deterministic exclusion and qualifying-signal detection; (3) LLM-assisted semantic triage and classification; and (4) physician editorial adjudication. Coverage spans 11 oncology domains (breast, thoracic, gastrointestinal, genitourinary, gynecologic, hematologic, neuro-oncologic, head and neck, melanoma, sarcoma, and pediatric), each implemented as a disease-site module with curated journal lists, disease-specific terminology, and a dynamically maintained active-trial registry. The framework was designed so that each layer progressively concentrates the evidence stream rather than maximizing total publication capture.</w:t>
      </w:r>
    </w:p>
    <w:p>
      <w:pPr>
        <w:pStyle w:val="Heading2"/>
      </w:pPr>
      <w:r>
        <w:t>Evidence Acquisition, Triage, and Classification</w:t>
      </w:r>
    </w:p>
    <w:p>
      <w:r>
        <w:t xml:space="preserve">Evidence is acquired through six complementary surveillance lanes: (1) high-priority journal monitoring (NEJM, JAMA, Lancet, JCO, JAMA Oncology, and related journals, which bypass the qualifying-signal gate by default); (2) disease-specific journal and PubMed queries; (3) conference abstract surveillance; (4) FDA regulatory feeds; (5) LLM-assisted web retrieval for recently released data not yet indexed in PubMed; and (6) secondary medical news monitoring used only to detect signal, not to supply content.</w:t>
      </w:r>
    </w:p>
    <w:p>
      <w:r>
        <w:t xml:space="preserve">Before semantic evaluation, candidate publications undergo sequential deterministic preprocessing including deduplication, date filtering, and disease-relevance assessment. A qualifying-signal gate then identifies evidence with structural markers of high clinical impact: FDA regulatory actions, major society guideline updates, randomized trials reporting primary endpoint results, prospective rare-disease standards, and major conference plenary presentations. Critically, journal impact factor, statistical significance, and survival outcomes alone are not considered qualifying signals — this distinction was incorporated to prevent the system from equating novelty with clinical importance.</w:t>
      </w:r>
    </w:p>
    <w:p>
      <w:r>
        <w:t xml:space="preserve">Publications meeting qualifying criteria proceed directly to deep LLM review. Those failing are routed to a lightweight secondary triage model that independently evaluates whether clinical relevance exists and generates a disease-site tag; only those advanced by this model undergo deep review. The deep-review LLM assigns each candidate to one of four categories: practice-impacting (plausible immediate treatment implication), incremental (refines existing practice without independently establishing a new standard), horizon/exploratory (potentially relevant but requiring further validation), or noise (excluded). Structured outputs include a concise summary, clinical implication, and disease-site classification. Quoted content from source abstracts is verified deterministically against the original text.</w:t>
      </w:r>
    </w:p>
    <w:p>
      <w:pPr>
        <w:pStyle w:val="Heading2"/>
      </w:pPr>
      <w:r>
        <w:t>Physician Editorial Adjudication and Evaluation</w:t>
      </w:r>
    </w:p>
    <w:p>
      <w:r>
        <w:t xml:space="preserve">Automated classification does not determine the final evidence disseminated to users. A physician editor reviews all computationally selected candidates before each weekly release, with authority to reclassify findings across tiers, suppress algorithmically selected publications, or supplement the output with manually identified evidence. All adjudication actions are prospectively logged. For the present characterization, evidence provenance and study-design features were categorized from database fields. Clinical consequence was retrospectively coded from published titles and one-line summaries into one of six categories (new treatment option, changes standard of care, supports existing standard, refinement/context, hypothesis-generating, or negative/de-implementation), independent of the pipeline's qualifying-signal classification logic. Independent external action was defined as a contemporaneous FDA approval or major society guideline issuance.</w:t>
      </w:r>
    </w:p>
    <w:p>
      <w:pPr>
        <w:pStyle w:val="Heading2"/>
      </w:pPr>
      <w:r>
        <w:t>Pilot Single-Week Sensitivity Analysis</w:t>
      </w:r>
    </w:p>
    <w:p>
      <w:r>
        <w:t xml:space="preserve">To provide a preliminary estimate of sensitivity for practice-impacting findings, a prospective single-week sensitivity analysis was conducted for the August 17, 2026 surveillance cycle (week 5). The physician editor independently identified all practice-impacting (Tier A) publications from the same source literature prior to reviewing CarcinoS output, generating a comparator evidence set. The union of CarcinoS computational Tier A designations and comparator-identified Tier A items was then reviewed to define the reference standard for that week; each item in the union was adjudicated as a true positive or false positive. Sensitivity was calculated for each source as the proportion of adjudicated reference-standard Tier A items identified. Positive predictive value (PPV) was calculated as the proportion of each source’s Tier A designations confirmed as true positives in the union review. Items captured by either source but published outside the surveillance window were classified as false positives.</w:t>
      </w:r>
    </w:p>
    <w:p>
      <w:pPr>
        <w:pStyle w:val="Heading1"/>
      </w:pPr>
      <w:r>
        <w:t>Results</w:t>
      </w:r>
    </w:p>
    <w:p>
      <w:pPr>
        <w:pStyle w:val="Heading2"/>
      </w:pPr>
      <w:r>
        <w:t>Prospective Operating Characteristics</w:t>
      </w:r>
    </w:p>
    <w:p>
      <w:r>
        <w:t xml:space="preserve">During nine weekly surveillance cycles from July 20 through September 20, 2026, the system scanned 8,057 papers across 11 disease sites. Of these, 26 (0.3%) were hard-excluded at Gate 1 for structural characteristics (duplicates, non-English text, or date-boundary violations). Of the remaining 8,031, 3,951 (49.2%) were excluded at the qualifying-signal gate; 1,103 candidates with partial or no qualifying signals underwent LLM secondary triage, of which 268 (24.3%) were advanced for deep LLM review. Following physician editorial adjudication, 142 findings (1.76% of scanned papers) were ultimately selected for dissemination.</w:t>
      </w:r>
    </w:p>
    <w:p>
      <w:r>
        <w:t xml:space="preserve">Among the 75 physician-adjudicated findings, 21 (18.4%) were classified as practice-impacting, 58 (50.9%) as incremental, and 35 (30.7%) as horizon/exploratory. The number of practice-impacting findings ranged from 0 to 7 per week (mean, 3.0). The week of August 10 produced the highest scan volume (1,192 papers) but the fewest disseminated findings (5), with no practice-impacting findings — reflecting a genuinely low-yield period rather than an artifact of quota constraints.</w:t>
      </w:r>
    </w:p>
    <w:p>
      <w:pPr>
        <w:pStyle w:val="Heading2"/>
      </w:pPr>
      <w:r>
        <w:t>Weekly Surveillance Yield</w:t>
      </w:r>
    </w:p>
    <w:tbl>
      <w:tblPr>
        <w:tblW w:type="auto" w:w="0"/>
        <w:jc w:val="center"/>
        <w:tblLook w:firstRow="1" w:firstColumn="0" w:lastRow="0" w:lastColumn="0" w:noHBand="0" w:noVBand="1" w:val="0400"/>
      </w:tblPr>
      <w:tblGrid>
        <w:gridCol w:w="1900"/>
        <w:gridCol w:w="1350"/>
        <w:gridCol w:w="1450"/>
        <w:gridCol w:w="1430"/>
        <w:gridCol w:w="1430"/>
        <w:gridCol w:w="1200"/>
      </w:tblGrid>
      <w:tr>
        <w:trPr>
          <w:tblHeader/>
        </w:trPr>
        <w:tc>
          <w:tcPr>
            <w:tcW w:type="dxa" w:w="1900"/>
            <w:vAlign w:val="center"/>
          </w:tcPr>
          <w:p>
            <w:pPr>
              <w:jc w:val="center"/>
            </w:pPr>
            <w:r>
              <w:rPr>
                <w:b/>
              </w:rPr>
              <w:t xml:space="preserve">Surveillance Week</w:t>
            </w:r>
          </w:p>
        </w:tc>
        <w:tc>
          <w:tcPr>
            <w:tcW w:type="dxa" w:w="1350"/>
            <w:vAlign w:val="center"/>
          </w:tcPr>
          <w:p>
            <w:pPr>
              <w:jc w:val="center"/>
            </w:pPr>
            <w:r>
              <w:rPr>
                <w:b/>
              </w:rPr>
              <w:t xml:space="preserve">Papers Scanned</w:t>
            </w:r>
          </w:p>
        </w:tc>
        <w:tc>
          <w:tcPr>
            <w:tcW w:type="dxa" w:w="1450"/>
            <w:vAlign w:val="center"/>
          </w:tcPr>
          <w:p>
            <w:pPr>
              <w:jc w:val="center"/>
            </w:pPr>
            <w:r>
              <w:rPr>
                <w:b/>
              </w:rPr>
              <w:t xml:space="preserve">Findings Disseminated</w:t>
            </w:r>
          </w:p>
        </w:tc>
        <w:tc>
          <w:tcPr>
            <w:tcW w:type="dxa" w:w="1430"/>
            <w:vAlign w:val="center"/>
          </w:tcPr>
          <w:p>
            <w:pPr>
              <w:jc w:val="center"/>
            </w:pPr>
            <w:r>
              <w:rPr>
                <w:b/>
              </w:rPr>
              <w:t xml:space="preserve">Practice-Impacting</w:t>
            </w:r>
          </w:p>
        </w:tc>
        <w:tc>
          <w:tcPr>
            <w:tcW w:type="dxa" w:w="1430"/>
            <w:vAlign w:val="center"/>
          </w:tcPr>
          <w:p>
            <w:pPr>
              <w:jc w:val="center"/>
            </w:pPr>
            <w:r>
              <w:rPr>
                <w:b/>
              </w:rPr>
              <w:t xml:space="preserve">Incremental</w:t>
            </w:r>
          </w:p>
        </w:tc>
        <w:tc>
          <w:tcPr>
            <w:tcW w:type="dxa" w:w="1200"/>
            <w:vAlign w:val="center"/>
          </w:tcPr>
          <w:p>
            <w:pPr>
              <w:jc w:val="center"/>
            </w:pPr>
            <w:r>
              <w:rPr>
                <w:b/>
              </w:rPr>
              <w:t xml:space="preserve">Horizon/Exploratory</w:t>
            </w:r>
          </w:p>
        </w:tc>
      </w:tr>
      <w:tr>
        <w:tc>
          <w:tcPr>
            <w:tcW w:type="dxa" w:w="1900"/>
            <w:vAlign w:val="center"/>
          </w:tcPr>
          <w:p>
            <w:pPr>
              <w:jc w:val="center"/>
            </w:pPr>
            <w:r>
              <w:t xml:space="preserve">July 20, 2026</w:t>
            </w:r>
          </w:p>
        </w:tc>
        <w:tc>
          <w:tcPr>
            <w:tcW w:type="dxa" w:w="1350"/>
            <w:vAlign w:val="center"/>
          </w:tcPr>
          <w:p>
            <w:pPr>
              <w:jc w:val="center"/>
            </w:pPr>
            <w:r>
              <w:t xml:space="preserve">934</w:t>
            </w:r>
          </w:p>
        </w:tc>
        <w:tc>
          <w:tcPr>
            <w:tcW w:type="dxa" w:w="1450"/>
            <w:vAlign w:val="center"/>
          </w:tcPr>
          <w:p>
            <w:pPr>
              <w:jc w:val="center"/>
            </w:pPr>
            <w:r>
              <w:t xml:space="preserve">26</w:t>
            </w:r>
          </w:p>
        </w:tc>
        <w:tc>
          <w:tcPr>
            <w:tcW w:type="dxa" w:w="1430"/>
            <w:vAlign w:val="center"/>
          </w:tcPr>
          <w:p>
            <w:pPr>
              <w:jc w:val="center"/>
            </w:pPr>
            <w:r>
              <w:t xml:space="preserve">7</w:t>
            </w:r>
          </w:p>
        </w:tc>
        <w:tc>
          <w:tcPr>
            <w:tcW w:type="dxa" w:w="1430"/>
            <w:vAlign w:val="center"/>
          </w:tcPr>
          <w:p>
            <w:pPr>
              <w:jc w:val="center"/>
            </w:pPr>
            <w:r>
              <w:t xml:space="preserve">11</w:t>
            </w:r>
          </w:p>
        </w:tc>
        <w:tc>
          <w:tcPr>
            <w:tcW w:type="dxa" w:w="1200"/>
            <w:vAlign w:val="center"/>
          </w:tcPr>
          <w:p>
            <w:pPr>
              <w:jc w:val="center"/>
            </w:pPr>
            <w:r>
              <w:t xml:space="preserve">8</w:t>
            </w:r>
          </w:p>
        </w:tc>
      </w:tr>
      <w:tr>
        <w:tc>
          <w:tcPr>
            <w:tcW w:type="dxa" w:w="1900"/>
            <w:vAlign w:val="center"/>
          </w:tcPr>
          <w:p>
            <w:pPr>
              <w:jc w:val="center"/>
            </w:pPr>
            <w:r>
              <w:t xml:space="preserve">July 27, 2026</w:t>
            </w:r>
          </w:p>
        </w:tc>
        <w:tc>
          <w:tcPr>
            <w:tcW w:type="dxa" w:w="1350"/>
            <w:vAlign w:val="center"/>
          </w:tcPr>
          <w:p>
            <w:pPr>
              <w:jc w:val="center"/>
            </w:pPr>
            <w:r>
              <w:t xml:space="preserve">817</w:t>
            </w:r>
          </w:p>
        </w:tc>
        <w:tc>
          <w:tcPr>
            <w:tcW w:type="dxa" w:w="1450"/>
            <w:vAlign w:val="center"/>
          </w:tcPr>
          <w:p>
            <w:pPr>
              <w:jc w:val="center"/>
            </w:pPr>
            <w:r>
              <w:t xml:space="preserve">9</w:t>
            </w:r>
          </w:p>
        </w:tc>
        <w:tc>
          <w:tcPr>
            <w:tcW w:type="dxa" w:w="1430"/>
            <w:vAlign w:val="center"/>
          </w:tcPr>
          <w:p>
            <w:pPr>
              <w:jc w:val="center"/>
            </w:pPr>
            <w:r>
              <w:t xml:space="preserve">3</w:t>
            </w:r>
          </w:p>
        </w:tc>
        <w:tc>
          <w:tcPr>
            <w:tcW w:type="dxa" w:w="1430"/>
            <w:vAlign w:val="center"/>
          </w:tcPr>
          <w:p>
            <w:pPr>
              <w:jc w:val="center"/>
            </w:pPr>
            <w:r>
              <w:t xml:space="preserve">3</w:t>
            </w:r>
          </w:p>
        </w:tc>
        <w:tc>
          <w:tcPr>
            <w:tcW w:type="dxa" w:w="1200"/>
            <w:vAlign w:val="center"/>
          </w:tcPr>
          <w:p>
            <w:pPr>
              <w:jc w:val="center"/>
            </w:pPr>
            <w:r>
              <w:t xml:space="preserve">3</w:t>
            </w:r>
          </w:p>
        </w:tc>
      </w:tr>
      <w:tr>
        <w:tc>
          <w:tcPr>
            <w:tcW w:type="dxa" w:w="1900"/>
            <w:vAlign w:val="center"/>
          </w:tcPr>
          <w:p>
            <w:pPr>
              <w:jc w:val="center"/>
            </w:pPr>
            <w:r>
              <w:t xml:space="preserve">August 3, 2026</w:t>
            </w:r>
          </w:p>
        </w:tc>
        <w:tc>
          <w:tcPr>
            <w:tcW w:type="dxa" w:w="1350"/>
            <w:vAlign w:val="center"/>
          </w:tcPr>
          <w:p>
            <w:pPr>
              <w:jc w:val="center"/>
            </w:pPr>
            <w:r>
              <w:t xml:space="preserve">1,146</w:t>
            </w:r>
          </w:p>
        </w:tc>
        <w:tc>
          <w:tcPr>
            <w:tcW w:type="dxa" w:w="1450"/>
            <w:vAlign w:val="center"/>
          </w:tcPr>
          <w:p>
            <w:pPr>
              <w:jc w:val="center"/>
            </w:pPr>
            <w:r>
              <w:t xml:space="preserve">21</w:t>
            </w:r>
          </w:p>
        </w:tc>
        <w:tc>
          <w:tcPr>
            <w:tcW w:type="dxa" w:w="1430"/>
            <w:vAlign w:val="center"/>
          </w:tcPr>
          <w:p>
            <w:pPr>
              <w:jc w:val="center"/>
            </w:pPr>
            <w:r>
              <w:t xml:space="preserve">3</w:t>
            </w:r>
          </w:p>
        </w:tc>
        <w:tc>
          <w:tcPr>
            <w:tcW w:type="dxa" w:w="1430"/>
            <w:vAlign w:val="center"/>
          </w:tcPr>
          <w:p>
            <w:pPr>
              <w:jc w:val="center"/>
            </w:pPr>
            <w:r>
              <w:t xml:space="preserve">12</w:t>
            </w:r>
          </w:p>
        </w:tc>
        <w:tc>
          <w:tcPr>
            <w:tcW w:type="dxa" w:w="1200"/>
            <w:vAlign w:val="center"/>
          </w:tcPr>
          <w:p>
            <w:pPr>
              <w:jc w:val="center"/>
            </w:pPr>
            <w:r>
              <w:t xml:space="preserve">6</w:t>
            </w:r>
          </w:p>
        </w:tc>
      </w:tr>
      <w:tr>
        <w:tc>
          <w:tcPr>
            <w:tcW w:type="dxa" w:w="1900"/>
            <w:vAlign w:val="center"/>
          </w:tcPr>
          <w:p>
            <w:pPr>
              <w:jc w:val="center"/>
            </w:pPr>
            <w:r>
              <w:t xml:space="preserve">August 10, 2026</w:t>
            </w:r>
          </w:p>
        </w:tc>
        <w:tc>
          <w:tcPr>
            <w:tcW w:type="dxa" w:w="1350"/>
            <w:vAlign w:val="center"/>
          </w:tcPr>
          <w:p>
            <w:pPr>
              <w:jc w:val="center"/>
            </w:pPr>
            <w:r>
              <w:t xml:space="preserve">1,192</w:t>
            </w:r>
          </w:p>
        </w:tc>
        <w:tc>
          <w:tcPr>
            <w:tcW w:type="dxa" w:w="1450"/>
            <w:vAlign w:val="center"/>
          </w:tcPr>
          <w:p>
            <w:pPr>
              <w:jc w:val="center"/>
            </w:pPr>
            <w:r>
              <w:t xml:space="preserve">5</w:t>
            </w:r>
          </w:p>
        </w:tc>
        <w:tc>
          <w:tcPr>
            <w:tcW w:type="dxa" w:w="1430"/>
            <w:vAlign w:val="center"/>
          </w:tcPr>
          <w:p>
            <w:pPr>
              <w:jc w:val="center"/>
            </w:pPr>
            <w:r>
              <w:t xml:space="preserve">0</w:t>
            </w:r>
          </w:p>
        </w:tc>
        <w:tc>
          <w:tcPr>
            <w:tcW w:type="dxa" w:w="1430"/>
            <w:vAlign w:val="center"/>
          </w:tcPr>
          <w:p>
            <w:pPr>
              <w:jc w:val="center"/>
            </w:pPr>
            <w:r>
              <w:t xml:space="preserve">2</w:t>
            </w:r>
          </w:p>
        </w:tc>
        <w:tc>
          <w:tcPr>
            <w:tcW w:type="dxa" w:w="1200"/>
            <w:vAlign w:val="center"/>
          </w:tcPr>
          <w:p>
            <w:pPr>
              <w:jc w:val="center"/>
            </w:pPr>
            <w:r>
              <w:t xml:space="preserve">3</w:t>
            </w:r>
          </w:p>
        </w:tc>
      </w:tr>
      <w:tr>
        <w:tc>
          <w:tcPr>
            <w:tcW w:type="dxa" w:w="1900"/>
            <w:vAlign w:val="center"/>
          </w:tcPr>
          <w:p>
            <w:pPr>
              <w:jc w:val="center"/>
            </w:pPr>
            <w:r>
              <w:t xml:space="preserve">August 17, 2026</w:t>
            </w:r>
          </w:p>
        </w:tc>
        <w:tc>
          <w:tcPr>
            <w:tcW w:type="dxa" w:w="1350"/>
            <w:vAlign w:val="center"/>
          </w:tcPr>
          <w:p>
            <w:pPr>
              <w:jc w:val="center"/>
            </w:pPr>
            <w:r>
              <w:t xml:space="preserve">1,031</w:t>
            </w:r>
          </w:p>
        </w:tc>
        <w:tc>
          <w:tcPr>
            <w:tcW w:type="dxa" w:w="1450"/>
            <w:vAlign w:val="center"/>
          </w:tcPr>
          <w:p>
            <w:pPr>
              <w:jc w:val="center"/>
            </w:pPr>
            <w:r>
              <w:t xml:space="preserve">14</w:t>
            </w:r>
          </w:p>
        </w:tc>
        <w:tc>
          <w:tcPr>
            <w:tcW w:type="dxa" w:w="1430"/>
            <w:vAlign w:val="center"/>
          </w:tcPr>
          <w:p>
            <w:pPr>
              <w:jc w:val="center"/>
            </w:pPr>
            <w:r>
              <w:t xml:space="preserve">2</w:t>
            </w:r>
          </w:p>
        </w:tc>
        <w:tc>
          <w:tcPr>
            <w:tcW w:type="dxa" w:w="1430"/>
            <w:vAlign w:val="center"/>
          </w:tcPr>
          <w:p>
            <w:pPr>
              <w:jc w:val="center"/>
            </w:pPr>
            <w:r>
              <w:t xml:space="preserve">5</w:t>
            </w:r>
          </w:p>
        </w:tc>
        <w:tc>
          <w:tcPr>
            <w:tcW w:type="dxa" w:w="1200"/>
            <w:vAlign w:val="center"/>
          </w:tcPr>
          <w:p>
            <w:pPr>
              <w:jc w:val="center"/>
            </w:pPr>
            <w:r>
              <w:t xml:space="preserve">7</w:t>
            </w:r>
          </w:p>
        </w:tc>
      </w:tr>
      <w:tr>
        <w:tc>
          <w:tcPr>
            <w:tcW w:type="dxa" w:w="1900"/>
            <w:vAlign w:val="center"/>
          </w:tcPr>
          <w:p>
            <w:pPr>
              <w:jc w:val="center"/>
            </w:pPr>
            <w:r>
              <w:t xml:space="preserve">August 24, 2026</w:t>
            </w:r>
          </w:p>
        </w:tc>
        <w:tc>
          <w:tcPr>
            <w:tcW w:type="dxa" w:w="1350"/>
            <w:vAlign w:val="center"/>
          </w:tcPr>
          <w:p>
            <w:pPr>
              <w:jc w:val="center"/>
            </w:pPr>
            <w:r>
              <w:t xml:space="preserve">591</w:t>
            </w:r>
          </w:p>
        </w:tc>
        <w:tc>
          <w:tcPr>
            <w:tcW w:type="dxa" w:w="1450"/>
            <w:vAlign w:val="center"/>
          </w:tcPr>
          <w:p>
            <w:pPr>
              <w:jc w:val="center"/>
            </w:pPr>
            <w:r>
              <w:t xml:space="preserve">20</w:t>
            </w:r>
          </w:p>
        </w:tc>
        <w:tc>
          <w:tcPr>
            <w:tcW w:type="dxa" w:w="1430"/>
            <w:vAlign w:val="center"/>
          </w:tcPr>
          <w:p>
            <w:pPr>
              <w:jc w:val="center"/>
            </w:pPr>
            <w:r>
              <w:t xml:space="preserve">4</w:t>
            </w:r>
          </w:p>
        </w:tc>
        <w:tc>
          <w:tcPr>
            <w:tcW w:type="dxa" w:w="1430"/>
            <w:vAlign w:val="center"/>
          </w:tcPr>
          <w:p>
            <w:pPr>
              <w:jc w:val="center"/>
            </w:pPr>
            <w:r>
              <w:t xml:space="preserve">10</w:t>
            </w:r>
          </w:p>
        </w:tc>
        <w:tc>
          <w:tcPr>
            <w:tcW w:type="dxa" w:w="1200"/>
            <w:vAlign w:val="center"/>
          </w:tcPr>
          <w:p>
            <w:pPr>
              <w:jc w:val="center"/>
            </w:pPr>
            <w:r>
              <w:t xml:space="preserve">6</w:t>
            </w:r>
          </w:p>
        </w:tc>
      </w:tr>
      <w:tr>
        <w:tc>
          <w:tcPr>
            <w:tcW w:type="dxa" w:w="1900"/>
            <w:vAlign w:val="center"/>
          </w:tcPr>
          <w:p>
            <w:pPr>
              <w:jc w:val="center"/>
            </w:pPr>
            <w:r>
              <w:t xml:space="preserve">September 7, 2026</w:t>
            </w:r>
          </w:p>
        </w:tc>
        <w:tc>
          <w:tcPr>
            <w:tcW w:type="dxa" w:w="1350"/>
            <w:vAlign w:val="center"/>
          </w:tcPr>
          <w:p>
            <w:pPr>
              <w:jc w:val="center"/>
            </w:pPr>
            <w:r>
              <w:t xml:space="preserve">855</w:t>
            </w:r>
          </w:p>
        </w:tc>
        <w:tc>
          <w:tcPr>
            <w:tcW w:type="dxa" w:w="1450"/>
            <w:vAlign w:val="center"/>
          </w:tcPr>
          <w:p>
            <w:pPr>
              <w:jc w:val="center"/>
            </w:pPr>
            <w:r>
              <w:t xml:space="preserve">19</w:t>
            </w:r>
          </w:p>
        </w:tc>
        <w:tc>
          <w:tcPr>
            <w:tcW w:type="dxa" w:w="1430"/>
            <w:vAlign w:val="center"/>
          </w:tcPr>
          <w:p>
            <w:pPr>
              <w:jc w:val="center"/>
            </w:pPr>
            <w:r>
              <w:t xml:space="preserve">2</w:t>
            </w:r>
          </w:p>
        </w:tc>
        <w:tc>
          <w:tcPr>
            <w:tcW w:type="dxa" w:w="1430"/>
            <w:vAlign w:val="center"/>
          </w:tcPr>
          <w:p>
            <w:pPr>
              <w:jc w:val="center"/>
            </w:pPr>
            <w:r>
              <w:t xml:space="preserve">15</w:t>
            </w:r>
          </w:p>
        </w:tc>
        <w:tc>
          <w:tcPr>
            <w:tcW w:type="dxa" w:w="1200"/>
            <w:vAlign w:val="center"/>
          </w:tcPr>
          <w:p>
            <w:pPr>
              <w:jc w:val="center"/>
            </w:pPr>
            <w:r>
              <w:t xml:space="preserve">2</w:t>
            </w:r>
          </w:p>
        </w:tc>
      </w:tr>
      <w:tr>
        <w:tc>
          <w:tcPr>
            <w:tcW w:type="dxa" w:w="1900"/>
            <w:vAlign w:val="center"/>
          </w:tcPr>
          <w:p>
            <w:pPr>
              <w:jc w:val="center"/>
            </w:pPr>
            <w:r>
              <w:t xml:space="preserve">September 13, 2026</w:t>
            </w:r>
          </w:p>
        </w:tc>
        <w:tc>
          <w:tcPr>
            <w:tcW w:type="dxa" w:w="1350"/>
            <w:vAlign w:val="center"/>
          </w:tcPr>
          <w:p>
            <w:pPr>
              <w:jc w:val="center"/>
            </w:pPr>
            <w:r>
              <w:t xml:space="preserve">829</w:t>
            </w:r>
          </w:p>
        </w:tc>
        <w:tc>
          <w:tcPr>
            <w:tcW w:type="dxa" w:w="1450"/>
            <w:vAlign w:val="center"/>
          </w:tcPr>
          <w:p>
            <w:pPr>
              <w:jc w:val="center"/>
            </w:pPr>
            <w:r>
              <w:t xml:space="preserve">13</w:t>
            </w:r>
          </w:p>
        </w:tc>
        <w:tc>
          <w:tcPr>
            <w:tcW w:type="dxa" w:w="1430"/>
            <w:vAlign w:val="center"/>
          </w:tcPr>
          <w:p>
            <w:pPr>
              <w:jc w:val="center"/>
            </w:pPr>
            <w:r>
              <w:t xml:space="preserve">3</w:t>
            </w:r>
          </w:p>
        </w:tc>
        <w:tc>
          <w:tcPr>
            <w:tcW w:type="dxa" w:w="1430"/>
            <w:vAlign w:val="center"/>
          </w:tcPr>
          <w:p>
            <w:pPr>
              <w:jc w:val="center"/>
            </w:pPr>
            <w:r>
              <w:t xml:space="preserve">8</w:t>
            </w:r>
          </w:p>
        </w:tc>
        <w:tc>
          <w:tcPr>
            <w:tcW w:type="dxa" w:w="1200"/>
            <w:vAlign w:val="center"/>
          </w:tcPr>
          <w:p>
            <w:pPr>
              <w:jc w:val="center"/>
            </w:pPr>
            <w:r>
              <w:t xml:space="preserve">2</w:t>
            </w:r>
          </w:p>
        </w:tc>
      </w:tr>
      <w:tr>
        <w:tc>
          <w:tcPr>
            <w:tcW w:type="dxa" w:w="1900"/>
            <w:vAlign w:val="center"/>
          </w:tcPr>
          <w:p>
            <w:pPr>
              <w:jc w:val="center"/>
            </w:pPr>
            <w:r>
              <w:t xml:space="preserve">September 20, 2026</w:t>
            </w:r>
          </w:p>
        </w:tc>
        <w:tc>
          <w:tcPr>
            <w:tcW w:type="dxa" w:w="1350"/>
            <w:vAlign w:val="center"/>
          </w:tcPr>
          <w:p>
            <w:pPr>
              <w:jc w:val="center"/>
            </w:pPr>
            <w:r>
              <w:t xml:space="preserve">662</w:t>
            </w:r>
          </w:p>
        </w:tc>
        <w:tc>
          <w:tcPr>
            <w:tcW w:type="dxa" w:w="1450"/>
            <w:vAlign w:val="center"/>
          </w:tcPr>
          <w:p>
            <w:pPr>
              <w:jc w:val="center"/>
            </w:pPr>
            <w:r>
              <w:t xml:space="preserve">15</w:t>
            </w:r>
          </w:p>
        </w:tc>
        <w:tc>
          <w:tcPr>
            <w:tcW w:type="dxa" w:w="1430"/>
            <w:vAlign w:val="center"/>
          </w:tcPr>
          <w:p>
            <w:pPr>
              <w:jc w:val="center"/>
            </w:pPr>
            <w:r>
              <w:t xml:space="preserve">3</w:t>
            </w:r>
          </w:p>
        </w:tc>
        <w:tc>
          <w:tcPr>
            <w:tcW w:type="dxa" w:w="1430"/>
            <w:vAlign w:val="center"/>
          </w:tcPr>
          <w:p>
            <w:pPr>
              <w:jc w:val="center"/>
            </w:pPr>
            <w:r>
              <w:t xml:space="preserve">7</w:t>
            </w:r>
          </w:p>
        </w:tc>
        <w:tc>
          <w:tcPr>
            <w:tcW w:type="dxa" w:w="1200"/>
            <w:vAlign w:val="center"/>
          </w:tcPr>
          <w:p>
            <w:pPr>
              <w:jc w:val="center"/>
            </w:pPr>
            <w:r>
              <w:t xml:space="preserve">5</w:t>
            </w:r>
          </w:p>
        </w:tc>
      </w:tr>
      <w:tr>
        <w:tc>
          <w:tcPr>
            <w:tcW w:type="dxa" w:w="1900"/>
            <w:vAlign w:val="center"/>
          </w:tcPr>
          <w:p>
            <w:pPr>
              <w:jc w:val="center"/>
            </w:pPr>
            <w:r>
              <w:rPr>
                <w:b/>
              </w:rPr>
              <w:t xml:space="preserve">Total</w:t>
            </w:r>
          </w:p>
        </w:tc>
        <w:tc>
          <w:tcPr>
            <w:tcW w:type="dxa" w:w="1350"/>
            <w:vAlign w:val="center"/>
          </w:tcPr>
          <w:p>
            <w:pPr>
              <w:jc w:val="center"/>
            </w:pPr>
            <w:r>
              <w:rPr>
                <w:b/>
              </w:rPr>
              <w:t xml:space="preserve">8,057</w:t>
            </w:r>
          </w:p>
        </w:tc>
        <w:tc>
          <w:tcPr>
            <w:tcW w:type="dxa" w:w="1450"/>
            <w:vAlign w:val="center"/>
          </w:tcPr>
          <w:p>
            <w:pPr>
              <w:jc w:val="center"/>
            </w:pPr>
            <w:r>
              <w:rPr>
                <w:b/>
              </w:rPr>
              <w:t xml:space="preserve">142</w:t>
            </w:r>
          </w:p>
        </w:tc>
        <w:tc>
          <w:tcPr>
            <w:tcW w:type="dxa" w:w="1430"/>
            <w:vAlign w:val="center"/>
          </w:tcPr>
          <w:p>
            <w:pPr>
              <w:jc w:val="center"/>
            </w:pPr>
            <w:r>
              <w:rPr>
                <w:b/>
              </w:rPr>
              <w:t xml:space="preserve">27</w:t>
            </w:r>
          </w:p>
        </w:tc>
        <w:tc>
          <w:tcPr>
            <w:tcW w:type="dxa" w:w="1430"/>
            <w:vAlign w:val="center"/>
          </w:tcPr>
          <w:p>
            <w:pPr>
              <w:jc w:val="center"/>
            </w:pPr>
            <w:r>
              <w:rPr>
                <w:b/>
              </w:rPr>
              <w:t xml:space="preserve">73</w:t>
            </w:r>
          </w:p>
        </w:tc>
        <w:tc>
          <w:tcPr>
            <w:tcW w:type="dxa" w:w="1200"/>
            <w:vAlign w:val="center"/>
          </w:tcPr>
          <w:p>
            <w:pPr>
              <w:jc w:val="center"/>
            </w:pPr>
            <w:r>
              <w:rPr>
                <w:b/>
              </w:rPr>
              <w:t xml:space="preserve">42</w:t>
            </w:r>
          </w:p>
        </w:tc>
      </w:tr>
      <w:tr>
        <w:tc>
          <w:tcPr>
            <w:tcW w:type="dxa" w:w="1900"/>
            <w:vAlign w:val="center"/>
          </w:tcPr>
          <w:p>
            <w:pPr>
              <w:jc w:val="center"/>
            </w:pPr>
            <w:r>
              <w:rPr>
                <w:b/>
              </w:rPr>
              <w:t xml:space="preserve">Mean per week</w:t>
            </w:r>
          </w:p>
        </w:tc>
        <w:tc>
          <w:tcPr>
            <w:tcW w:type="dxa" w:w="1350"/>
            <w:vAlign w:val="center"/>
          </w:tcPr>
          <w:p>
            <w:pPr>
              <w:jc w:val="center"/>
            </w:pPr>
            <w:r>
              <w:rPr>
                <w:b/>
              </w:rPr>
              <w:t xml:space="preserve">895</w:t>
            </w:r>
          </w:p>
        </w:tc>
        <w:tc>
          <w:tcPr>
            <w:tcW w:type="dxa" w:w="1450"/>
            <w:vAlign w:val="center"/>
          </w:tcPr>
          <w:p>
            <w:pPr>
              <w:jc w:val="center"/>
            </w:pPr>
            <w:r>
              <w:rPr>
                <w:b/>
              </w:rPr>
              <w:t xml:space="preserve">15.8</w:t>
            </w:r>
          </w:p>
        </w:tc>
        <w:tc>
          <w:tcPr>
            <w:tcW w:type="dxa" w:w="1430"/>
            <w:vAlign w:val="center"/>
          </w:tcPr>
          <w:p>
            <w:pPr>
              <w:jc w:val="center"/>
            </w:pPr>
            <w:r>
              <w:rPr>
                <w:b/>
              </w:rPr>
              <w:t xml:space="preserve">3.0</w:t>
            </w:r>
          </w:p>
        </w:tc>
        <w:tc>
          <w:tcPr>
            <w:tcW w:type="dxa" w:w="1430"/>
            <w:vAlign w:val="center"/>
          </w:tcPr>
          <w:p>
            <w:pPr>
              <w:jc w:val="center"/>
            </w:pPr>
            <w:r>
              <w:rPr>
                <w:b/>
              </w:rPr>
              <w:t xml:space="preserve">8.1</w:t>
            </w:r>
          </w:p>
        </w:tc>
        <w:tc>
          <w:tcPr>
            <w:tcW w:type="dxa" w:w="1200"/>
            <w:vAlign w:val="center"/>
          </w:tcPr>
          <w:p>
            <w:pPr>
              <w:jc w:val="center"/>
            </w:pPr>
            <w:r>
              <w:rPr>
                <w:b/>
              </w:rPr>
              <w:t xml:space="preserve">4.7</w:t>
            </w:r>
          </w:p>
        </w:tc>
      </w:tr>
    </w:tbl>
    <w:p>
      <w:pPr>
        <w:pStyle w:val="Heading2"/>
      </w:pPr>
      <w:r>
        <w:t>Evidence Composition and Output Characterization</w:t>
      </w:r>
    </w:p>
    <w:p>
      <w:r>
        <w:t xml:space="preserve">The 75 physician-adjudicated findings were characterized by evidence provenance and study design. Practice-impacting findings were enriched for high-impact evidence types: 3 (20.0%) represented FDA regulatory actions, 4 (26.7%) guideline updates, 8 (53.3%) randomized trials, and 12 (80.0%) arose from the prespecified major-journal group (Table 2). Because qualifying signals are pipeline inputs, their enrichment in higher tiers is expected by design and does not independently demonstrate clinical significance.</w:t>
      </w:r>
    </w:p>
    <w:p>
      <w:r>
        <w:t xml:space="preserve">To assess tier classification using variables independent of the pipeline's classification logic, clinical consequence was retrospectively coded for all 75 findings. Practice-impacting findings were classified as establishing a new treatment option or changing the standard of care in 12 of 15 cases (80.0%), compared with 14 of 33 incremental findings (42.4%) and 6 of 27 horizon/exploratory findings (22.2%). Independent external action was present in 7 of 15 practice-impacting findings (46.7%), 3 of 33 incremental findings (9.1%), and 0 horizon/exploratory findings (Table 3).</w:t>
      </w:r>
    </w:p>
    <w:tbl>
      <w:tblPr>
        <w:tblW w:type="auto" w:w="0"/>
        <w:jc w:val="center"/>
        <w:tblLook w:firstColumn="1" w:firstRow="1" w:lastColumn="0" w:lastRow="0" w:noHBand="0" w:noVBand="1" w:val="04A0"/>
      </w:tblPr>
      <w:tblGrid>
        <w:gridCol w:w="2412"/>
        <w:gridCol w:w="2412"/>
        <w:gridCol w:w="2412"/>
        <w:gridCol w:w="2412"/>
      </w:tblGrid>
      <w:tr>
        <w:tc>
          <w:tcPr>
            <w:tcW w:type="dxa" w:w="2412"/>
            <w:vAlign w:val="center"/>
          </w:tcPr>
          <w:p>
            <w:r>
              <w:rPr>
                <w:b/>
              </w:rPr>
              <w:t>Evidence characteristic</w:t>
            </w:r>
          </w:p>
        </w:tc>
        <w:tc>
          <w:tcPr>
            <w:tcW w:type="dxa" w:w="2412"/>
            <w:vAlign w:val="center"/>
          </w:tcPr>
          <w:p>
            <w:r>
              <w:rPr>
                <w:b/>
              </w:rPr>
              <w:t>Practice-impacting (n=15)</w:t>
            </w:r>
          </w:p>
        </w:tc>
        <w:tc>
          <w:tcPr>
            <w:tcW w:type="dxa" w:w="2412"/>
            <w:vAlign w:val="center"/>
          </w:tcPr>
          <w:p>
            <w:r>
              <w:rPr>
                <w:b/>
              </w:rPr>
              <w:t>Incremental (n=33)</w:t>
            </w:r>
          </w:p>
        </w:tc>
        <w:tc>
          <w:tcPr>
            <w:tcW w:type="dxa" w:w="2412"/>
            <w:vAlign w:val="center"/>
          </w:tcPr>
          <w:p>
            <w:r>
              <w:rPr>
                <w:b/>
              </w:rPr>
              <w:t>Horizon/exploratory (n=27)</w:t>
            </w:r>
          </w:p>
        </w:tc>
      </w:tr>
      <w:tr>
        <w:tc>
          <w:tcPr>
            <w:tcW w:type="dxa" w:w="2412"/>
            <w:vAlign w:val="center"/>
          </w:tcPr>
          <w:p>
            <w:r>
              <w:t>FDA/regulatory action</w:t>
            </w:r>
          </w:p>
        </w:tc>
        <w:tc>
          <w:tcPr>
            <w:tcW w:type="dxa" w:w="2412"/>
            <w:vAlign w:val="center"/>
          </w:tcPr>
          <w:p>
            <w:r>
              <w:t>3 (20.0%)</w:t>
            </w:r>
          </w:p>
        </w:tc>
        <w:tc>
          <w:tcPr>
            <w:tcW w:type="dxa" w:w="2412"/>
            <w:vAlign w:val="center"/>
          </w:tcPr>
          <w:p>
            <w:r>
              <w:t>0</w:t>
            </w:r>
          </w:p>
        </w:tc>
        <w:tc>
          <w:tcPr>
            <w:tcW w:type="dxa" w:w="2412"/>
            <w:vAlign w:val="center"/>
          </w:tcPr>
          <w:p>
            <w:r>
              <w:t>0</w:t>
            </w:r>
          </w:p>
        </w:tc>
      </w:tr>
      <w:tr>
        <w:tc>
          <w:tcPr>
            <w:tcW w:type="dxa" w:w="2412"/>
            <w:vAlign w:val="center"/>
          </w:tcPr>
          <w:p>
            <w:r>
              <w:t>Guideline/consensus update</w:t>
            </w:r>
          </w:p>
        </w:tc>
        <w:tc>
          <w:tcPr>
            <w:tcW w:type="dxa" w:w="2412"/>
            <w:vAlign w:val="center"/>
          </w:tcPr>
          <w:p>
            <w:r>
              <w:t>4 (26.7%)</w:t>
            </w:r>
          </w:p>
        </w:tc>
        <w:tc>
          <w:tcPr>
            <w:tcW w:type="dxa" w:w="2412"/>
            <w:vAlign w:val="center"/>
          </w:tcPr>
          <w:p>
            <w:r>
              <w:t>2 (6.1%)</w:t>
            </w:r>
          </w:p>
        </w:tc>
        <w:tc>
          <w:tcPr>
            <w:tcW w:type="dxa" w:w="2412"/>
            <w:vAlign w:val="center"/>
          </w:tcPr>
          <w:p>
            <w:r>
              <w:t>0</w:t>
            </w:r>
          </w:p>
        </w:tc>
      </w:tr>
      <w:tr>
        <w:tc>
          <w:tcPr>
            <w:tcW w:type="dxa" w:w="2412"/>
            <w:vAlign w:val="center"/>
          </w:tcPr>
          <w:p>
            <w:r>
              <w:t>Randomized clinical trial</w:t>
            </w:r>
          </w:p>
        </w:tc>
        <w:tc>
          <w:tcPr>
            <w:tcW w:type="dxa" w:w="2412"/>
            <w:vAlign w:val="center"/>
          </w:tcPr>
          <w:p>
            <w:r>
              <w:t>8 (53.3%)</w:t>
            </w:r>
          </w:p>
        </w:tc>
        <w:tc>
          <w:tcPr>
            <w:tcW w:type="dxa" w:w="2412"/>
            <w:vAlign w:val="center"/>
          </w:tcPr>
          <w:p>
            <w:r>
              <w:t>27 (81.8%)</w:t>
            </w:r>
          </w:p>
        </w:tc>
        <w:tc>
          <w:tcPr>
            <w:tcW w:type="dxa" w:w="2412"/>
            <w:vAlign w:val="center"/>
          </w:tcPr>
          <w:p>
            <w:r>
              <w:t>7 (25.9%)</w:t>
            </w:r>
          </w:p>
        </w:tc>
      </w:tr>
      <w:tr>
        <w:tc>
          <w:tcPr>
            <w:tcW w:type="dxa" w:w="2412"/>
            <w:vAlign w:val="center"/>
          </w:tcPr>
          <w:p>
            <w:r>
              <w:t>Prospective nonrandomized trial</w:t>
            </w:r>
          </w:p>
        </w:tc>
        <w:tc>
          <w:tcPr>
            <w:tcW w:type="dxa" w:w="2412"/>
            <w:vAlign w:val="center"/>
          </w:tcPr>
          <w:p>
            <w:r>
              <w:t>0</w:t>
            </w:r>
          </w:p>
        </w:tc>
        <w:tc>
          <w:tcPr>
            <w:tcW w:type="dxa" w:w="2412"/>
            <w:vAlign w:val="center"/>
          </w:tcPr>
          <w:p>
            <w:r>
              <w:t>2 (6.1%)</w:t>
            </w:r>
          </w:p>
        </w:tc>
        <w:tc>
          <w:tcPr>
            <w:tcW w:type="dxa" w:w="2412"/>
            <w:vAlign w:val="center"/>
          </w:tcPr>
          <w:p>
            <w:r>
              <w:t>12 (44.4%)</w:t>
            </w:r>
          </w:p>
        </w:tc>
      </w:tr>
      <w:tr>
        <w:tc>
          <w:tcPr>
            <w:tcW w:type="dxa" w:w="2412"/>
            <w:vAlign w:val="center"/>
          </w:tcPr>
          <w:p>
            <w:r>
              <w:t>Retrospective/observational study</w:t>
            </w:r>
          </w:p>
        </w:tc>
        <w:tc>
          <w:tcPr>
            <w:tcW w:type="dxa" w:w="2412"/>
            <w:vAlign w:val="center"/>
          </w:tcPr>
          <w:p>
            <w:r>
              <w:t>0</w:t>
            </w:r>
          </w:p>
        </w:tc>
        <w:tc>
          <w:tcPr>
            <w:tcW w:type="dxa" w:w="2412"/>
            <w:vAlign w:val="center"/>
          </w:tcPr>
          <w:p>
            <w:r>
              <w:t>1 (3.0%)</w:t>
            </w:r>
          </w:p>
        </w:tc>
        <w:tc>
          <w:tcPr>
            <w:tcW w:type="dxa" w:w="2412"/>
            <w:vAlign w:val="center"/>
          </w:tcPr>
          <w:p>
            <w:r>
              <w:t>6 (22.2%)</w:t>
            </w:r>
          </w:p>
        </w:tc>
      </w:tr>
      <w:tr>
        <w:tc>
          <w:tcPr>
            <w:tcW w:type="dxa" w:w="2412"/>
            <w:vAlign w:val="center"/>
          </w:tcPr>
          <w:p>
            <w:r>
              <w:t>Prespecified major-journal publication</w:t>
            </w:r>
          </w:p>
        </w:tc>
        <w:tc>
          <w:tcPr>
            <w:tcW w:type="dxa" w:w="2412"/>
            <w:vAlign w:val="center"/>
          </w:tcPr>
          <w:p>
            <w:r>
              <w:t>12 (80.0%)</w:t>
            </w:r>
          </w:p>
        </w:tc>
        <w:tc>
          <w:tcPr>
            <w:tcW w:type="dxa" w:w="2412"/>
            <w:vAlign w:val="center"/>
          </w:tcPr>
          <w:p>
            <w:r>
              <w:t>21 (63.6%)</w:t>
            </w:r>
          </w:p>
        </w:tc>
        <w:tc>
          <w:tcPr>
            <w:tcW w:type="dxa" w:w="2412"/>
            <w:vAlign w:val="center"/>
          </w:tcPr>
          <w:p>
            <w:r>
              <w:t>6 (22.2%)</w:t>
            </w:r>
          </w:p>
        </w:tc>
      </w:tr>
      <w:tr>
        <w:tc>
          <w:tcPr>
            <w:tcW w:type="dxa" w:w="2412"/>
            <w:vAlign w:val="center"/>
          </w:tcPr>
          <w:p>
            <w:r>
              <w:t>Meta-analysis/systematic review</w:t>
            </w:r>
          </w:p>
        </w:tc>
        <w:tc>
          <w:tcPr>
            <w:tcW w:type="dxa" w:w="2412"/>
            <w:vAlign w:val="center"/>
          </w:tcPr>
          <w:p>
            <w:r>
              <w:t>0</w:t>
            </w:r>
          </w:p>
        </w:tc>
        <w:tc>
          <w:tcPr>
            <w:tcW w:type="dxa" w:w="2412"/>
            <w:vAlign w:val="center"/>
          </w:tcPr>
          <w:p>
            <w:r>
              <w:t>0</w:t>
            </w:r>
          </w:p>
        </w:tc>
        <w:tc>
          <w:tcPr>
            <w:tcW w:type="dxa" w:w="2412"/>
            <w:vAlign w:val="center"/>
          </w:tcPr>
          <w:p>
            <w:r>
              <w:t>2 (7.4%)</w:t>
            </w:r>
          </w:p>
        </w:tc>
      </w:tr>
    </w:tbl>
    <w:p>
      <w:pPr>
        <w:rPr>
          <w:i/>
        </w:rPr>
      </w:pPr>
      <w:r>
        <w:rPr>
          <w:i/>
        </w:rPr>
        <w:t xml:space="preserve">Table 2. Composition of physician-adjudicated findings by final evidence tier. Categories may be non-mutually exclusive where a finding meets more than one evidence characteristic.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rPr>
          <w:tblHeader/>
        </w:trPr>
        <w:tc>
          <w:tcPr>
            <w:gridSpan w:val="1"/>
            <w:tcBorders>
              <w:top w:val="single" w:color="BFBFBF" w:sz="1"/>
              <w:left w:val="single" w:color="BFBFBF" w:sz="1"/>
              <w:bottom w:val="single" w:color="BFBFBF" w:sz="1"/>
              <w:right w:val="single" w:color="BFBFBF"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color w:val="1F4E79"/>
                <w:sz w:val="18"/>
                <w:szCs w:val="18"/>
              </w:rPr>
              <w:t xml:space="preserve">Characteristic</w:t>
            </w:r>
          </w:p>
        </w:tc>
        <w:tc>
          <w:tcPr>
            <w:gridSpan w:val="1"/>
            <w:tcBorders>
              <w:top w:val="single" w:color="BFBFBF" w:sz="1"/>
              <w:left w:val="single" w:color="BFBFBF" w:sz="1"/>
              <w:bottom w:val="single" w:color="BFBFBF" w:sz="1"/>
              <w:right w:val="single" w:color="BFBFBF"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color w:val="1F4E79"/>
                <w:sz w:val="18"/>
                <w:szCs w:val="18"/>
              </w:rPr>
              <w:t xml:space="preserve">Tier A (n = 15)</w:t>
            </w:r>
          </w:p>
        </w:tc>
        <w:tc>
          <w:tcPr>
            <w:gridSpan w:val="1"/>
            <w:tcBorders>
              <w:top w:val="single" w:color="BFBFBF" w:sz="1"/>
              <w:left w:val="single" w:color="BFBFBF" w:sz="1"/>
              <w:bottom w:val="single" w:color="BFBFBF" w:sz="1"/>
              <w:right w:val="single" w:color="BFBFBF"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color w:val="1F4E79"/>
                <w:sz w:val="18"/>
                <w:szCs w:val="18"/>
              </w:rPr>
              <w:t xml:space="preserve">Tier B (n = 33)</w:t>
            </w:r>
          </w:p>
        </w:tc>
        <w:tc>
          <w:tcPr>
            <w:gridSpan w:val="1"/>
            <w:tcBorders>
              <w:top w:val="single" w:color="BFBFBF" w:sz="1"/>
              <w:left w:val="single" w:color="BFBFBF" w:sz="1"/>
              <w:bottom w:val="single" w:color="BFBFBF" w:sz="1"/>
              <w:right w:val="single" w:color="BFBFBF"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color w:val="1F4E79"/>
                <w:sz w:val="18"/>
                <w:szCs w:val="18"/>
              </w:rPr>
              <w:t xml:space="preserve">Tier C (n = 27)</w:t>
            </w:r>
          </w:p>
        </w:tc>
        <w:tc>
          <w:tcPr>
            <w:gridSpan w:val="1"/>
            <w:tcBorders>
              <w:top w:val="single" w:color="BFBFBF" w:sz="1"/>
              <w:left w:val="single" w:color="BFBFBF" w:sz="1"/>
              <w:bottom w:val="single" w:color="BFBFBF" w:sz="1"/>
              <w:right w:val="single" w:color="BFBFBF" w:sz="1"/>
            </w:tcBorders>
            <w:shd w:fill="D9E1F2" w:val="clear"/>
            <w:tcMar>
              <w:top w:type="dxa" w:w="60"/>
              <w:left w:type="dxa" w:w="100"/>
              <w:bottom w:type="dxa" w:w="60"/>
              <w:right w:type="dxa" w:w="100"/>
            </w:tcMar>
          </w:tcPr>
          <w:p>
            <w:pPr>
              <w:jc w:val="center"/>
            </w:pPr>
            <w:r>
              <w:rPr>
                <w:rFonts w:ascii="Times New Roman" w:cs="Times New Roman" w:eastAsia="Times New Roman" w:hAnsi="Times New Roman"/>
                <w:b/>
                <w:bCs/>
                <w:color w:val="1F4E79"/>
                <w:sz w:val="18"/>
                <w:szCs w:val="18"/>
              </w:rPr>
              <w:t xml:space="preserve">Total (n = 75)</w:t>
            </w:r>
          </w:p>
        </w:tc>
      </w:tr>
      <w:tr>
        <w:tc>
          <w:tcPr>
            <w:gridSpan w:val="5"/>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1F4E79"/>
                <w:sz w:val="18"/>
                <w:szCs w:val="18"/>
              </w:rPr>
              <w:t xml:space="preserve">Evidence Source</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FDA/Regulatory action</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(20.0%)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(4.0%)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Guideline/consensus update</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 (26.7%)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 (6.1%)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(8.0%)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Peer-reviewed study</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8 (53.3%)</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31 (93.9%)</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27 (100%)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66 (88.0%)</w:t>
            </w:r>
          </w:p>
        </w:tc>
      </w:tr>
      <w:tr>
        <w:tc>
          <w:tcPr>
            <w:gridSpan w:val="5"/>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1F4E79"/>
                <w:sz w:val="18"/>
                <w:szCs w:val="18"/>
              </w:rPr>
              <w:t xml:space="preserve">Study Design</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Phase III RCT</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8 (53.3%)</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22 (66.7%)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 (18.5%)</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35 (46.7%)</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Phase II trial</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7 (21.2%)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13 (48.1%)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20 (26.7%)</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Phase I trial</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(3.7%)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(1.3%)</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Observational cohort</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(3.0%)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(22.2%)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7 (9.3%)</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Meta-analysis/systematic review</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 (7.4%)</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 (2.7%)</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Guideline/consensus</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 (26.7%)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 (6.1%)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(8.0%)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Regulatory action</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(20.0%)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(4.0%)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Not reported†</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(3.0%)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(1.3%)</w:t>
            </w:r>
          </w:p>
        </w:tc>
      </w:tr>
      <w:tr>
        <w:tc>
          <w:tcPr>
            <w:gridSpan w:val="5"/>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1F4E79"/>
                <w:sz w:val="18"/>
                <w:szCs w:val="18"/>
              </w:rPr>
              <w:t xml:space="preserve">Clinical Consequence‡</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New treatment option</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(40.0%)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(18.2%)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 (18.5%)</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17 (22.7%)</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Changes standard of care</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(40.0%)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8 (24.2%)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(3.7%)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15 (20.0%)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Supports existing standard</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 (13.3%)</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(18.2%)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(11.1%)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11 (14.7%)</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Refinement/context</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 (15.2%)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9 (33.3%)</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14 (18.7%)</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Hypothesis-generating</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(9.1%)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9 (33.3%)</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12 (16.0%)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Negative/de-implementation</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(6.7%)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 (15.2%)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(8.0%)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000000"/>
                <w:sz w:val="18"/>
                <w:szCs w:val="18"/>
              </w:rPr>
              <w:t xml:space="preserve">  New treatment option or changes standard</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12 (80.0%)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14 (42.4%)</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6 (22.2%)</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32 (42.7%)</w:t>
            </w:r>
          </w:p>
        </w:tc>
      </w:tr>
      <w:tr>
        <w:tc>
          <w:tcPr>
            <w:gridSpan w:val="5"/>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1F4E79"/>
                <w:sz w:val="18"/>
                <w:szCs w:val="18"/>
              </w:rPr>
              <w:t xml:space="preserve">Independent External Action‡</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FDA approval or label change</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3 (20.0%)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 (3.0%)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 (5.3%)</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Major guideline issuance</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 (26.7%)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 (6.1%)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6 (8.0%)</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bCs/>
                <w:color w:val="000000"/>
                <w:sz w:val="18"/>
                <w:szCs w:val="18"/>
              </w:rPr>
              <w:t xml:space="preserve">  Any independent external action</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7 (46.7%)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3 (9.1%)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0 (0%)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bCs/>
                <w:color w:val="000000"/>
                <w:sz w:val="18"/>
                <w:szCs w:val="18"/>
              </w:rPr>
              <w:t xml:space="preserve">10 (13.3%)</w:t>
            </w:r>
          </w:p>
        </w:tc>
      </w:tr>
      <w:tr>
        <w:tc>
          <w:tcPr>
            <w:gridSpan w:val="5"/>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tcPr>
          <w:p>
            <w:pPr>
              <w:jc w:val="left"/>
            </w:pPr>
            <w:r>
              <w:rPr>
                <w:rFonts w:ascii="Times New Roman" w:cs="Times New Roman" w:eastAsia="Times New Roman" w:hAnsi="Times New Roman"/>
                <w:b/>
                <w:bCs/>
                <w:color w:val="1F4E79"/>
                <w:sz w:val="18"/>
                <w:szCs w:val="18"/>
              </w:rPr>
              <w:t xml:space="preserve">High-Consequence Characteristic (Composite)§</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Yes</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15 (100%)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29 (87.9%)</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11 (40.7%)</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55 (73.3%)</w:t>
            </w:r>
          </w:p>
        </w:tc>
      </w:tr>
      <w:tr>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left"/>
            </w:pPr>
            <w:r>
              <w:rPr>
                <w:rFonts w:ascii="Times New Roman" w:cs="Times New Roman" w:eastAsia="Times New Roman" w:hAnsi="Times New Roman"/>
                <w:b w:val="false"/>
                <w:bCs w:val="false"/>
                <w:color w:val="000000"/>
                <w:sz w:val="18"/>
                <w:szCs w:val="18"/>
              </w:rPr>
              <w:t xml:space="preserve">  No</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0</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4 (12.1%)</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16 (59.3%)</w:t>
            </w:r>
          </w:p>
        </w:tc>
        <w:tc>
          <w:tcPr>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tcPr>
          <w:p>
            <w:pPr>
              <w:jc w:val="center"/>
            </w:pPr>
            <w:r>
              <w:rPr>
                <w:rFonts w:ascii="Times New Roman" w:cs="Times New Roman" w:eastAsia="Times New Roman" w:hAnsi="Times New Roman"/>
                <w:b w:val="false"/>
                <w:bCs w:val="false"/>
                <w:color w:val="000000"/>
                <w:sz w:val="18"/>
                <w:szCs w:val="18"/>
              </w:rPr>
              <w:t xml:space="preserve">20 (26.7%)</w:t>
            </w:r>
          </w:p>
        </w:tc>
      </w:tr>
    </w:tbl>
    <w:p>
      <w:pPr>
        <w:rPr>
          <w:i/>
        </w:rPr>
      </w:pPr>
      <w:r>
        <w:rPr>
          <w:i/>
        </w:rPr>
        <w:t xml:space="preserve">Table 3. Evidence characteristics of 75 physician-adjudicated findings by computational tier. †One Tier B finding (five-year STELLAR trial update) was manually curated; study design not pipeline-captured. ‡Coded retrospectively from published summaries, independent of pipeline qualifying-signal logic. §High-consequence composite: ≥1 of: FDA action; major guideline issuance; randomized trial (Phase II/III) reporting a primary clinical outcome; prospective rare-disease standard.</w:t>
      </w:r>
    </w:p>
    <w:p>
      <w:pPr>
        <w:pStyle w:val="Heading2"/>
      </w:pPr>
      <w:r>
        <w:t>Pilot Single-Week Sensitivity Analysis</w:t>
      </w:r>
    </w:p>
    <w:p>
      <w:r>
        <w:t xml:space="preserve">A prospective single-week sensitivity analysis was performed for the August 17, 2026 surveillance cycle (week 5). Independent physician review and CarcinoS output together identified 5 true practice-impacting (Tier A) findings in the union. CarcinoS identified 4 of 5 reference-standard Tier A items (sensitivity, 80%), compared with 2 of 5 for the independent comparator (sensitivity, 40%). One Tier A finding was concordantly identified by both sources: the imlunestrant plus abemaciclib FDA approval. CarcinoS exclusively identified three true Tier A findings not captured by the independent comparator: the daraxonrasib FDA approval, a blinatumomab indication for pediatric ALL, and a colonoscopy surveillance interval update. The independent comparator exclusively identified one true Tier A finding not captured by CarcinoS: the Pixclara/18F-FET PET FDA approval for glioma imaging. CarcinoS generated 2 Tier A false positives (PPV, 67%; 4/6): both were items published outside the surveillance window (a tambotatug pelitecan approval on September 12 and an ACS blood-test cancer screening guideline update on September 8), which would be captured in subsequent weeks’ surveillance. The independent comparator generated no false positives (PPV, 100%; 2/2). For Tier B/C findings, CarcinoS retrieved approximately 6 items versus 1 for the independent comparator, with no concordant B/C identifications (Table 4).</w:t>
      </w:r>
    </w:p>
    <w:p>
      <w:r>
        <w:rPr>
          <w:i/>
        </w:rPr>
        <w:t xml:space="preserve">Table 4. Pilot single-week sensitivity analysis: August 17, 2026 (week 5). *CarcinoS flagged 6 total Tier A items; 4 were confirmed true positives within the validation window and 2 were published outside the validation window.</w:t>
      </w:r>
    </w:p>
    <w:tbl>
      <w:tblPr>
        <w:tblW w:type="auto" w:w="0"/>
        <w:jc w:val="center"/>
        <w:tblLook w:firstColumn="1" w:firstRow="1" w:lastColumn="0" w:lastRow="0" w:noHBand="0" w:noVBand="1" w:val="04A0"/>
      </w:tblPr>
      <w:tblGrid>
        <w:gridCol w:w="2400"/>
        <w:gridCol w:w="1440"/>
        <w:gridCol w:w="1200"/>
        <w:gridCol w:w="4608"/>
      </w:tblGrid>
      <w:tr>
        <w:tc>
          <w:tcPr>
            <w:tcW w:type="dxa" w:w="2400"/>
            <w:vAlign w:val="center"/>
          </w:tcPr>
          <w:p>
            <w:pPr>
              <w:jc w:val="left"/>
            </w:pPr>
            <w:r>
              <w:rPr>
                <w:b/>
              </w:rPr>
              <w:t xml:space="preserve">Validation field</w:t>
            </w:r>
          </w:p>
        </w:tc>
        <w:tc>
          <w:tcPr>
            <w:tcW w:type="dxa" w:w="1440"/>
            <w:vAlign w:val="center"/>
          </w:tcPr>
          <w:p>
            <w:pPr>
              <w:jc w:val="left"/>
            </w:pPr>
            <w:r>
              <w:rPr>
                <w:b/>
              </w:rPr>
              <w:t xml:space="preserve">Independent comparator (me)</w:t>
            </w:r>
          </w:p>
        </w:tc>
        <w:tc>
          <w:tcPr>
            <w:tcW w:type="dxa" w:w="1200"/>
            <w:vAlign w:val="center"/>
          </w:tcPr>
          <w:p>
            <w:pPr>
              <w:jc w:val="left"/>
            </w:pPr>
            <w:r>
              <w:rPr>
                <w:b/>
              </w:rPr>
              <w:t xml:space="preserve">CarcinoS</w:t>
            </w:r>
          </w:p>
        </w:tc>
        <w:tc>
          <w:tcPr>
            <w:tcW w:type="dxa" w:w="4608"/>
            <w:vAlign w:val="center"/>
          </w:tcPr>
          <w:p>
            <w:pPr>
              <w:jc w:val="left"/>
            </w:pPr>
            <w:r>
              <w:rPr>
                <w:b/>
              </w:rPr>
              <w:t xml:space="preserve">Adjudicated result</w:t>
            </w:r>
          </w:p>
        </w:tc>
      </w:tr>
      <w:tr>
        <w:tc>
          <w:tcPr>
            <w:tcW w:type="dxa" w:w="2400"/>
            <w:vAlign w:val="center"/>
          </w:tcPr>
          <w:p>
            <w:pPr>
              <w:jc w:val="left"/>
            </w:pPr>
            <w:r>
              <w:t xml:space="preserve">Practice-impacting items identified</w:t>
            </w:r>
          </w:p>
        </w:tc>
        <w:tc>
          <w:tcPr>
            <w:tcW w:type="dxa" w:w="1440"/>
            <w:vAlign w:val="center"/>
          </w:tcPr>
          <w:p>
            <w:pPr>
              <w:jc w:val="left"/>
            </w:pPr>
            <w:r>
              <w:t xml:space="preserve">2</w:t>
            </w:r>
          </w:p>
        </w:tc>
        <w:tc>
          <w:tcPr>
            <w:tcW w:type="dxa" w:w="1200"/>
            <w:vAlign w:val="center"/>
          </w:tcPr>
          <w:p>
            <w:pPr>
              <w:jc w:val="left"/>
            </w:pPr>
            <w:r>
              <w:t xml:space="preserve">4*</w:t>
            </w:r>
          </w:p>
        </w:tc>
        <w:tc>
          <w:tcPr>
            <w:tcW w:type="dxa" w:w="4608"/>
            <w:vAlign w:val="center"/>
          </w:tcPr>
          <w:p>
            <w:pPr>
              <w:jc w:val="left"/>
            </w:pPr>
            <w:r>
              <w:t xml:space="preserve">5 true Tier A in union</w:t>
            </w:r>
          </w:p>
        </w:tc>
      </w:tr>
      <w:tr>
        <w:tc>
          <w:tcPr>
            <w:tcW w:type="dxa" w:w="2400"/>
            <w:vAlign w:val="center"/>
          </w:tcPr>
          <w:p>
            <w:pPr>
              <w:jc w:val="left"/>
            </w:pPr>
            <w:r>
              <w:t xml:space="preserve">True Tier A found</w:t>
            </w:r>
          </w:p>
        </w:tc>
        <w:tc>
          <w:tcPr>
            <w:tcW w:type="dxa" w:w="1440"/>
            <w:vAlign w:val="center"/>
          </w:tcPr>
          <w:p>
            <w:pPr>
              <w:jc w:val="left"/>
            </w:pPr>
            <w:r>
              <w:t xml:space="preserve">2/5 (40%)</w:t>
            </w:r>
          </w:p>
        </w:tc>
        <w:tc>
          <w:tcPr>
            <w:tcW w:type="dxa" w:w="1200"/>
            <w:vAlign w:val="center"/>
          </w:tcPr>
          <w:p>
            <w:pPr>
              <w:jc w:val="left"/>
            </w:pPr>
            <w:r>
              <w:t xml:space="preserve">4/5 (80%)</w:t>
            </w:r>
          </w:p>
        </w:tc>
        <w:tc>
          <w:tcPr>
            <w:tcW w:type="dxa" w:w="4608"/>
            <w:vAlign w:val="center"/>
          </w:tcPr>
          <w:p>
            <w:pPr>
              <w:jc w:val="left"/>
            </w:pPr>
            <w:r>
              <w:t xml:space="preserve">Comparator 40%; CarcinoS 80%</w:t>
            </w:r>
          </w:p>
        </w:tc>
      </w:tr>
      <w:tr>
        <w:tc>
          <w:tcPr>
            <w:tcW w:type="dxa" w:w="2400"/>
            <w:vAlign w:val="center"/>
          </w:tcPr>
          <w:p>
            <w:pPr>
              <w:jc w:val="left"/>
            </w:pPr>
            <w:r>
              <w:t xml:space="preserve">Concordant Tier A</w:t>
            </w:r>
          </w:p>
        </w:tc>
        <w:tc>
          <w:tcPr>
            <w:tcW w:type="dxa" w:w="1440"/>
            <w:vAlign w:val="center"/>
          </w:tcPr>
          <w:p>
            <w:pPr>
              <w:jc w:val="left"/>
            </w:pPr>
            <w:r>
              <w:t xml:space="preserve">1</w:t>
            </w:r>
          </w:p>
        </w:tc>
        <w:tc>
          <w:tcPr>
            <w:tcW w:type="dxa" w:w="1200"/>
            <w:vAlign w:val="center"/>
          </w:tcPr>
          <w:p>
            <w:pPr>
              <w:jc w:val="left"/>
            </w:pPr>
            <w:r>
              <w:t xml:space="preserve">1</w:t>
            </w:r>
          </w:p>
        </w:tc>
        <w:tc>
          <w:tcPr>
            <w:tcW w:type="dxa" w:w="4608"/>
            <w:vAlign w:val="center"/>
          </w:tcPr>
          <w:p>
            <w:pPr>
              <w:jc w:val="left"/>
            </w:pPr>
            <w:r>
              <w:t xml:space="preserve">Imlunestrant + abemaciclib FDA</w:t>
            </w:r>
          </w:p>
        </w:tc>
      </w:tr>
      <w:tr>
        <w:tc>
          <w:tcPr>
            <w:tcW w:type="dxa" w:w="2400"/>
            <w:vAlign w:val="center"/>
          </w:tcPr>
          <w:p>
            <w:pPr>
              <w:jc w:val="left"/>
            </w:pPr>
            <w:r>
              <w:t xml:space="preserve">CarcinoS-only true Tier A</w:t>
            </w:r>
          </w:p>
        </w:tc>
        <w:tc>
          <w:tcPr>
            <w:tcW w:type="dxa" w:w="1440"/>
            <w:vAlign w:val="center"/>
          </w:tcPr>
          <w:p>
            <w:pPr>
              <w:jc w:val="left"/>
            </w:pPr>
            <w:r>
              <w:t xml:space="preserve">—</w:t>
            </w:r>
          </w:p>
        </w:tc>
        <w:tc>
          <w:tcPr>
            <w:tcW w:type="dxa" w:w="1200"/>
            <w:vAlign w:val="center"/>
          </w:tcPr>
          <w:p>
            <w:pPr>
              <w:jc w:val="left"/>
            </w:pPr>
            <w:r>
              <w:t xml:space="preserve">3</w:t>
            </w:r>
          </w:p>
        </w:tc>
        <w:tc>
          <w:tcPr>
            <w:tcW w:type="dxa" w:w="4608"/>
            <w:vAlign w:val="center"/>
          </w:tcPr>
          <w:p>
            <w:pPr>
              <w:jc w:val="left"/>
            </w:pPr>
            <w:r>
              <w:t xml:space="preserve">Daraxonrasib FDA; blinatumomab pediatric ALL; 5-y vs 3-y colonoscopy surveillance</w:t>
            </w:r>
          </w:p>
        </w:tc>
      </w:tr>
      <w:tr>
        <w:tc>
          <w:tcPr>
            <w:tcW w:type="dxa" w:w="2400"/>
            <w:vAlign w:val="center"/>
          </w:tcPr>
          <w:p>
            <w:pPr>
              <w:jc w:val="left"/>
            </w:pPr>
            <w:r>
              <w:t xml:space="preserve">Comparator-only true Tier A</w:t>
            </w:r>
          </w:p>
        </w:tc>
        <w:tc>
          <w:tcPr>
            <w:tcW w:type="dxa" w:w="1440"/>
            <w:vAlign w:val="center"/>
          </w:tcPr>
          <w:p>
            <w:pPr>
              <w:jc w:val="left"/>
            </w:pPr>
            <w:r>
              <w:t xml:space="preserve">1</w:t>
            </w:r>
          </w:p>
        </w:tc>
        <w:tc>
          <w:tcPr>
            <w:tcW w:type="dxa" w:w="1200"/>
            <w:vAlign w:val="center"/>
          </w:tcPr>
          <w:p>
            <w:pPr>
              <w:jc w:val="left"/>
            </w:pPr>
            <w:r>
              <w:t xml:space="preserve">—</w:t>
            </w:r>
          </w:p>
        </w:tc>
        <w:tc>
          <w:tcPr>
            <w:tcW w:type="dxa" w:w="4608"/>
            <w:vAlign w:val="center"/>
          </w:tcPr>
          <w:p>
            <w:pPr>
              <w:jc w:val="left"/>
            </w:pPr>
            <w:r>
              <w:t xml:space="preserve">Pixclara / 18F-FET PET FDA</w:t>
            </w:r>
          </w:p>
        </w:tc>
      </w:tr>
      <w:tr>
        <w:tc>
          <w:tcPr>
            <w:tcW w:type="dxa" w:w="2400"/>
            <w:vAlign w:val="center"/>
          </w:tcPr>
          <w:p>
            <w:pPr>
              <w:jc w:val="left"/>
            </w:pPr>
            <w:r>
              <w:t xml:space="preserve">Tier A false positives</w:t>
            </w:r>
          </w:p>
        </w:tc>
        <w:tc>
          <w:tcPr>
            <w:tcW w:type="dxa" w:w="1440"/>
            <w:vAlign w:val="center"/>
          </w:tcPr>
          <w:p>
            <w:pPr>
              <w:jc w:val="left"/>
            </w:pPr>
            <w:r>
              <w:t xml:space="preserve">0</w:t>
            </w:r>
          </w:p>
        </w:tc>
        <w:tc>
          <w:tcPr>
            <w:tcW w:type="dxa" w:w="1200"/>
            <w:vAlign w:val="center"/>
          </w:tcPr>
          <w:p>
            <w:pPr>
              <w:jc w:val="left"/>
            </w:pPr>
            <w:r>
              <w:t xml:space="preserve">2</w:t>
            </w:r>
          </w:p>
        </w:tc>
        <w:tc>
          <w:tcPr>
            <w:tcW w:type="dxa" w:w="4608"/>
            <w:vAlign w:val="center"/>
          </w:tcPr>
          <w:p>
            <w:pPr>
              <w:jc w:val="left"/>
            </w:pPr>
            <w:r>
              <w:t xml:space="preserve">Tambotatug pelitecan (9/12); ACS blood-test guideline item (9/8) — outside validation window</w:t>
            </w:r>
          </w:p>
        </w:tc>
      </w:tr>
      <w:tr>
        <w:tc>
          <w:tcPr>
            <w:tcW w:type="dxa" w:w="2400"/>
            <w:vAlign w:val="center"/>
          </w:tcPr>
          <w:p>
            <w:pPr>
              <w:jc w:val="left"/>
            </w:pPr>
            <w:r>
              <w:t xml:space="preserve">Tier B/C items identified</w:t>
            </w:r>
          </w:p>
        </w:tc>
        <w:tc>
          <w:tcPr>
            <w:tcW w:type="dxa" w:w="1440"/>
            <w:vAlign w:val="center"/>
          </w:tcPr>
          <w:p>
            <w:pPr>
              <w:jc w:val="left"/>
            </w:pPr>
            <w:r>
              <w:t xml:space="preserve">1</w:t>
            </w:r>
          </w:p>
        </w:tc>
        <w:tc>
          <w:tcPr>
            <w:tcW w:type="dxa" w:w="1200"/>
            <w:vAlign w:val="center"/>
          </w:tcPr>
          <w:p>
            <w:pPr>
              <w:jc w:val="left"/>
            </w:pPr>
            <w:r>
              <w:t xml:space="preserve">~6</w:t>
            </w:r>
          </w:p>
        </w:tc>
        <w:tc>
          <w:tcPr>
            <w:tcW w:type="dxa" w:w="4608"/>
            <w:vAlign w:val="center"/>
          </w:tcPr>
          <w:p>
            <w:pPr>
              <w:jc w:val="left"/>
            </w:pPr>
            <w:r>
              <w:t xml:space="preserve">Broader retrieval by CarcinoS</w:t>
            </w:r>
          </w:p>
        </w:tc>
      </w:tr>
      <w:tr>
        <w:tc>
          <w:tcPr>
            <w:tcW w:type="dxa" w:w="2400"/>
            <w:vAlign w:val="center"/>
          </w:tcPr>
          <w:p>
            <w:pPr>
              <w:jc w:val="left"/>
            </w:pPr>
            <w:r>
              <w:t xml:space="preserve">Concordant Tier B/C</w:t>
            </w:r>
          </w:p>
        </w:tc>
        <w:tc>
          <w:tcPr>
            <w:tcW w:type="dxa" w:w="1440"/>
            <w:vAlign w:val="center"/>
          </w:tcPr>
          <w:p>
            <w:pPr>
              <w:jc w:val="left"/>
            </w:pPr>
            <w:r>
              <w:t xml:space="preserve">0</w:t>
            </w:r>
          </w:p>
        </w:tc>
        <w:tc>
          <w:tcPr>
            <w:tcW w:type="dxa" w:w="1200"/>
            <w:vAlign w:val="center"/>
          </w:tcPr>
          <w:p>
            <w:pPr>
              <w:jc w:val="left"/>
            </w:pPr>
            <w:r>
              <w:t xml:space="preserve">0</w:t>
            </w:r>
          </w:p>
        </w:tc>
        <w:tc>
          <w:tcPr>
            <w:tcW w:type="dxa" w:w="4608"/>
            <w:vAlign w:val="center"/>
          </w:tcPr>
          <w:p>
            <w:pPr>
              <w:jc w:val="left"/>
            </w:pPr>
            <w:r>
              <w:t xml:space="preserve">None</w:t>
            </w:r>
          </w:p>
        </w:tc>
      </w:tr>
      <w:tr>
        <w:tc>
          <w:tcPr>
            <w:tcW w:type="dxa" w:w="2400"/>
            <w:vAlign w:val="center"/>
          </w:tcPr>
          <w:p>
            <w:pPr>
              <w:jc w:val="left"/>
            </w:pPr>
            <w:r>
              <w:t xml:space="preserve">CarcinoS-only Tier B/C</w:t>
            </w:r>
          </w:p>
        </w:tc>
        <w:tc>
          <w:tcPr>
            <w:tcW w:type="dxa" w:w="1440"/>
            <w:vAlign w:val="center"/>
          </w:tcPr>
          <w:p>
            <w:pPr>
              <w:jc w:val="left"/>
            </w:pPr>
            <w:r>
              <w:t xml:space="preserve">—</w:t>
            </w:r>
          </w:p>
        </w:tc>
        <w:tc>
          <w:tcPr>
            <w:tcW w:type="dxa" w:w="1200"/>
            <w:vAlign w:val="center"/>
          </w:tcPr>
          <w:p>
            <w:pPr>
              <w:jc w:val="left"/>
            </w:pPr>
            <w:r>
              <w:t xml:space="preserve">~6</w:t>
            </w:r>
          </w:p>
        </w:tc>
        <w:tc>
          <w:tcPr>
            <w:tcW w:type="dxa" w:w="4608"/>
            <w:vAlign w:val="center"/>
          </w:tcPr>
          <w:p>
            <w:pPr>
              <w:jc w:val="left"/>
            </w:pPr>
            <w:r>
              <w:t xml:space="preserve">FLAURA2 safety; BCR::ABL1+ AML; ibrutinib/venetoclax MCL; avutometinib/defactinib LGSOC; GFH375 KRAS G12D; levetiracetam/DMG</w:t>
            </w:r>
          </w:p>
        </w:tc>
      </w:tr>
      <w:tr>
        <w:tc>
          <w:tcPr>
            <w:tcW w:type="dxa" w:w="2400"/>
            <w:vAlign w:val="center"/>
          </w:tcPr>
          <w:p>
            <w:pPr>
              <w:jc w:val="left"/>
            </w:pPr>
            <w:r>
              <w:t xml:space="preserve">Comparator-only Tier B/C</w:t>
            </w:r>
          </w:p>
        </w:tc>
        <w:tc>
          <w:tcPr>
            <w:tcW w:type="dxa" w:w="1440"/>
            <w:vAlign w:val="center"/>
          </w:tcPr>
          <w:p>
            <w:pPr>
              <w:jc w:val="left"/>
            </w:pPr>
            <w:r>
              <w:t xml:space="preserve">1</w:t>
            </w:r>
          </w:p>
        </w:tc>
        <w:tc>
          <w:tcPr>
            <w:tcW w:type="dxa" w:w="1200"/>
            <w:vAlign w:val="center"/>
          </w:tcPr>
          <w:p>
            <w:pPr>
              <w:jc w:val="left"/>
            </w:pPr>
            <w:r>
              <w:t xml:space="preserve">—</w:t>
            </w:r>
          </w:p>
        </w:tc>
        <w:tc>
          <w:tcPr>
            <w:tcW w:type="dxa" w:w="4608"/>
            <w:vAlign w:val="center"/>
          </w:tcPr>
          <w:p>
            <w:pPr>
              <w:jc w:val="left"/>
            </w:pPr>
            <w:r>
              <w:t xml:space="preserve">ALA-PDT for superficial BCC</w:t>
            </w:r>
          </w:p>
        </w:tc>
      </w:tr>
    </w:tbl>
    <w:p>
      <w:pPr>
        <w:pStyle w:val="Heading1"/>
      </w:pPr>
      <w:r>
        <w:t>Discussion</w:t>
      </w:r>
    </w:p>
    <w:p>
      <w:pPr>
        <w:pStyle w:val="Heading2"/>
      </w:pPr>
      <w:r>
        <w:t>Principal Findings</w:t>
      </w:r>
    </w:p>
    <w:p>
      <w:r>
        <w:t xml:space="preserve">We developed a hybrid deterministic and LLM-assisted oncology evidence-surveillance system that concentrated 8,057 scanned papers to 142 disseminated findings across nine consecutive weekly cycles. Fewer than 1.8% of papers were surfaced, and fewer than 0.35% were classified as practice-impacting. This degree of selectivity was achieved while preserving a monotonic gradient in clinical consequence across tiers, as measured by variables independent of the pipeline's own classification inputs.</w:t>
      </w:r>
    </w:p>
    <w:p>
      <w:r>
        <w:t xml:space="preserve">The architecture deliberately separates roles based on the nature of each task. Deterministic methods govern source acquisition and structural signal detection because these tasks require specificity and reproducibility rather than contextual judgment. LLMs handle the semantically complex step of interpreting clinical relevance where rigid rules fail. Physicians make the final dissemination decision because the distinction between interesting evidence and actionable evidence requires professional contextual judgment that current automation cannot reliably replicate. Human adjudication in this framework is therefore not a temporary safeguard against imperfect automation but a structural component of a system intended to serve clinical decision-making.</w:t>
      </w:r>
    </w:p>
    <w:p>
      <w:r>
        <w:t xml:space="preserve">This design also avoids producing a fixed weekly quota of findings regardless of whether the underlying literature warrants it. The clinical consequence gradient (80.0% → 42.4% → 22.2% for new treatment option or changes standard across practice-impacting, incremental, and horizon/exploratory tiers) and the independent external action gradient (46.7% → 9.1% → 0%) provide initial evidence that the tier structure captures a clinically meaningful dimension of evidence quality.</w:t>
      </w:r>
    </w:p>
    <w:p>
      <w:pPr>
        <w:pStyle w:val="Heading2"/>
      </w:pPr>
      <w:r>
        <w:t>Limitations</w:t>
      </w:r>
    </w:p>
    <w:p>
      <w:r>
        <w:t xml:space="preserve">Several limitations warrant consideration. The nine-week observation period is short and weekly yield varied substantially; more extended operation is needed to characterize stable output distributions. More importantly, the present data characterize selectivity rather than sensitivity: demonstrating that 8,057 papers were compressed to 142 disseminated findings does not address whether clinically important evidence was missed. A single-week pilot sensitivity analysis demonstrated CarcinoS sensitivity of 80% for practice-impacting findings versus 40% for an independent physician comparator; however, one-week data cannot characterize sensitivity across the full observation period, and items outside the surveillance window contributed false positives. Formal multi-week prospective comparison against an independently curated reference standard is necessary to measure false-negative rates at scale and establish clinical validity. Clinical consequence coding was performed retrospectively from brief summaries and represents a limited proxy for true clinical impact rather than a formal validation. Editorial adjudication is currently performed by a single physician, limiting assessment of inter-rater reliability and introducing the possibility of individual editorial bias. Finally, these findings reflect operation within oncology and may not generalize to other medical specialties.</w:t>
      </w:r>
    </w:p>
    <w:p>
      <w:pPr>
        <w:pStyle w:val="Heading1"/>
      </w:pPr>
      <w:r>
        <w:t>Conclusions</w:t>
      </w:r>
    </w:p>
    <w:p>
      <w:r>
        <w:t xml:space="preserve">The contemporary oncology literature concentrates substantial clinical signal within a small and variable fraction of publications. A hybrid surveillance architecture that assigns deterministic methods, LLMs, and physicians to distinct functional roles can achieve marked selectivity: fewer than 1.8% of scanned papers were ultimately disseminated, and the resulting evidence stream demonstrated a consistent gradient in clinical consequence across computational tiers.</w:t>
      </w:r>
    </w:p>
    <w:p>
      <w:r>
        <w:t xml:space="preserve">These preliminary findings support the feasibility of the approach. In a prospective single-week pilot sensitivity analysis, CarcinoS identified 80% of adjudicated practice-impacting reference-standard findings versus 40% for an independent physician comparator, with complementary rather than redundant Tier A capture. Formal multi-week validation against an independent reference standard is needed to characterize sensitivity across the full observation period and establish clinical validity. A system capable of efficiently identifying the sparse fraction of the oncology literature with immediate clinical consequences — without missing important evidence — could meaningfully reduce the surveillance burden on practicing oncologists and trainees. If validated, this architecture may offer a generalizable model for AI-assisted evidence surveillance in oncology and, potentially, other clinical domains.</w:t>
      </w:r>
    </w:p>
    <w:p>
      <w:pPr>
        <w:pStyle w:val="Heading1"/>
      </w:pPr>
      <w:r>
        <w:t>Conflicts of Interest</w:t>
      </w:r>
    </w:p>
    <w:p>
      <w:r>
        <w:t>The author is the founder of CarcinoS, the oncology evidence-surveillance platform within which this framework was developed and implemented.</w:t>
      </w:r>
    </w:p>
    <w:p>
      <w:pPr>
        <w:pStyle w:val="Heading1"/>
      </w:pPr>
      <w:r>
        <w:t>Data Availability</w:t>
      </w:r>
    </w:p>
    <w:p>
      <w:r>
        <w:t>[To be finalized before submission.]</w:t>
      </w:r>
    </w:p>
    <w:p>
      <w:pPr>
        <w:pStyle w:val="Heading1"/>
      </w:pPr>
      <w:r>
        <w:t>Figure Legends</w:t>
      </w:r>
    </w:p>
    <w:p>
      <w:r>
        <w:rPr>
          <w:b/>
        </w:rPr>
        <w:t>Figure 1. Hybrid evidence-surveillance architecture.</w:t>
      </w:r>
      <w:r>
        <w:t xml:space="preserve"> Multiple evidence-acquisition lanes feed sequential deterministic preprocessing and qualifying-signal assessment. Publications meeting predefined signals proceed to semantic review, while selected gate failures undergo secondary LLM triage with potential promotion. LLM-classified candidates subsequently undergo physician editorial adjudication before dissemination. The physician editor retains final authority over inclusion and evidence tier.</w:t>
      </w:r>
    </w:p>
    <w:p>
      <w:r>
        <w:rPr>
          <w:b/>
        </w:rPr>
        <w:t>Figure 2. Weekly literature volume and physician-adjudicated evidence yield.</w:t>
      </w:r>
      <w:r>
        <w:t xml:space="preserve"> Number of papers scanned and findings ultimately disseminated during each prospective weekly surveillance cycle, stratified as practice-impacting, incremental, or horizon/exploratory.</w:t>
      </w:r>
    </w:p>
    <w:p>
      <w:r>
        <w:rPr>
          <w:b/>
        </w:rPr>
        <w:t>Figure 3. Evidence concentration across the surveillance pipeline.</w:t>
      </w:r>
      <w:r>
        <w:t xml:space="preserve"> During five consecutive weekly cycles, 5,975 papers were scanned; [LLM review stats TBD]; 94 findings were ultimately disseminated following physician editorial adjudication, including 17 classified as practice-impacting.</w:t>
      </w:r>
    </w:p>
    <w:p>
      <w:r>
        <w:rPr>
          <w:b/>
        </w:rPr>
        <w:t>Figure 4. Distribution of practice-impacting evidence by oncologic disease site.</w:t>
      </w:r>
      <w:r>
        <w:t xml:space="preserve"> [To be populated after additional pr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