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C611D" w14:textId="77777777" w:rsidR="00B13AB2" w:rsidRDefault="00B13AB2" w:rsidP="00E50004">
      <w:pPr>
        <w:spacing w:line="480" w:lineRule="auto"/>
        <w:jc w:val="center"/>
        <w:rPr>
          <w:rFonts w:ascii="Times New Roman" w:hAnsi="Times New Roman" w:cs="Times New Roman"/>
          <w:sz w:val="24"/>
          <w:szCs w:val="24"/>
        </w:rPr>
      </w:pPr>
    </w:p>
    <w:p w14:paraId="396CC248" w14:textId="4E6D440D" w:rsidR="00B13AB2" w:rsidRDefault="00B13AB2" w:rsidP="00FC0194">
      <w:pPr>
        <w:spacing w:line="480" w:lineRule="auto"/>
        <w:rPr>
          <w:rFonts w:ascii="Times New Roman" w:hAnsi="Times New Roman" w:cs="Times New Roman"/>
          <w:sz w:val="24"/>
          <w:szCs w:val="24"/>
        </w:rPr>
      </w:pPr>
    </w:p>
    <w:p w14:paraId="50D893E4" w14:textId="77777777" w:rsidR="00B13AB2" w:rsidRDefault="00B13AB2" w:rsidP="00E50004">
      <w:pPr>
        <w:spacing w:line="480" w:lineRule="auto"/>
        <w:jc w:val="center"/>
        <w:rPr>
          <w:rFonts w:ascii="Times New Roman" w:hAnsi="Times New Roman" w:cs="Times New Roman"/>
          <w:sz w:val="24"/>
          <w:szCs w:val="24"/>
        </w:rPr>
      </w:pPr>
    </w:p>
    <w:p w14:paraId="13E325D7" w14:textId="77777777" w:rsidR="00B13AB2" w:rsidRDefault="00B13AB2" w:rsidP="00E50004">
      <w:pPr>
        <w:spacing w:line="480" w:lineRule="auto"/>
        <w:jc w:val="center"/>
        <w:rPr>
          <w:rFonts w:ascii="Times New Roman" w:hAnsi="Times New Roman" w:cs="Times New Roman"/>
          <w:sz w:val="24"/>
          <w:szCs w:val="24"/>
        </w:rPr>
      </w:pPr>
    </w:p>
    <w:p w14:paraId="0E75C386" w14:textId="77777777" w:rsidR="00B13AB2" w:rsidRDefault="00B13AB2" w:rsidP="00E50004">
      <w:pPr>
        <w:spacing w:line="480" w:lineRule="auto"/>
        <w:jc w:val="center"/>
        <w:rPr>
          <w:rFonts w:ascii="Times New Roman" w:hAnsi="Times New Roman" w:cs="Times New Roman"/>
          <w:sz w:val="24"/>
          <w:szCs w:val="24"/>
        </w:rPr>
      </w:pPr>
      <w:r>
        <w:rPr>
          <w:rFonts w:ascii="Times New Roman" w:hAnsi="Times New Roman" w:cs="Times New Roman"/>
          <w:sz w:val="24"/>
          <w:szCs w:val="24"/>
        </w:rPr>
        <w:t>Student Housing and Housing Cost in a College Town</w:t>
      </w:r>
    </w:p>
    <w:p w14:paraId="1A6686BC" w14:textId="77777777" w:rsidR="00B13AB2" w:rsidRDefault="00B13AB2" w:rsidP="00E50004">
      <w:pPr>
        <w:spacing w:line="480" w:lineRule="auto"/>
        <w:jc w:val="center"/>
        <w:rPr>
          <w:rFonts w:ascii="Times New Roman" w:hAnsi="Times New Roman" w:cs="Times New Roman"/>
          <w:sz w:val="24"/>
          <w:szCs w:val="24"/>
        </w:rPr>
      </w:pPr>
    </w:p>
    <w:p w14:paraId="480655CF" w14:textId="77777777" w:rsidR="00B13AB2" w:rsidRDefault="00B13AB2" w:rsidP="00E50004">
      <w:pPr>
        <w:spacing w:line="480" w:lineRule="auto"/>
        <w:jc w:val="center"/>
        <w:rPr>
          <w:rFonts w:ascii="Times New Roman" w:hAnsi="Times New Roman" w:cs="Times New Roman"/>
          <w:sz w:val="24"/>
          <w:szCs w:val="24"/>
        </w:rPr>
      </w:pPr>
      <w:r>
        <w:rPr>
          <w:rFonts w:ascii="Times New Roman" w:hAnsi="Times New Roman" w:cs="Times New Roman"/>
          <w:sz w:val="24"/>
          <w:szCs w:val="24"/>
        </w:rPr>
        <w:t>Prepared for</w:t>
      </w:r>
    </w:p>
    <w:p w14:paraId="48FE130F" w14:textId="77777777" w:rsidR="00B13AB2" w:rsidRDefault="00B13AB2" w:rsidP="00E50004">
      <w:pPr>
        <w:spacing w:line="480" w:lineRule="auto"/>
        <w:jc w:val="center"/>
        <w:rPr>
          <w:rFonts w:ascii="Times New Roman" w:hAnsi="Times New Roman" w:cs="Times New Roman"/>
          <w:sz w:val="24"/>
          <w:szCs w:val="24"/>
        </w:rPr>
      </w:pPr>
      <w:r>
        <w:rPr>
          <w:rFonts w:ascii="Times New Roman" w:hAnsi="Times New Roman" w:cs="Times New Roman"/>
          <w:sz w:val="24"/>
          <w:szCs w:val="24"/>
        </w:rPr>
        <w:t>Dr. Gregorio Caetano</w:t>
      </w:r>
    </w:p>
    <w:p w14:paraId="37EE167A" w14:textId="77777777" w:rsidR="00B13AB2" w:rsidRDefault="00B13AB2" w:rsidP="00E50004">
      <w:pPr>
        <w:spacing w:line="480" w:lineRule="auto"/>
        <w:jc w:val="center"/>
        <w:rPr>
          <w:rFonts w:ascii="Times New Roman" w:hAnsi="Times New Roman" w:cs="Times New Roman"/>
          <w:sz w:val="24"/>
          <w:szCs w:val="24"/>
        </w:rPr>
      </w:pPr>
      <w:r>
        <w:rPr>
          <w:rFonts w:ascii="Times New Roman" w:hAnsi="Times New Roman" w:cs="Times New Roman"/>
          <w:sz w:val="24"/>
          <w:szCs w:val="24"/>
        </w:rPr>
        <w:t>Economics 5900</w:t>
      </w:r>
    </w:p>
    <w:p w14:paraId="5E2654A9" w14:textId="77777777" w:rsidR="00B13AB2" w:rsidRDefault="00B13AB2" w:rsidP="00E50004">
      <w:pPr>
        <w:spacing w:line="480" w:lineRule="auto"/>
        <w:jc w:val="center"/>
        <w:rPr>
          <w:rFonts w:ascii="Times New Roman" w:hAnsi="Times New Roman" w:cs="Times New Roman"/>
          <w:sz w:val="24"/>
          <w:szCs w:val="24"/>
        </w:rPr>
      </w:pPr>
      <w:r>
        <w:rPr>
          <w:rFonts w:ascii="Times New Roman" w:hAnsi="Times New Roman" w:cs="Times New Roman"/>
          <w:sz w:val="24"/>
          <w:szCs w:val="24"/>
        </w:rPr>
        <w:t>Fall 2021</w:t>
      </w:r>
    </w:p>
    <w:p w14:paraId="06FA79C2" w14:textId="77777777" w:rsidR="00B13AB2" w:rsidRDefault="00B13AB2" w:rsidP="00E50004">
      <w:pPr>
        <w:spacing w:line="480" w:lineRule="auto"/>
        <w:jc w:val="center"/>
        <w:rPr>
          <w:rFonts w:ascii="Times New Roman" w:hAnsi="Times New Roman" w:cs="Times New Roman"/>
          <w:sz w:val="24"/>
          <w:szCs w:val="24"/>
        </w:rPr>
      </w:pPr>
    </w:p>
    <w:p w14:paraId="0823BB78" w14:textId="77777777" w:rsidR="00B13AB2" w:rsidRDefault="00B13AB2" w:rsidP="00E50004">
      <w:pPr>
        <w:spacing w:line="480" w:lineRule="auto"/>
        <w:jc w:val="center"/>
        <w:rPr>
          <w:rFonts w:ascii="Times New Roman" w:hAnsi="Times New Roman" w:cs="Times New Roman"/>
          <w:sz w:val="24"/>
          <w:szCs w:val="24"/>
        </w:rPr>
      </w:pPr>
      <w:r>
        <w:rPr>
          <w:rFonts w:ascii="Times New Roman" w:hAnsi="Times New Roman" w:cs="Times New Roman"/>
          <w:sz w:val="24"/>
          <w:szCs w:val="24"/>
        </w:rPr>
        <w:t>Prepared by</w:t>
      </w:r>
    </w:p>
    <w:p w14:paraId="51439BF6" w14:textId="77777777" w:rsidR="00B13AB2" w:rsidRDefault="00B13AB2" w:rsidP="00E50004">
      <w:pPr>
        <w:spacing w:line="480" w:lineRule="auto"/>
        <w:jc w:val="center"/>
        <w:rPr>
          <w:rFonts w:ascii="Times New Roman" w:hAnsi="Times New Roman" w:cs="Times New Roman"/>
          <w:sz w:val="24"/>
          <w:szCs w:val="24"/>
        </w:rPr>
      </w:pPr>
      <w:r>
        <w:rPr>
          <w:rFonts w:ascii="Times New Roman" w:hAnsi="Times New Roman" w:cs="Times New Roman"/>
          <w:sz w:val="24"/>
          <w:szCs w:val="24"/>
        </w:rPr>
        <w:t>John Carolin</w:t>
      </w:r>
    </w:p>
    <w:p w14:paraId="6BBDF847" w14:textId="2F714996" w:rsidR="00B13AB2" w:rsidRDefault="00B13AB2" w:rsidP="00E50004">
      <w:pPr>
        <w:spacing w:line="480" w:lineRule="auto"/>
        <w:jc w:val="center"/>
        <w:rPr>
          <w:rFonts w:ascii="Times New Roman" w:hAnsi="Times New Roman" w:cs="Times New Roman"/>
          <w:sz w:val="24"/>
          <w:szCs w:val="24"/>
        </w:rPr>
      </w:pPr>
      <w:r w:rsidRPr="00B13AB2">
        <w:rPr>
          <w:rFonts w:ascii="Times New Roman" w:hAnsi="Times New Roman" w:cs="Times New Roman"/>
          <w:sz w:val="24"/>
          <w:szCs w:val="24"/>
        </w:rPr>
        <w:t>jvcarolin@gmail.com</w:t>
      </w:r>
    </w:p>
    <w:p w14:paraId="44E84176" w14:textId="51DAA8B1" w:rsidR="00B13AB2" w:rsidRDefault="00B13AB2" w:rsidP="00FC0194">
      <w:pPr>
        <w:spacing w:line="480" w:lineRule="auto"/>
        <w:jc w:val="center"/>
        <w:rPr>
          <w:rFonts w:ascii="Times New Roman" w:hAnsi="Times New Roman" w:cs="Times New Roman"/>
          <w:sz w:val="24"/>
          <w:szCs w:val="24"/>
        </w:rPr>
      </w:pPr>
      <w:r>
        <w:rPr>
          <w:rFonts w:ascii="Times New Roman" w:hAnsi="Times New Roman" w:cs="Times New Roman"/>
          <w:sz w:val="24"/>
          <w:szCs w:val="24"/>
        </w:rPr>
        <w:t>12/02/2021</w:t>
      </w:r>
    </w:p>
    <w:p w14:paraId="0F263E29" w14:textId="77777777" w:rsidR="00B13AB2" w:rsidRDefault="00B13AB2" w:rsidP="00E50004">
      <w:pPr>
        <w:spacing w:line="480" w:lineRule="auto"/>
        <w:jc w:val="center"/>
        <w:rPr>
          <w:rFonts w:ascii="Times New Roman" w:hAnsi="Times New Roman" w:cs="Times New Roman"/>
          <w:sz w:val="24"/>
          <w:szCs w:val="24"/>
        </w:rPr>
      </w:pPr>
    </w:p>
    <w:p w14:paraId="225CB6D4" w14:textId="77777777" w:rsidR="00B13AB2" w:rsidRDefault="00B13AB2" w:rsidP="00E50004">
      <w:pPr>
        <w:spacing w:line="480" w:lineRule="auto"/>
        <w:jc w:val="center"/>
        <w:rPr>
          <w:rFonts w:ascii="Times New Roman" w:hAnsi="Times New Roman" w:cs="Times New Roman"/>
          <w:sz w:val="24"/>
          <w:szCs w:val="24"/>
        </w:rPr>
      </w:pPr>
    </w:p>
    <w:p w14:paraId="4EB8697C" w14:textId="77777777" w:rsidR="00B13AB2" w:rsidRDefault="00B13AB2" w:rsidP="00E50004">
      <w:pPr>
        <w:spacing w:line="480" w:lineRule="auto"/>
        <w:jc w:val="center"/>
        <w:rPr>
          <w:rFonts w:ascii="Times New Roman" w:hAnsi="Times New Roman" w:cs="Times New Roman"/>
          <w:sz w:val="24"/>
          <w:szCs w:val="24"/>
        </w:rPr>
      </w:pPr>
    </w:p>
    <w:p w14:paraId="6A0F6AB7" w14:textId="4C8660DF" w:rsidR="00B13AB2" w:rsidRDefault="00B13AB2" w:rsidP="00E50004">
      <w:pPr>
        <w:spacing w:line="480" w:lineRule="auto"/>
        <w:jc w:val="center"/>
        <w:rPr>
          <w:rFonts w:ascii="Times New Roman" w:hAnsi="Times New Roman" w:cs="Times New Roman"/>
          <w:sz w:val="24"/>
          <w:szCs w:val="24"/>
        </w:rPr>
      </w:pPr>
    </w:p>
    <w:p w14:paraId="5A3F2B4B" w14:textId="446CC5BF" w:rsidR="00FC0194" w:rsidRDefault="00FC0194" w:rsidP="00E50004">
      <w:pPr>
        <w:spacing w:line="480" w:lineRule="auto"/>
        <w:jc w:val="center"/>
        <w:rPr>
          <w:rFonts w:ascii="Times New Roman" w:hAnsi="Times New Roman" w:cs="Times New Roman"/>
          <w:sz w:val="24"/>
          <w:szCs w:val="24"/>
        </w:rPr>
      </w:pPr>
    </w:p>
    <w:p w14:paraId="1BEB00A3" w14:textId="77777777" w:rsidR="00FC0194" w:rsidRDefault="00FC0194" w:rsidP="00E50004">
      <w:pPr>
        <w:spacing w:line="480" w:lineRule="auto"/>
        <w:jc w:val="center"/>
        <w:rPr>
          <w:rFonts w:ascii="Times New Roman" w:hAnsi="Times New Roman" w:cs="Times New Roman"/>
          <w:sz w:val="24"/>
          <w:szCs w:val="24"/>
        </w:rPr>
      </w:pPr>
    </w:p>
    <w:p w14:paraId="320491BF" w14:textId="77777777" w:rsidR="00B13AB2" w:rsidRDefault="00B13AB2" w:rsidP="00E50004">
      <w:pPr>
        <w:spacing w:line="480" w:lineRule="auto"/>
        <w:jc w:val="center"/>
        <w:rPr>
          <w:rFonts w:ascii="Times New Roman" w:hAnsi="Times New Roman" w:cs="Times New Roman"/>
          <w:sz w:val="24"/>
          <w:szCs w:val="24"/>
        </w:rPr>
      </w:pPr>
    </w:p>
    <w:p w14:paraId="03AB4805" w14:textId="77777777" w:rsidR="00B13AB2" w:rsidRDefault="00B13AB2" w:rsidP="00E50004">
      <w:pPr>
        <w:spacing w:line="480" w:lineRule="auto"/>
        <w:jc w:val="center"/>
        <w:rPr>
          <w:rFonts w:ascii="Times New Roman" w:hAnsi="Times New Roman" w:cs="Times New Roman"/>
          <w:sz w:val="24"/>
          <w:szCs w:val="24"/>
        </w:rPr>
      </w:pPr>
      <w:r>
        <w:rPr>
          <w:rFonts w:ascii="Times New Roman" w:hAnsi="Times New Roman" w:cs="Times New Roman"/>
          <w:sz w:val="24"/>
          <w:szCs w:val="24"/>
        </w:rPr>
        <w:t>Abstract</w:t>
      </w:r>
    </w:p>
    <w:p w14:paraId="2469A841" w14:textId="4F2003CF" w:rsidR="009B73F5" w:rsidRDefault="009B73F5" w:rsidP="009B73F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2017, Athens-Clarke County introduced more restrictive land use rules </w:t>
      </w:r>
      <w:proofErr w:type="gramStart"/>
      <w:r>
        <w:rPr>
          <w:rFonts w:ascii="Times New Roman" w:hAnsi="Times New Roman" w:cs="Times New Roman"/>
          <w:sz w:val="24"/>
          <w:szCs w:val="24"/>
        </w:rPr>
        <w:t>in an effort to</w:t>
      </w:r>
      <w:proofErr w:type="gramEnd"/>
      <w:r>
        <w:rPr>
          <w:rFonts w:ascii="Times New Roman" w:hAnsi="Times New Roman" w:cs="Times New Roman"/>
          <w:sz w:val="24"/>
          <w:szCs w:val="24"/>
        </w:rPr>
        <w:t xml:space="preserve"> manage the growth of student housing developments</w:t>
      </w:r>
      <w:r w:rsidR="00535290">
        <w:rPr>
          <w:rFonts w:ascii="Times New Roman" w:hAnsi="Times New Roman" w:cs="Times New Roman"/>
          <w:sz w:val="24"/>
          <w:szCs w:val="24"/>
        </w:rPr>
        <w:t xml:space="preserve"> in downtown Athens</w:t>
      </w:r>
      <w:r>
        <w:rPr>
          <w:rFonts w:ascii="Times New Roman" w:hAnsi="Times New Roman" w:cs="Times New Roman"/>
          <w:sz w:val="24"/>
          <w:szCs w:val="24"/>
        </w:rPr>
        <w:t>.</w:t>
      </w:r>
      <w:r w:rsidR="001922A5">
        <w:rPr>
          <w:rFonts w:ascii="Times New Roman" w:hAnsi="Times New Roman" w:cs="Times New Roman"/>
          <w:sz w:val="24"/>
          <w:szCs w:val="24"/>
        </w:rPr>
        <w:t xml:space="preserve"> I hypothesize that this land use regulation that is specifically targeted at student housing will result in increased housing costs, much like other, less targeted regulations tend to cause.</w:t>
      </w:r>
      <w:r>
        <w:rPr>
          <w:rFonts w:ascii="Times New Roman" w:hAnsi="Times New Roman" w:cs="Times New Roman"/>
          <w:sz w:val="24"/>
          <w:szCs w:val="24"/>
        </w:rPr>
        <w:t xml:space="preserve"> </w:t>
      </w:r>
      <w:r w:rsidR="00535290">
        <w:rPr>
          <w:rFonts w:ascii="Times New Roman" w:hAnsi="Times New Roman" w:cs="Times New Roman"/>
          <w:sz w:val="24"/>
          <w:szCs w:val="24"/>
        </w:rPr>
        <w:t>Using administrative records of property sales, I examine the impact that this policy change has had on the local property and housing markets</w:t>
      </w:r>
      <w:r w:rsidR="001922A5">
        <w:rPr>
          <w:rFonts w:ascii="Times New Roman" w:hAnsi="Times New Roman" w:cs="Times New Roman"/>
          <w:sz w:val="24"/>
          <w:szCs w:val="24"/>
        </w:rPr>
        <w:t>.</w:t>
      </w:r>
      <w:r w:rsidR="00535290">
        <w:rPr>
          <w:rFonts w:ascii="Times New Roman" w:hAnsi="Times New Roman" w:cs="Times New Roman"/>
          <w:sz w:val="24"/>
          <w:szCs w:val="24"/>
        </w:rPr>
        <w:t xml:space="preserve"> I do not find evidence of significant price changes resulting from this policy shift</w:t>
      </w:r>
      <w:r w:rsidR="001922A5">
        <w:rPr>
          <w:rFonts w:ascii="Times New Roman" w:hAnsi="Times New Roman" w:cs="Times New Roman"/>
          <w:sz w:val="24"/>
          <w:szCs w:val="24"/>
        </w:rPr>
        <w:t xml:space="preserve">. My research suggests that regulations targeted specifically at student housing may not result in significant impacts to </w:t>
      </w:r>
      <w:r w:rsidR="008F7DE6">
        <w:rPr>
          <w:rFonts w:ascii="Times New Roman" w:hAnsi="Times New Roman" w:cs="Times New Roman"/>
          <w:sz w:val="24"/>
          <w:szCs w:val="24"/>
        </w:rPr>
        <w:t>housing or property markets in the short term. Policymakers may face few short-term downsides to limited use of these policies.</w:t>
      </w:r>
    </w:p>
    <w:p w14:paraId="34853BC7" w14:textId="3CD076C8" w:rsidR="00B13AB2" w:rsidRDefault="00B13AB2" w:rsidP="00E50004">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6408D19" w14:textId="77777777" w:rsidR="00B13AB2" w:rsidRDefault="00B13AB2" w:rsidP="00E50004">
      <w:pPr>
        <w:spacing w:line="480" w:lineRule="auto"/>
        <w:rPr>
          <w:rFonts w:ascii="Times New Roman" w:hAnsi="Times New Roman" w:cs="Times New Roman"/>
          <w:sz w:val="24"/>
          <w:szCs w:val="24"/>
        </w:rPr>
      </w:pPr>
    </w:p>
    <w:p w14:paraId="4ECC4695" w14:textId="0EE2F95E" w:rsidR="00566348" w:rsidRDefault="00566348" w:rsidP="00E50004">
      <w:pPr>
        <w:spacing w:line="480" w:lineRule="auto"/>
        <w:jc w:val="center"/>
        <w:rPr>
          <w:rFonts w:ascii="Times New Roman" w:hAnsi="Times New Roman" w:cs="Times New Roman"/>
          <w:sz w:val="24"/>
          <w:szCs w:val="24"/>
        </w:rPr>
      </w:pPr>
      <w:r>
        <w:rPr>
          <w:rFonts w:ascii="Times New Roman" w:hAnsi="Times New Roman" w:cs="Times New Roman"/>
          <w:sz w:val="24"/>
          <w:szCs w:val="24"/>
        </w:rPr>
        <w:t>Student Housing and Housing Cost in a College Town</w:t>
      </w:r>
    </w:p>
    <w:p w14:paraId="4914FC11" w14:textId="77777777" w:rsidR="00B13AB2" w:rsidRDefault="00566348" w:rsidP="00E50004">
      <w:pPr>
        <w:spacing w:line="480" w:lineRule="auto"/>
        <w:rPr>
          <w:rFonts w:ascii="Times New Roman" w:hAnsi="Times New Roman" w:cs="Times New Roman"/>
          <w:sz w:val="24"/>
          <w:szCs w:val="24"/>
        </w:rPr>
      </w:pPr>
      <w:r>
        <w:rPr>
          <w:rFonts w:ascii="Times New Roman" w:hAnsi="Times New Roman" w:cs="Times New Roman"/>
          <w:sz w:val="24"/>
          <w:szCs w:val="24"/>
        </w:rPr>
        <w:tab/>
      </w:r>
    </w:p>
    <w:p w14:paraId="1ADC85D0" w14:textId="77777777" w:rsidR="00B13AB2" w:rsidRDefault="00B13AB2" w:rsidP="00E50004">
      <w:pPr>
        <w:spacing w:line="480" w:lineRule="auto"/>
        <w:rPr>
          <w:rFonts w:ascii="Times New Roman" w:hAnsi="Times New Roman" w:cs="Times New Roman"/>
          <w:sz w:val="24"/>
          <w:szCs w:val="24"/>
        </w:rPr>
      </w:pPr>
    </w:p>
    <w:p w14:paraId="0A9DF818" w14:textId="19062A1F" w:rsidR="00566348" w:rsidRDefault="00566348" w:rsidP="00E5000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fall of 2016, the Athens-Clarke County Commission commissioned a study to investigate the health and safety of the downtown Athens, GA area. The authors of the study examined and proposed measures to address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concerns that the Commission had raised about the downtown area. One of these concerns was that the growing number of large, student-oriented housing developments threatened the character of the area and could reduce the diversity of the local housing market. To facilitate their work, the firm hired to conduct the study requested that a temporary moratorium be placed on the approval of new multifamily housing projects in the area. The Athens-Clarke Commission granted this request. Ultimately, the report recommended the introduction of one of several types of new land use regulation that would limit the density and student-oriented nature of new residential construction, particularly in the downtown area. The Athens-Clarke County implemented one of the recommended policies.</w:t>
      </w:r>
    </w:p>
    <w:p w14:paraId="6BE5120B" w14:textId="08D1E9AD" w:rsidR="00C80337" w:rsidRDefault="00C80337" w:rsidP="00E5000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is likely that both the temporary permitting freeze and new land use restriction had the effect of reducing the quantity of new housing built in the area. I anticipate that this supply restriction has resulted in an increase in housing costs in the downtown Athens area. While I cannot directly observe the rental price of local housing, I can collect data regarding property sales in the area. I expect that this policy shift has had two impacts that may be observable in property sale data. First, demand will fall for property that </w:t>
      </w:r>
      <w:r w:rsidR="00040217">
        <w:rPr>
          <w:rFonts w:ascii="Times New Roman" w:hAnsi="Times New Roman" w:cs="Times New Roman"/>
          <w:sz w:val="24"/>
          <w:szCs w:val="24"/>
        </w:rPr>
        <w:t>is</w:t>
      </w:r>
      <w:r>
        <w:rPr>
          <w:rFonts w:ascii="Times New Roman" w:hAnsi="Times New Roman" w:cs="Times New Roman"/>
          <w:sz w:val="24"/>
          <w:szCs w:val="24"/>
        </w:rPr>
        <w:t xml:space="preserve"> subject to</w:t>
      </w:r>
      <w:r w:rsidR="00040217">
        <w:rPr>
          <w:rFonts w:ascii="Times New Roman" w:hAnsi="Times New Roman" w:cs="Times New Roman"/>
          <w:sz w:val="24"/>
          <w:szCs w:val="24"/>
        </w:rPr>
        <w:t xml:space="preserve"> the permitting moratorium and</w:t>
      </w:r>
      <w:r>
        <w:rPr>
          <w:rFonts w:ascii="Times New Roman" w:hAnsi="Times New Roman" w:cs="Times New Roman"/>
          <w:sz w:val="24"/>
          <w:szCs w:val="24"/>
        </w:rPr>
        <w:t xml:space="preserve"> new land use regulation</w:t>
      </w:r>
      <w:r w:rsidR="00040217">
        <w:rPr>
          <w:rFonts w:ascii="Times New Roman" w:hAnsi="Times New Roman" w:cs="Times New Roman"/>
          <w:sz w:val="24"/>
          <w:szCs w:val="24"/>
        </w:rPr>
        <w:t xml:space="preserve">s. This will be reflected in </w:t>
      </w:r>
      <w:r w:rsidR="00574C19">
        <w:rPr>
          <w:rFonts w:ascii="Times New Roman" w:hAnsi="Times New Roman" w:cs="Times New Roman"/>
          <w:sz w:val="24"/>
          <w:szCs w:val="24"/>
        </w:rPr>
        <w:t>lower sales prices for land</w:t>
      </w:r>
      <w:r w:rsidR="00040217">
        <w:rPr>
          <w:rFonts w:ascii="Times New Roman" w:hAnsi="Times New Roman" w:cs="Times New Roman"/>
          <w:sz w:val="24"/>
          <w:szCs w:val="24"/>
        </w:rPr>
        <w:t xml:space="preserve">. </w:t>
      </w:r>
      <w:r w:rsidR="00040217">
        <w:rPr>
          <w:rFonts w:ascii="Times New Roman" w:hAnsi="Times New Roman" w:cs="Times New Roman"/>
          <w:sz w:val="24"/>
          <w:szCs w:val="24"/>
        </w:rPr>
        <w:lastRenderedPageBreak/>
        <w:t xml:space="preserve">Second, firms and individuals </w:t>
      </w:r>
      <w:r w:rsidR="00574C19">
        <w:rPr>
          <w:rFonts w:ascii="Times New Roman" w:hAnsi="Times New Roman" w:cs="Times New Roman"/>
          <w:sz w:val="24"/>
          <w:szCs w:val="24"/>
        </w:rPr>
        <w:t>anticipate</w:t>
      </w:r>
      <w:r w:rsidR="00040217">
        <w:rPr>
          <w:rFonts w:ascii="Times New Roman" w:hAnsi="Times New Roman" w:cs="Times New Roman"/>
          <w:sz w:val="24"/>
          <w:szCs w:val="24"/>
        </w:rPr>
        <w:t xml:space="preserve"> that these policy changes will result in less housing being constructed in </w:t>
      </w:r>
      <w:r w:rsidR="00574C19">
        <w:rPr>
          <w:rFonts w:ascii="Times New Roman" w:hAnsi="Times New Roman" w:cs="Times New Roman"/>
          <w:sz w:val="24"/>
          <w:szCs w:val="24"/>
        </w:rPr>
        <w:t>downtown Athens</w:t>
      </w:r>
      <w:r w:rsidR="00040217">
        <w:rPr>
          <w:rFonts w:ascii="Times New Roman" w:hAnsi="Times New Roman" w:cs="Times New Roman"/>
          <w:sz w:val="24"/>
          <w:szCs w:val="24"/>
        </w:rPr>
        <w:t xml:space="preserve">. </w:t>
      </w:r>
      <w:r w:rsidR="00C4450C">
        <w:rPr>
          <w:rFonts w:ascii="Times New Roman" w:hAnsi="Times New Roman" w:cs="Times New Roman"/>
          <w:sz w:val="24"/>
          <w:szCs w:val="24"/>
        </w:rPr>
        <w:t xml:space="preserve">Expectations of a smaller housing stock will lead to </w:t>
      </w:r>
      <w:r w:rsidR="00BB070E">
        <w:rPr>
          <w:rFonts w:ascii="Times New Roman" w:hAnsi="Times New Roman" w:cs="Times New Roman"/>
          <w:sz w:val="24"/>
          <w:szCs w:val="24"/>
        </w:rPr>
        <w:t>increas</w:t>
      </w:r>
      <w:r w:rsidR="00AE77A0">
        <w:rPr>
          <w:rFonts w:ascii="Times New Roman" w:hAnsi="Times New Roman" w:cs="Times New Roman"/>
          <w:sz w:val="24"/>
          <w:szCs w:val="24"/>
        </w:rPr>
        <w:t>es in the</w:t>
      </w:r>
      <w:r w:rsidR="00BB070E">
        <w:rPr>
          <w:rFonts w:ascii="Times New Roman" w:hAnsi="Times New Roman" w:cs="Times New Roman"/>
          <w:sz w:val="24"/>
          <w:szCs w:val="24"/>
        </w:rPr>
        <w:t xml:space="preserve"> sale price for housing units both in downtown and in </w:t>
      </w:r>
      <w:r w:rsidR="00C86F0D">
        <w:rPr>
          <w:rFonts w:ascii="Times New Roman" w:hAnsi="Times New Roman" w:cs="Times New Roman"/>
          <w:sz w:val="24"/>
          <w:szCs w:val="24"/>
        </w:rPr>
        <w:t>neighboring areas.</w:t>
      </w:r>
    </w:p>
    <w:p w14:paraId="77FE514F" w14:textId="1A642411" w:rsidR="00F5755F" w:rsidRPr="00F342BE" w:rsidRDefault="00F5755F" w:rsidP="00E5000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46107A">
        <w:rPr>
          <w:rFonts w:ascii="Times New Roman" w:hAnsi="Times New Roman" w:cs="Times New Roman"/>
          <w:sz w:val="24"/>
          <w:szCs w:val="24"/>
        </w:rPr>
        <w:t xml:space="preserve">permitting moratorium imposed by the Athens-Clarke County Commission lasted from </w:t>
      </w:r>
      <w:r w:rsidR="00D654F1">
        <w:rPr>
          <w:rFonts w:ascii="Times New Roman" w:hAnsi="Times New Roman" w:cs="Times New Roman"/>
          <w:sz w:val="24"/>
          <w:szCs w:val="24"/>
        </w:rPr>
        <w:t>02/07/2017 t</w:t>
      </w:r>
      <w:r w:rsidR="00082524">
        <w:rPr>
          <w:rFonts w:ascii="Times New Roman" w:hAnsi="Times New Roman" w:cs="Times New Roman"/>
          <w:sz w:val="24"/>
          <w:szCs w:val="24"/>
        </w:rPr>
        <w:t>o</w:t>
      </w:r>
      <w:r w:rsidR="00D654F1">
        <w:rPr>
          <w:rFonts w:ascii="Times New Roman" w:hAnsi="Times New Roman" w:cs="Times New Roman"/>
          <w:sz w:val="24"/>
          <w:szCs w:val="24"/>
        </w:rPr>
        <w:t xml:space="preserve"> 02/07/2018</w:t>
      </w:r>
      <w:r w:rsidR="00B13AB2">
        <w:rPr>
          <w:rFonts w:ascii="Times New Roman" w:hAnsi="Times New Roman" w:cs="Times New Roman"/>
          <w:sz w:val="24"/>
          <w:szCs w:val="24"/>
        </w:rPr>
        <w:t xml:space="preserve"> and covered the entirety of the Commercial-Downtown (C-D) zoning district</w:t>
      </w:r>
      <w:r w:rsidR="00082524">
        <w:rPr>
          <w:rFonts w:ascii="Times New Roman" w:hAnsi="Times New Roman" w:cs="Times New Roman"/>
          <w:sz w:val="24"/>
          <w:szCs w:val="24"/>
        </w:rPr>
        <w:t xml:space="preserve"> (Rosser Team 2017</w:t>
      </w:r>
      <w:r w:rsidR="008A6F40">
        <w:rPr>
          <w:rFonts w:ascii="Times New Roman" w:hAnsi="Times New Roman" w:cs="Times New Roman"/>
          <w:sz w:val="24"/>
          <w:szCs w:val="24"/>
        </w:rPr>
        <w:t xml:space="preserve">, </w:t>
      </w:r>
      <w:r w:rsidR="00C42EA5">
        <w:rPr>
          <w:rFonts w:ascii="Times New Roman" w:hAnsi="Times New Roman" w:cs="Times New Roman"/>
          <w:sz w:val="24"/>
          <w:szCs w:val="24"/>
        </w:rPr>
        <w:t>123).</w:t>
      </w:r>
      <w:r w:rsidR="00882090">
        <w:rPr>
          <w:rFonts w:ascii="Times New Roman" w:hAnsi="Times New Roman" w:cs="Times New Roman"/>
          <w:sz w:val="24"/>
          <w:szCs w:val="24"/>
        </w:rPr>
        <w:t xml:space="preserve"> The change to the zoning ordinance recommended by the Downtown Health and Safety Study was implemented on </w:t>
      </w:r>
      <w:r w:rsidR="00F50B96">
        <w:rPr>
          <w:rFonts w:ascii="Times New Roman" w:hAnsi="Times New Roman" w:cs="Times New Roman"/>
          <w:sz w:val="24"/>
          <w:szCs w:val="24"/>
        </w:rPr>
        <w:t>12/04/2018.</w:t>
      </w:r>
      <w:r w:rsidR="00B13AB2">
        <w:rPr>
          <w:rFonts w:ascii="Times New Roman" w:hAnsi="Times New Roman" w:cs="Times New Roman"/>
          <w:sz w:val="24"/>
          <w:szCs w:val="24"/>
        </w:rPr>
        <w:t xml:space="preserve"> The moratorium was not extended to cover this period, but there do not appear to have been any major projects approved during this time.</w:t>
      </w:r>
      <w:r w:rsidR="00F50B96">
        <w:rPr>
          <w:rFonts w:ascii="Times New Roman" w:hAnsi="Times New Roman" w:cs="Times New Roman"/>
          <w:sz w:val="24"/>
          <w:szCs w:val="24"/>
        </w:rPr>
        <w:t xml:space="preserve"> </w:t>
      </w:r>
      <w:r w:rsidR="007505E6">
        <w:rPr>
          <w:rFonts w:ascii="Times New Roman" w:hAnsi="Times New Roman" w:cs="Times New Roman"/>
          <w:sz w:val="24"/>
          <w:szCs w:val="24"/>
        </w:rPr>
        <w:t>T</w:t>
      </w:r>
      <w:r w:rsidR="00FD4B4A">
        <w:rPr>
          <w:rFonts w:ascii="Times New Roman" w:hAnsi="Times New Roman" w:cs="Times New Roman"/>
          <w:sz w:val="24"/>
          <w:szCs w:val="24"/>
        </w:rPr>
        <w:t xml:space="preserve">he </w:t>
      </w:r>
      <w:r w:rsidR="00B14A0D">
        <w:rPr>
          <w:rFonts w:ascii="Times New Roman" w:hAnsi="Times New Roman" w:cs="Times New Roman"/>
          <w:sz w:val="24"/>
          <w:szCs w:val="24"/>
        </w:rPr>
        <w:t xml:space="preserve">new ordinance includes a clause that </w:t>
      </w:r>
      <w:r w:rsidR="008978FA">
        <w:rPr>
          <w:rFonts w:ascii="Times New Roman" w:hAnsi="Times New Roman" w:cs="Times New Roman"/>
          <w:sz w:val="24"/>
          <w:szCs w:val="24"/>
        </w:rPr>
        <w:t>states that “no more than 25% of the dwellings within a multifamily development shall have four or more bedrooms per dwelling unit</w:t>
      </w:r>
      <w:r w:rsidR="00F342BE">
        <w:rPr>
          <w:rFonts w:ascii="Times New Roman" w:hAnsi="Times New Roman" w:cs="Times New Roman"/>
          <w:sz w:val="24"/>
          <w:szCs w:val="24"/>
        </w:rPr>
        <w:t>.</w:t>
      </w:r>
      <w:r w:rsidR="008978FA">
        <w:rPr>
          <w:rFonts w:ascii="Times New Roman" w:hAnsi="Times New Roman" w:cs="Times New Roman"/>
          <w:sz w:val="24"/>
          <w:szCs w:val="24"/>
        </w:rPr>
        <w:t>”</w:t>
      </w:r>
      <w:r w:rsidR="00F342BE">
        <w:rPr>
          <w:rFonts w:ascii="Times New Roman" w:hAnsi="Times New Roman" w:cs="Times New Roman"/>
          <w:sz w:val="24"/>
          <w:szCs w:val="24"/>
        </w:rPr>
        <w:t xml:space="preserve"> (</w:t>
      </w:r>
      <w:r w:rsidR="00F342BE">
        <w:rPr>
          <w:rFonts w:ascii="Times New Roman" w:hAnsi="Times New Roman" w:cs="Times New Roman"/>
          <w:i/>
          <w:iCs/>
          <w:sz w:val="24"/>
          <w:szCs w:val="24"/>
        </w:rPr>
        <w:t>Ordinance of Multifamily Dwellings</w:t>
      </w:r>
      <w:r w:rsidR="00F342BE">
        <w:rPr>
          <w:rFonts w:ascii="Times New Roman" w:hAnsi="Times New Roman" w:cs="Times New Roman"/>
          <w:sz w:val="24"/>
          <w:szCs w:val="24"/>
        </w:rPr>
        <w:t xml:space="preserve">, 2018) While this change technically applies to </w:t>
      </w:r>
      <w:r w:rsidR="00115064">
        <w:rPr>
          <w:rFonts w:ascii="Times New Roman" w:hAnsi="Times New Roman" w:cs="Times New Roman"/>
          <w:sz w:val="24"/>
          <w:szCs w:val="24"/>
        </w:rPr>
        <w:t xml:space="preserve">all </w:t>
      </w:r>
      <w:r w:rsidR="007505E6">
        <w:rPr>
          <w:rFonts w:ascii="Times New Roman" w:hAnsi="Times New Roman" w:cs="Times New Roman"/>
          <w:sz w:val="24"/>
          <w:szCs w:val="24"/>
        </w:rPr>
        <w:t xml:space="preserve">categories of </w:t>
      </w:r>
      <w:r w:rsidR="00115064">
        <w:rPr>
          <w:rFonts w:ascii="Times New Roman" w:hAnsi="Times New Roman" w:cs="Times New Roman"/>
          <w:sz w:val="24"/>
          <w:szCs w:val="24"/>
        </w:rPr>
        <w:t>commercial zoning</w:t>
      </w:r>
      <w:r w:rsidR="007505E6">
        <w:rPr>
          <w:rFonts w:ascii="Times New Roman" w:hAnsi="Times New Roman" w:cs="Times New Roman"/>
          <w:sz w:val="24"/>
          <w:szCs w:val="24"/>
        </w:rPr>
        <w:t>, it is l</w:t>
      </w:r>
      <w:r w:rsidR="00AB6675">
        <w:rPr>
          <w:rFonts w:ascii="Times New Roman" w:hAnsi="Times New Roman" w:cs="Times New Roman"/>
          <w:sz w:val="24"/>
          <w:szCs w:val="24"/>
        </w:rPr>
        <w:t>i</w:t>
      </w:r>
      <w:r w:rsidR="007505E6">
        <w:rPr>
          <w:rFonts w:ascii="Times New Roman" w:hAnsi="Times New Roman" w:cs="Times New Roman"/>
          <w:sz w:val="24"/>
          <w:szCs w:val="24"/>
        </w:rPr>
        <w:t xml:space="preserve">kely to be </w:t>
      </w:r>
      <w:r w:rsidR="00466E26">
        <w:rPr>
          <w:rFonts w:ascii="Times New Roman" w:hAnsi="Times New Roman" w:cs="Times New Roman"/>
          <w:sz w:val="24"/>
          <w:szCs w:val="24"/>
        </w:rPr>
        <w:t>felt significantly more strongly</w:t>
      </w:r>
      <w:r w:rsidR="007505E6">
        <w:rPr>
          <w:rFonts w:ascii="Times New Roman" w:hAnsi="Times New Roman" w:cs="Times New Roman"/>
          <w:sz w:val="24"/>
          <w:szCs w:val="24"/>
        </w:rPr>
        <w:t xml:space="preserve"> by </w:t>
      </w:r>
      <w:r w:rsidR="00466E26">
        <w:rPr>
          <w:rFonts w:ascii="Times New Roman" w:hAnsi="Times New Roman" w:cs="Times New Roman"/>
          <w:sz w:val="24"/>
          <w:szCs w:val="24"/>
        </w:rPr>
        <w:t>developers building in C-D zoned areas</w:t>
      </w:r>
      <w:r w:rsidR="00B13AB2">
        <w:rPr>
          <w:rFonts w:ascii="Times New Roman" w:hAnsi="Times New Roman" w:cs="Times New Roman"/>
          <w:sz w:val="24"/>
          <w:szCs w:val="24"/>
        </w:rPr>
        <w:t xml:space="preserve"> as all other zoning districts were already subject to strict bedroom density caps.</w:t>
      </w:r>
    </w:p>
    <w:p w14:paraId="16DA1426" w14:textId="5DF0B5F5" w:rsidR="006013D0" w:rsidRPr="00870734" w:rsidRDefault="00870734" w:rsidP="00E5000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I. </w:t>
      </w:r>
      <w:r w:rsidR="006013D0" w:rsidRPr="00870734">
        <w:rPr>
          <w:rFonts w:ascii="Times New Roman" w:hAnsi="Times New Roman" w:cs="Times New Roman"/>
          <w:b/>
          <w:bCs/>
          <w:sz w:val="24"/>
          <w:szCs w:val="24"/>
        </w:rPr>
        <w:t>Literature Review</w:t>
      </w:r>
    </w:p>
    <w:p w14:paraId="3366BB44" w14:textId="6DEF2777" w:rsidR="006013D0" w:rsidRDefault="00870734" w:rsidP="00E50004">
      <w:pPr>
        <w:spacing w:line="480" w:lineRule="auto"/>
        <w:rPr>
          <w:rFonts w:ascii="Times New Roman" w:hAnsi="Times New Roman" w:cs="Times New Roman"/>
          <w:sz w:val="24"/>
          <w:szCs w:val="24"/>
        </w:rPr>
      </w:pPr>
      <w:r>
        <w:rPr>
          <w:rFonts w:ascii="Times New Roman" w:hAnsi="Times New Roman" w:cs="Times New Roman"/>
          <w:sz w:val="24"/>
          <w:szCs w:val="24"/>
        </w:rPr>
        <w:tab/>
      </w:r>
      <w:r w:rsidR="00395209">
        <w:rPr>
          <w:rFonts w:ascii="Times New Roman" w:hAnsi="Times New Roman" w:cs="Times New Roman"/>
          <w:sz w:val="24"/>
          <w:szCs w:val="24"/>
        </w:rPr>
        <w:t xml:space="preserve">The literature is largely in agreement </w:t>
      </w:r>
      <w:r w:rsidR="00EC0654">
        <w:rPr>
          <w:rFonts w:ascii="Times New Roman" w:hAnsi="Times New Roman" w:cs="Times New Roman"/>
          <w:sz w:val="24"/>
          <w:szCs w:val="24"/>
        </w:rPr>
        <w:t xml:space="preserve">that imposing additional land use regulations on an area will tend to reduce the amount of </w:t>
      </w:r>
      <w:r w:rsidR="0013587B">
        <w:rPr>
          <w:rFonts w:ascii="Times New Roman" w:hAnsi="Times New Roman" w:cs="Times New Roman"/>
          <w:sz w:val="24"/>
          <w:szCs w:val="24"/>
        </w:rPr>
        <w:t xml:space="preserve">new </w:t>
      </w:r>
      <w:r w:rsidR="00EC0654">
        <w:rPr>
          <w:rFonts w:ascii="Times New Roman" w:hAnsi="Times New Roman" w:cs="Times New Roman"/>
          <w:sz w:val="24"/>
          <w:szCs w:val="24"/>
        </w:rPr>
        <w:t xml:space="preserve">housing </w:t>
      </w:r>
      <w:r w:rsidR="0013587B">
        <w:rPr>
          <w:rFonts w:ascii="Times New Roman" w:hAnsi="Times New Roman" w:cs="Times New Roman"/>
          <w:sz w:val="24"/>
          <w:szCs w:val="24"/>
        </w:rPr>
        <w:t>produced in that area.</w:t>
      </w:r>
      <w:r w:rsidR="00D604DC">
        <w:rPr>
          <w:rFonts w:ascii="Times New Roman" w:hAnsi="Times New Roman" w:cs="Times New Roman"/>
          <w:sz w:val="24"/>
          <w:szCs w:val="24"/>
        </w:rPr>
        <w:t xml:space="preserve"> There is also broad agreement that </w:t>
      </w:r>
      <w:r w:rsidR="00C974BC">
        <w:rPr>
          <w:rFonts w:ascii="Times New Roman" w:hAnsi="Times New Roman" w:cs="Times New Roman"/>
          <w:sz w:val="24"/>
          <w:szCs w:val="24"/>
        </w:rPr>
        <w:t>stricter land use regulation tends to i</w:t>
      </w:r>
      <w:r w:rsidR="0013587B">
        <w:rPr>
          <w:rFonts w:ascii="Times New Roman" w:hAnsi="Times New Roman" w:cs="Times New Roman"/>
          <w:sz w:val="24"/>
          <w:szCs w:val="24"/>
        </w:rPr>
        <w:t xml:space="preserve">ncrease local housing prices, although this </w:t>
      </w:r>
      <w:r w:rsidR="00ED2D3C">
        <w:rPr>
          <w:rFonts w:ascii="Times New Roman" w:hAnsi="Times New Roman" w:cs="Times New Roman"/>
          <w:sz w:val="24"/>
          <w:szCs w:val="24"/>
        </w:rPr>
        <w:t>relationship is more nuanced than the relationship between regulation and housing supply.</w:t>
      </w:r>
      <w:r w:rsidR="00481DBF">
        <w:rPr>
          <w:rFonts w:ascii="Times New Roman" w:hAnsi="Times New Roman" w:cs="Times New Roman"/>
          <w:sz w:val="24"/>
          <w:szCs w:val="24"/>
        </w:rPr>
        <w:t xml:space="preserve"> </w:t>
      </w:r>
      <w:proofErr w:type="gramStart"/>
      <w:r w:rsidR="00481DBF">
        <w:rPr>
          <w:rFonts w:ascii="Times New Roman" w:hAnsi="Times New Roman" w:cs="Times New Roman"/>
          <w:sz w:val="24"/>
          <w:szCs w:val="24"/>
        </w:rPr>
        <w:t>Both of these</w:t>
      </w:r>
      <w:proofErr w:type="gramEnd"/>
      <w:r w:rsidR="00481DBF">
        <w:rPr>
          <w:rFonts w:ascii="Times New Roman" w:hAnsi="Times New Roman" w:cs="Times New Roman"/>
          <w:sz w:val="24"/>
          <w:szCs w:val="24"/>
        </w:rPr>
        <w:t xml:space="preserve"> trends are quite broad, though, and may not accurately describe the </w:t>
      </w:r>
      <w:r w:rsidR="0001150F">
        <w:rPr>
          <w:rFonts w:ascii="Times New Roman" w:hAnsi="Times New Roman" w:cs="Times New Roman"/>
          <w:sz w:val="24"/>
          <w:szCs w:val="24"/>
        </w:rPr>
        <w:t xml:space="preserve">effects of a particular regulation on a particular area. </w:t>
      </w:r>
      <w:r w:rsidR="001D2DE7">
        <w:rPr>
          <w:rFonts w:ascii="Times New Roman" w:hAnsi="Times New Roman" w:cs="Times New Roman"/>
          <w:sz w:val="24"/>
          <w:szCs w:val="24"/>
        </w:rPr>
        <w:t xml:space="preserve">Looking at specific </w:t>
      </w:r>
      <w:r w:rsidR="00262C46">
        <w:rPr>
          <w:rFonts w:ascii="Times New Roman" w:hAnsi="Times New Roman" w:cs="Times New Roman"/>
          <w:sz w:val="24"/>
          <w:szCs w:val="24"/>
        </w:rPr>
        <w:t xml:space="preserve">cases </w:t>
      </w:r>
      <w:r w:rsidR="00C9580D">
        <w:rPr>
          <w:rFonts w:ascii="Times New Roman" w:hAnsi="Times New Roman" w:cs="Times New Roman"/>
          <w:sz w:val="24"/>
          <w:szCs w:val="24"/>
        </w:rPr>
        <w:t>helps to illustrate some of the nuances of these trends.</w:t>
      </w:r>
    </w:p>
    <w:p w14:paraId="0AC9ECA8" w14:textId="3B6D2FE8" w:rsidR="00C9580D" w:rsidRDefault="00C9580D" w:rsidP="00E5000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proofErr w:type="spellStart"/>
      <w:r>
        <w:rPr>
          <w:rFonts w:ascii="Times New Roman" w:hAnsi="Times New Roman" w:cs="Times New Roman"/>
          <w:sz w:val="24"/>
          <w:szCs w:val="24"/>
        </w:rPr>
        <w:t>Glaeser</w:t>
      </w:r>
      <w:proofErr w:type="spellEnd"/>
      <w:r>
        <w:rPr>
          <w:rFonts w:ascii="Times New Roman" w:hAnsi="Times New Roman" w:cs="Times New Roman"/>
          <w:sz w:val="24"/>
          <w:szCs w:val="24"/>
        </w:rPr>
        <w:t xml:space="preserve"> (2009)</w:t>
      </w:r>
      <w:r w:rsidR="00767598">
        <w:rPr>
          <w:rFonts w:ascii="Times New Roman" w:hAnsi="Times New Roman" w:cs="Times New Roman"/>
          <w:sz w:val="24"/>
          <w:szCs w:val="24"/>
        </w:rPr>
        <w:t xml:space="preserve"> </w:t>
      </w:r>
      <w:r w:rsidR="00186258">
        <w:rPr>
          <w:rFonts w:ascii="Times New Roman" w:hAnsi="Times New Roman" w:cs="Times New Roman"/>
          <w:sz w:val="24"/>
          <w:szCs w:val="24"/>
        </w:rPr>
        <w:t xml:space="preserve">looks at the 187 cities and towns that make up Greater Boston and how their wide range of land use regulation </w:t>
      </w:r>
      <w:r w:rsidR="0035462B">
        <w:rPr>
          <w:rFonts w:ascii="Times New Roman" w:hAnsi="Times New Roman" w:cs="Times New Roman"/>
          <w:sz w:val="24"/>
          <w:szCs w:val="24"/>
        </w:rPr>
        <w:t xml:space="preserve">influences housing price and supply. </w:t>
      </w:r>
      <w:r w:rsidR="002C7467">
        <w:rPr>
          <w:rFonts w:ascii="Times New Roman" w:hAnsi="Times New Roman" w:cs="Times New Roman"/>
          <w:sz w:val="24"/>
          <w:szCs w:val="24"/>
        </w:rPr>
        <w:t>A</w:t>
      </w:r>
      <w:r w:rsidR="004E2170">
        <w:rPr>
          <w:rFonts w:ascii="Times New Roman" w:hAnsi="Times New Roman" w:cs="Times New Roman"/>
          <w:sz w:val="24"/>
          <w:szCs w:val="24"/>
        </w:rPr>
        <w:t>s expected, a</w:t>
      </w:r>
      <w:r w:rsidR="002C7467">
        <w:rPr>
          <w:rFonts w:ascii="Times New Roman" w:hAnsi="Times New Roman" w:cs="Times New Roman"/>
          <w:sz w:val="24"/>
          <w:szCs w:val="24"/>
        </w:rPr>
        <w:t xml:space="preserve">n examination of the individual towns and cities in the study area reveals a very strong correlation between increased levels of regulation and </w:t>
      </w:r>
      <w:r w:rsidR="00970ABA">
        <w:rPr>
          <w:rFonts w:ascii="Times New Roman" w:hAnsi="Times New Roman" w:cs="Times New Roman"/>
          <w:sz w:val="24"/>
          <w:szCs w:val="24"/>
        </w:rPr>
        <w:t>reduced levels of</w:t>
      </w:r>
      <w:r w:rsidR="002C7467">
        <w:rPr>
          <w:rFonts w:ascii="Times New Roman" w:hAnsi="Times New Roman" w:cs="Times New Roman"/>
          <w:sz w:val="24"/>
          <w:szCs w:val="24"/>
        </w:rPr>
        <w:t xml:space="preserve"> </w:t>
      </w:r>
      <w:r w:rsidR="005034FC">
        <w:rPr>
          <w:rFonts w:ascii="Times New Roman" w:hAnsi="Times New Roman" w:cs="Times New Roman"/>
          <w:sz w:val="24"/>
          <w:szCs w:val="24"/>
        </w:rPr>
        <w:t xml:space="preserve">development. </w:t>
      </w:r>
      <w:r w:rsidR="004E2170">
        <w:rPr>
          <w:rFonts w:ascii="Times New Roman" w:hAnsi="Times New Roman" w:cs="Times New Roman"/>
          <w:sz w:val="24"/>
          <w:szCs w:val="24"/>
        </w:rPr>
        <w:t xml:space="preserve">Their analysis produces </w:t>
      </w:r>
      <w:r w:rsidR="000479F9">
        <w:rPr>
          <w:rFonts w:ascii="Times New Roman" w:hAnsi="Times New Roman" w:cs="Times New Roman"/>
          <w:sz w:val="24"/>
          <w:szCs w:val="24"/>
        </w:rPr>
        <w:t xml:space="preserve">one surprising result, though. </w:t>
      </w:r>
      <w:r w:rsidR="006F4CA8">
        <w:rPr>
          <w:rFonts w:ascii="Times New Roman" w:hAnsi="Times New Roman" w:cs="Times New Roman"/>
          <w:sz w:val="24"/>
          <w:szCs w:val="24"/>
        </w:rPr>
        <w:t>They show</w:t>
      </w:r>
      <w:r w:rsidR="000479F9">
        <w:rPr>
          <w:rFonts w:ascii="Times New Roman" w:hAnsi="Times New Roman" w:cs="Times New Roman"/>
          <w:sz w:val="24"/>
          <w:szCs w:val="24"/>
        </w:rPr>
        <w:t xml:space="preserve"> only a very weak correlation between the residential density of a town and housing cost. </w:t>
      </w:r>
      <w:proofErr w:type="spellStart"/>
      <w:r w:rsidR="00C1279F">
        <w:rPr>
          <w:rFonts w:ascii="Times New Roman" w:hAnsi="Times New Roman" w:cs="Times New Roman"/>
          <w:sz w:val="24"/>
          <w:szCs w:val="24"/>
        </w:rPr>
        <w:t>Glaeser</w:t>
      </w:r>
      <w:proofErr w:type="spellEnd"/>
      <w:r w:rsidR="00C1279F">
        <w:rPr>
          <w:rFonts w:ascii="Times New Roman" w:hAnsi="Times New Roman" w:cs="Times New Roman"/>
          <w:sz w:val="24"/>
          <w:szCs w:val="24"/>
        </w:rPr>
        <w:t xml:space="preserve"> attributes this to </w:t>
      </w:r>
      <w:r w:rsidR="00D96D0F">
        <w:rPr>
          <w:rFonts w:ascii="Times New Roman" w:hAnsi="Times New Roman" w:cs="Times New Roman"/>
          <w:sz w:val="24"/>
          <w:szCs w:val="24"/>
        </w:rPr>
        <w:t xml:space="preserve">the fact that each town only governs a relatively small part of the </w:t>
      </w:r>
      <w:r w:rsidR="003A37E3">
        <w:rPr>
          <w:rFonts w:ascii="Times New Roman" w:hAnsi="Times New Roman" w:cs="Times New Roman"/>
          <w:sz w:val="24"/>
          <w:szCs w:val="24"/>
        </w:rPr>
        <w:t>housing market.</w:t>
      </w:r>
      <w:r w:rsidR="00436E39">
        <w:rPr>
          <w:rFonts w:ascii="Times New Roman" w:hAnsi="Times New Roman" w:cs="Times New Roman"/>
          <w:sz w:val="24"/>
          <w:szCs w:val="24"/>
        </w:rPr>
        <w:t xml:space="preserve"> </w:t>
      </w:r>
      <w:r w:rsidR="00C55A3B">
        <w:rPr>
          <w:rFonts w:ascii="Times New Roman" w:hAnsi="Times New Roman" w:cs="Times New Roman"/>
          <w:sz w:val="24"/>
          <w:szCs w:val="24"/>
        </w:rPr>
        <w:t>While</w:t>
      </w:r>
      <w:r w:rsidR="00E22242">
        <w:rPr>
          <w:rFonts w:ascii="Times New Roman" w:hAnsi="Times New Roman" w:cs="Times New Roman"/>
          <w:sz w:val="24"/>
          <w:szCs w:val="24"/>
        </w:rPr>
        <w:t xml:space="preserve"> additional</w:t>
      </w:r>
      <w:r w:rsidR="00C55A3B">
        <w:rPr>
          <w:rFonts w:ascii="Times New Roman" w:hAnsi="Times New Roman" w:cs="Times New Roman"/>
          <w:sz w:val="24"/>
          <w:szCs w:val="24"/>
        </w:rPr>
        <w:t xml:space="preserve"> regulation may </w:t>
      </w:r>
      <w:r w:rsidR="00E22242">
        <w:rPr>
          <w:rFonts w:ascii="Times New Roman" w:hAnsi="Times New Roman" w:cs="Times New Roman"/>
          <w:sz w:val="24"/>
          <w:szCs w:val="24"/>
        </w:rPr>
        <w:t xml:space="preserve">be the cause of a large share of the increase in housing costs over the </w:t>
      </w:r>
      <w:r w:rsidR="00970ABA">
        <w:rPr>
          <w:rFonts w:ascii="Times New Roman" w:hAnsi="Times New Roman" w:cs="Times New Roman"/>
          <w:sz w:val="24"/>
          <w:szCs w:val="24"/>
        </w:rPr>
        <w:t xml:space="preserve">last several decades, </w:t>
      </w:r>
      <w:r w:rsidR="00515732">
        <w:rPr>
          <w:rFonts w:ascii="Times New Roman" w:hAnsi="Times New Roman" w:cs="Times New Roman"/>
          <w:sz w:val="24"/>
          <w:szCs w:val="24"/>
        </w:rPr>
        <w:t>the regulations introduced by any single tow</w:t>
      </w:r>
      <w:r w:rsidR="001F0E44">
        <w:rPr>
          <w:rFonts w:ascii="Times New Roman" w:hAnsi="Times New Roman" w:cs="Times New Roman"/>
          <w:sz w:val="24"/>
          <w:szCs w:val="24"/>
        </w:rPr>
        <w:t xml:space="preserve">n </w:t>
      </w:r>
      <w:r w:rsidR="00E4431B">
        <w:rPr>
          <w:rFonts w:ascii="Times New Roman" w:hAnsi="Times New Roman" w:cs="Times New Roman"/>
          <w:sz w:val="24"/>
          <w:szCs w:val="24"/>
        </w:rPr>
        <w:t>are responsible for very little of it.</w:t>
      </w:r>
    </w:p>
    <w:p w14:paraId="66D3B7CA" w14:textId="4FFB164C" w:rsidR="00E4431B" w:rsidRDefault="00E4431B" w:rsidP="00E50004">
      <w:pPr>
        <w:spacing w:line="480" w:lineRule="auto"/>
        <w:rPr>
          <w:rFonts w:ascii="Times New Roman" w:hAnsi="Times New Roman" w:cs="Times New Roman"/>
          <w:sz w:val="24"/>
          <w:szCs w:val="24"/>
        </w:rPr>
      </w:pPr>
      <w:r>
        <w:rPr>
          <w:rFonts w:ascii="Times New Roman" w:hAnsi="Times New Roman" w:cs="Times New Roman"/>
          <w:sz w:val="24"/>
          <w:szCs w:val="24"/>
        </w:rPr>
        <w:tab/>
        <w:t>Lin (2020)</w:t>
      </w:r>
      <w:r w:rsidR="005E57AF">
        <w:rPr>
          <w:rFonts w:ascii="Times New Roman" w:hAnsi="Times New Roman" w:cs="Times New Roman"/>
          <w:sz w:val="24"/>
          <w:szCs w:val="24"/>
        </w:rPr>
        <w:t xml:space="preserve"> looks at this phenomenon</w:t>
      </w:r>
      <w:r w:rsidR="009206E6">
        <w:rPr>
          <w:rFonts w:ascii="Times New Roman" w:hAnsi="Times New Roman" w:cs="Times New Roman"/>
          <w:sz w:val="24"/>
          <w:szCs w:val="24"/>
        </w:rPr>
        <w:t xml:space="preserve"> </w:t>
      </w:r>
      <w:r w:rsidR="005E57AF">
        <w:rPr>
          <w:rFonts w:ascii="Times New Roman" w:hAnsi="Times New Roman" w:cs="Times New Roman"/>
          <w:sz w:val="24"/>
          <w:szCs w:val="24"/>
        </w:rPr>
        <w:t xml:space="preserve">in more detail. </w:t>
      </w:r>
      <w:r w:rsidR="00CC3CF1">
        <w:rPr>
          <w:rFonts w:ascii="Times New Roman" w:hAnsi="Times New Roman" w:cs="Times New Roman"/>
          <w:sz w:val="24"/>
          <w:szCs w:val="24"/>
        </w:rPr>
        <w:t xml:space="preserve">They argue that </w:t>
      </w:r>
      <w:r w:rsidR="009206E6">
        <w:rPr>
          <w:rFonts w:ascii="Times New Roman" w:hAnsi="Times New Roman" w:cs="Times New Roman"/>
          <w:sz w:val="24"/>
          <w:szCs w:val="24"/>
        </w:rPr>
        <w:t>this regulatory spillo</w:t>
      </w:r>
      <w:r w:rsidR="00BC60E5">
        <w:rPr>
          <w:rFonts w:ascii="Times New Roman" w:hAnsi="Times New Roman" w:cs="Times New Roman"/>
          <w:sz w:val="24"/>
          <w:szCs w:val="24"/>
        </w:rPr>
        <w:t>ver causes other analyses to dramatically understate the true costs of land use regulation</w:t>
      </w:r>
      <w:r w:rsidR="00B861EC">
        <w:rPr>
          <w:rFonts w:ascii="Times New Roman" w:hAnsi="Times New Roman" w:cs="Times New Roman"/>
          <w:sz w:val="24"/>
          <w:szCs w:val="24"/>
        </w:rPr>
        <w:t xml:space="preserve">. </w:t>
      </w:r>
      <w:r w:rsidR="00751C5F">
        <w:rPr>
          <w:rFonts w:ascii="Times New Roman" w:hAnsi="Times New Roman" w:cs="Times New Roman"/>
          <w:sz w:val="24"/>
          <w:szCs w:val="24"/>
        </w:rPr>
        <w:t>A significant share of the</w:t>
      </w:r>
      <w:r w:rsidR="00B861EC">
        <w:rPr>
          <w:rFonts w:ascii="Times New Roman" w:hAnsi="Times New Roman" w:cs="Times New Roman"/>
          <w:sz w:val="24"/>
          <w:szCs w:val="24"/>
        </w:rPr>
        <w:t xml:space="preserve"> costs of </w:t>
      </w:r>
      <w:r w:rsidR="00BB2A5D">
        <w:rPr>
          <w:rFonts w:ascii="Times New Roman" w:hAnsi="Times New Roman" w:cs="Times New Roman"/>
          <w:sz w:val="24"/>
          <w:szCs w:val="24"/>
        </w:rPr>
        <w:t xml:space="preserve">a new ordinance is </w:t>
      </w:r>
      <w:r w:rsidR="00751C5F">
        <w:rPr>
          <w:rFonts w:ascii="Times New Roman" w:hAnsi="Times New Roman" w:cs="Times New Roman"/>
          <w:sz w:val="24"/>
          <w:szCs w:val="24"/>
        </w:rPr>
        <w:t xml:space="preserve">distributed over nearby areas that aren’t subject to the regulation. </w:t>
      </w:r>
      <w:r w:rsidR="00BE7E82">
        <w:rPr>
          <w:rFonts w:ascii="Times New Roman" w:hAnsi="Times New Roman" w:cs="Times New Roman"/>
          <w:sz w:val="24"/>
          <w:szCs w:val="24"/>
        </w:rPr>
        <w:t xml:space="preserve">This portion of the costs may be </w:t>
      </w:r>
      <w:r w:rsidR="00054013">
        <w:rPr>
          <w:rFonts w:ascii="Times New Roman" w:hAnsi="Times New Roman" w:cs="Times New Roman"/>
          <w:sz w:val="24"/>
          <w:szCs w:val="24"/>
        </w:rPr>
        <w:t xml:space="preserve">ignored by </w:t>
      </w:r>
      <w:r w:rsidR="00176DBB">
        <w:rPr>
          <w:rFonts w:ascii="Times New Roman" w:hAnsi="Times New Roman" w:cs="Times New Roman"/>
          <w:sz w:val="24"/>
          <w:szCs w:val="24"/>
        </w:rPr>
        <w:t xml:space="preserve">traditional analyses </w:t>
      </w:r>
      <w:r w:rsidR="00F31E34">
        <w:rPr>
          <w:rFonts w:ascii="Times New Roman" w:hAnsi="Times New Roman" w:cs="Times New Roman"/>
          <w:sz w:val="24"/>
          <w:szCs w:val="24"/>
        </w:rPr>
        <w:t xml:space="preserve">of regulation that only look at costs within the area </w:t>
      </w:r>
      <w:r w:rsidR="00EC4489">
        <w:rPr>
          <w:rFonts w:ascii="Times New Roman" w:hAnsi="Times New Roman" w:cs="Times New Roman"/>
          <w:sz w:val="24"/>
          <w:szCs w:val="24"/>
        </w:rPr>
        <w:t xml:space="preserve">where the regulation is applied. Applying the method that they developed to data from California </w:t>
      </w:r>
      <w:r w:rsidR="009B4E79">
        <w:rPr>
          <w:rFonts w:ascii="Times New Roman" w:hAnsi="Times New Roman" w:cs="Times New Roman"/>
          <w:sz w:val="24"/>
          <w:szCs w:val="24"/>
        </w:rPr>
        <w:t xml:space="preserve">produces a mean cost of regulation that is roughly 80% higher than the typical cost reported in the literature. </w:t>
      </w:r>
      <w:r w:rsidR="009B609A">
        <w:rPr>
          <w:rFonts w:ascii="Times New Roman" w:hAnsi="Times New Roman" w:cs="Times New Roman"/>
          <w:sz w:val="24"/>
          <w:szCs w:val="24"/>
        </w:rPr>
        <w:t>They additionally</w:t>
      </w:r>
      <w:r w:rsidR="00DD1C8A">
        <w:rPr>
          <w:rFonts w:ascii="Times New Roman" w:hAnsi="Times New Roman" w:cs="Times New Roman"/>
          <w:sz w:val="24"/>
          <w:szCs w:val="24"/>
        </w:rPr>
        <w:t xml:space="preserve"> find that </w:t>
      </w:r>
      <w:r w:rsidR="00885202">
        <w:rPr>
          <w:rFonts w:ascii="Times New Roman" w:hAnsi="Times New Roman" w:cs="Times New Roman"/>
          <w:sz w:val="24"/>
          <w:szCs w:val="24"/>
        </w:rPr>
        <w:t>a regulation</w:t>
      </w:r>
      <w:r w:rsidR="00DD1C8A">
        <w:rPr>
          <w:rFonts w:ascii="Times New Roman" w:hAnsi="Times New Roman" w:cs="Times New Roman"/>
          <w:sz w:val="24"/>
          <w:szCs w:val="24"/>
        </w:rPr>
        <w:t xml:space="preserve"> imposed over</w:t>
      </w:r>
      <w:r w:rsidR="00885202">
        <w:rPr>
          <w:rFonts w:ascii="Times New Roman" w:hAnsi="Times New Roman" w:cs="Times New Roman"/>
          <w:sz w:val="24"/>
          <w:szCs w:val="24"/>
        </w:rPr>
        <w:t xml:space="preserve"> a</w:t>
      </w:r>
      <w:r w:rsidR="00DD1C8A">
        <w:rPr>
          <w:rFonts w:ascii="Times New Roman" w:hAnsi="Times New Roman" w:cs="Times New Roman"/>
          <w:sz w:val="24"/>
          <w:szCs w:val="24"/>
        </w:rPr>
        <w:t xml:space="preserve"> larger area </w:t>
      </w:r>
      <w:r w:rsidR="00885202">
        <w:rPr>
          <w:rFonts w:ascii="Times New Roman" w:hAnsi="Times New Roman" w:cs="Times New Roman"/>
          <w:sz w:val="24"/>
          <w:szCs w:val="24"/>
        </w:rPr>
        <w:t>tends t</w:t>
      </w:r>
      <w:r w:rsidR="00395ED6">
        <w:rPr>
          <w:rFonts w:ascii="Times New Roman" w:hAnsi="Times New Roman" w:cs="Times New Roman"/>
          <w:sz w:val="24"/>
          <w:szCs w:val="24"/>
        </w:rPr>
        <w:t xml:space="preserve">o </w:t>
      </w:r>
      <w:r w:rsidR="00852637">
        <w:rPr>
          <w:rFonts w:ascii="Times New Roman" w:hAnsi="Times New Roman" w:cs="Times New Roman"/>
          <w:sz w:val="24"/>
          <w:szCs w:val="24"/>
        </w:rPr>
        <w:t>produce</w:t>
      </w:r>
      <w:r w:rsidR="00395ED6">
        <w:rPr>
          <w:rFonts w:ascii="Times New Roman" w:hAnsi="Times New Roman" w:cs="Times New Roman"/>
          <w:sz w:val="24"/>
          <w:szCs w:val="24"/>
        </w:rPr>
        <w:t xml:space="preserve"> significantly higher costs</w:t>
      </w:r>
      <w:r w:rsidR="00B143CB">
        <w:rPr>
          <w:rFonts w:ascii="Times New Roman" w:hAnsi="Times New Roman" w:cs="Times New Roman"/>
          <w:sz w:val="24"/>
          <w:szCs w:val="24"/>
        </w:rPr>
        <w:t>, both within the area and in neighboring areas,</w:t>
      </w:r>
      <w:r w:rsidR="00D13CC6">
        <w:rPr>
          <w:rFonts w:ascii="Times New Roman" w:hAnsi="Times New Roman" w:cs="Times New Roman"/>
          <w:sz w:val="24"/>
          <w:szCs w:val="24"/>
        </w:rPr>
        <w:t xml:space="preserve"> than a regulation imposed over a smaller area</w:t>
      </w:r>
      <w:r w:rsidR="00852637">
        <w:rPr>
          <w:rFonts w:ascii="Times New Roman" w:hAnsi="Times New Roman" w:cs="Times New Roman"/>
          <w:sz w:val="24"/>
          <w:szCs w:val="24"/>
        </w:rPr>
        <w:t>.</w:t>
      </w:r>
    </w:p>
    <w:p w14:paraId="6E933441" w14:textId="49DE2BCC" w:rsidR="00852637" w:rsidRDefault="00852637" w:rsidP="00E50004">
      <w:pPr>
        <w:spacing w:line="480" w:lineRule="auto"/>
        <w:rPr>
          <w:rFonts w:ascii="Times New Roman" w:hAnsi="Times New Roman" w:cs="Times New Roman"/>
          <w:sz w:val="24"/>
          <w:szCs w:val="24"/>
        </w:rPr>
      </w:pPr>
      <w:r>
        <w:rPr>
          <w:rFonts w:ascii="Times New Roman" w:hAnsi="Times New Roman" w:cs="Times New Roman"/>
          <w:sz w:val="24"/>
          <w:szCs w:val="24"/>
        </w:rPr>
        <w:tab/>
      </w:r>
      <w:r w:rsidR="0056221C">
        <w:rPr>
          <w:rFonts w:ascii="Times New Roman" w:hAnsi="Times New Roman" w:cs="Times New Roman"/>
          <w:sz w:val="24"/>
          <w:szCs w:val="24"/>
        </w:rPr>
        <w:t xml:space="preserve">The literature looking specifically at student-oriented housing or college towns is slightly thinner, but still useful. </w:t>
      </w:r>
      <w:r w:rsidR="00FD7452">
        <w:rPr>
          <w:rFonts w:ascii="Times New Roman" w:hAnsi="Times New Roman" w:cs="Times New Roman"/>
          <w:sz w:val="24"/>
          <w:szCs w:val="24"/>
        </w:rPr>
        <w:t xml:space="preserve">Most studies in this area are structured as case studies looking at a single town or university. </w:t>
      </w:r>
      <w:proofErr w:type="spellStart"/>
      <w:r w:rsidR="00FD7452">
        <w:rPr>
          <w:rFonts w:ascii="Times New Roman" w:hAnsi="Times New Roman" w:cs="Times New Roman"/>
          <w:sz w:val="24"/>
          <w:szCs w:val="24"/>
        </w:rPr>
        <w:t>Langlett</w:t>
      </w:r>
      <w:proofErr w:type="spellEnd"/>
      <w:r w:rsidR="00FD7452">
        <w:rPr>
          <w:rFonts w:ascii="Times New Roman" w:hAnsi="Times New Roman" w:cs="Times New Roman"/>
          <w:sz w:val="24"/>
          <w:szCs w:val="24"/>
        </w:rPr>
        <w:t xml:space="preserve"> (2013) uses Brookings, SD to show that college towns may </w:t>
      </w:r>
      <w:r w:rsidR="007F4865">
        <w:rPr>
          <w:rFonts w:ascii="Times New Roman" w:hAnsi="Times New Roman" w:cs="Times New Roman"/>
          <w:sz w:val="24"/>
          <w:szCs w:val="24"/>
        </w:rPr>
        <w:t xml:space="preserve">develop slightly differently than other towns. The price gradient for a town typically </w:t>
      </w:r>
      <w:r w:rsidR="00684254">
        <w:rPr>
          <w:rFonts w:ascii="Times New Roman" w:hAnsi="Times New Roman" w:cs="Times New Roman"/>
          <w:sz w:val="24"/>
          <w:szCs w:val="24"/>
        </w:rPr>
        <w:t xml:space="preserve">decreases as one moves away from the central business district. </w:t>
      </w:r>
      <w:proofErr w:type="spellStart"/>
      <w:r w:rsidR="00684254">
        <w:rPr>
          <w:rFonts w:ascii="Times New Roman" w:hAnsi="Times New Roman" w:cs="Times New Roman"/>
          <w:sz w:val="24"/>
          <w:szCs w:val="24"/>
        </w:rPr>
        <w:t>Langlett</w:t>
      </w:r>
      <w:proofErr w:type="spellEnd"/>
      <w:r w:rsidR="00684254">
        <w:rPr>
          <w:rFonts w:ascii="Times New Roman" w:hAnsi="Times New Roman" w:cs="Times New Roman"/>
          <w:sz w:val="24"/>
          <w:szCs w:val="24"/>
        </w:rPr>
        <w:t xml:space="preserve"> finds that the college campus may </w:t>
      </w:r>
      <w:r w:rsidR="00684254">
        <w:rPr>
          <w:rFonts w:ascii="Times New Roman" w:hAnsi="Times New Roman" w:cs="Times New Roman"/>
          <w:sz w:val="24"/>
          <w:szCs w:val="24"/>
        </w:rPr>
        <w:lastRenderedPageBreak/>
        <w:t>substitute for the central business district in college towns.</w:t>
      </w:r>
      <w:r w:rsidR="001C61A5">
        <w:rPr>
          <w:rFonts w:ascii="Times New Roman" w:hAnsi="Times New Roman" w:cs="Times New Roman"/>
          <w:sz w:val="24"/>
          <w:szCs w:val="24"/>
        </w:rPr>
        <w:t xml:space="preserve"> </w:t>
      </w:r>
      <w:proofErr w:type="spellStart"/>
      <w:r w:rsidR="001C61A5">
        <w:rPr>
          <w:rFonts w:ascii="Times New Roman" w:hAnsi="Times New Roman" w:cs="Times New Roman"/>
          <w:sz w:val="24"/>
          <w:szCs w:val="24"/>
        </w:rPr>
        <w:t>Kashian</w:t>
      </w:r>
      <w:proofErr w:type="spellEnd"/>
      <w:r w:rsidR="001C61A5">
        <w:rPr>
          <w:rFonts w:ascii="Times New Roman" w:hAnsi="Times New Roman" w:cs="Times New Roman"/>
          <w:sz w:val="24"/>
          <w:szCs w:val="24"/>
        </w:rPr>
        <w:t xml:space="preserve"> (2020) takes advantage of a zoning change in Whitewater, WI to </w:t>
      </w:r>
      <w:r w:rsidR="00A2630C">
        <w:rPr>
          <w:rFonts w:ascii="Times New Roman" w:hAnsi="Times New Roman" w:cs="Times New Roman"/>
          <w:sz w:val="24"/>
          <w:szCs w:val="24"/>
        </w:rPr>
        <w:t xml:space="preserve">show that the housing preferences of college students differ substantially from the housing preferences of non-students. </w:t>
      </w:r>
      <w:r w:rsidR="00831510">
        <w:rPr>
          <w:rFonts w:ascii="Times New Roman" w:hAnsi="Times New Roman" w:cs="Times New Roman"/>
          <w:sz w:val="24"/>
          <w:szCs w:val="24"/>
        </w:rPr>
        <w:t xml:space="preserve"> </w:t>
      </w:r>
      <w:proofErr w:type="gramStart"/>
      <w:r w:rsidR="00A2630C">
        <w:rPr>
          <w:rFonts w:ascii="Times New Roman" w:hAnsi="Times New Roman" w:cs="Times New Roman"/>
          <w:sz w:val="24"/>
          <w:szCs w:val="24"/>
        </w:rPr>
        <w:t>In particular, they</w:t>
      </w:r>
      <w:proofErr w:type="gramEnd"/>
      <w:r w:rsidR="00A2630C">
        <w:rPr>
          <w:rFonts w:ascii="Times New Roman" w:hAnsi="Times New Roman" w:cs="Times New Roman"/>
          <w:sz w:val="24"/>
          <w:szCs w:val="24"/>
        </w:rPr>
        <w:t xml:space="preserve"> report that </w:t>
      </w:r>
      <w:r w:rsidR="00823655">
        <w:rPr>
          <w:rFonts w:ascii="Times New Roman" w:hAnsi="Times New Roman" w:cs="Times New Roman"/>
          <w:sz w:val="24"/>
          <w:szCs w:val="24"/>
        </w:rPr>
        <w:t xml:space="preserve">college students show a higher demand for housing with 4 or more bedrooms than non-students. Unfortunately, the limited sample available for this study </w:t>
      </w:r>
      <w:r w:rsidR="00683BFE">
        <w:rPr>
          <w:rFonts w:ascii="Times New Roman" w:hAnsi="Times New Roman" w:cs="Times New Roman"/>
          <w:sz w:val="24"/>
          <w:szCs w:val="24"/>
        </w:rPr>
        <w:t>results in many, but not all, of its results not quite reaching statistical significance.</w:t>
      </w:r>
    </w:p>
    <w:p w14:paraId="6615AEAA" w14:textId="2285296D" w:rsidR="002418E3" w:rsidRDefault="00683BFE" w:rsidP="00E50004">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Munneke</w:t>
      </w:r>
      <w:proofErr w:type="spellEnd"/>
      <w:r>
        <w:rPr>
          <w:rFonts w:ascii="Times New Roman" w:hAnsi="Times New Roman" w:cs="Times New Roman"/>
          <w:sz w:val="24"/>
          <w:szCs w:val="24"/>
        </w:rPr>
        <w:t xml:space="preserve"> (2014) exploits a change in enforcement of Brigham Young University’s honor code to show that a relatively small shift in the student housing supply </w:t>
      </w:r>
      <w:r w:rsidR="001C0BC4">
        <w:rPr>
          <w:rFonts w:ascii="Times New Roman" w:hAnsi="Times New Roman" w:cs="Times New Roman"/>
          <w:sz w:val="24"/>
          <w:szCs w:val="24"/>
        </w:rPr>
        <w:t>can have a meaningful impact on the housing costs borne by students. The</w:t>
      </w:r>
      <w:r w:rsidR="00E3773B">
        <w:rPr>
          <w:rFonts w:ascii="Times New Roman" w:hAnsi="Times New Roman" w:cs="Times New Roman"/>
          <w:sz w:val="24"/>
          <w:szCs w:val="24"/>
        </w:rPr>
        <w:t>ir analysis doesn’t show any evidence</w:t>
      </w:r>
      <w:r w:rsidR="001C0BC4">
        <w:rPr>
          <w:rFonts w:ascii="Times New Roman" w:hAnsi="Times New Roman" w:cs="Times New Roman"/>
          <w:sz w:val="24"/>
          <w:szCs w:val="24"/>
        </w:rPr>
        <w:t xml:space="preserve"> of a significant effect on non-student housing costs.</w:t>
      </w:r>
      <w:r w:rsidR="00725827">
        <w:rPr>
          <w:rFonts w:ascii="Times New Roman" w:hAnsi="Times New Roman" w:cs="Times New Roman"/>
          <w:sz w:val="24"/>
          <w:szCs w:val="24"/>
        </w:rPr>
        <w:t xml:space="preserve"> Additionally, they show that there are significant externalities to student housing. </w:t>
      </w:r>
      <w:r w:rsidR="001A5209">
        <w:rPr>
          <w:rFonts w:ascii="Times New Roman" w:hAnsi="Times New Roman" w:cs="Times New Roman"/>
          <w:sz w:val="24"/>
          <w:szCs w:val="24"/>
        </w:rPr>
        <w:t>Students appear to value living around students and would prefer to concentrate themselves in student-dominated neighborhoods. Non-students tend to prefer not to live around students, although the strength of this preference varies highly across neighborhoods.</w:t>
      </w:r>
    </w:p>
    <w:p w14:paraId="77838314" w14:textId="6992FFFB" w:rsidR="00FB1E19" w:rsidRDefault="00B6110D" w:rsidP="00E50004">
      <w:pPr>
        <w:spacing w:line="480" w:lineRule="auto"/>
        <w:jc w:val="center"/>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217E61C0" wp14:editId="5996EDA2">
            <wp:simplePos x="0" y="0"/>
            <wp:positionH relativeFrom="column">
              <wp:posOffset>-617220</wp:posOffset>
            </wp:positionH>
            <wp:positionV relativeFrom="paragraph">
              <wp:posOffset>-64770</wp:posOffset>
            </wp:positionV>
            <wp:extent cx="2537460" cy="31718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37460" cy="3171825"/>
                    </a:xfrm>
                    <a:prstGeom prst="rect">
                      <a:avLst/>
                    </a:prstGeom>
                    <a:noFill/>
                    <a:ln>
                      <a:noFill/>
                    </a:ln>
                  </pic:spPr>
                </pic:pic>
              </a:graphicData>
            </a:graphic>
          </wp:anchor>
        </w:drawing>
      </w:r>
      <w:r w:rsidR="00FB1E19">
        <w:rPr>
          <w:rFonts w:ascii="Times New Roman" w:hAnsi="Times New Roman" w:cs="Times New Roman"/>
          <w:b/>
          <w:bCs/>
          <w:sz w:val="24"/>
          <w:szCs w:val="24"/>
        </w:rPr>
        <w:t>II. Data</w:t>
      </w:r>
    </w:p>
    <w:p w14:paraId="68E06230" w14:textId="41C5AD4F" w:rsidR="00137B03" w:rsidRDefault="007E6BDA" w:rsidP="00E50004">
      <w:pPr>
        <w:spacing w:line="480" w:lineRule="auto"/>
        <w:rPr>
          <w:rFonts w:ascii="Times New Roman" w:hAnsi="Times New Roman" w:cs="Times New Roman"/>
          <w:sz w:val="24"/>
          <w:szCs w:val="24"/>
        </w:rPr>
      </w:pPr>
      <w:r>
        <w:rPr>
          <w:rFonts w:ascii="Times New Roman" w:hAnsi="Times New Roman" w:cs="Times New Roman"/>
          <w:sz w:val="24"/>
          <w:szCs w:val="24"/>
        </w:rPr>
        <w:tab/>
      </w:r>
      <w:r w:rsidR="008114F4">
        <w:rPr>
          <w:rFonts w:ascii="Times New Roman" w:hAnsi="Times New Roman" w:cs="Times New Roman"/>
          <w:sz w:val="24"/>
          <w:szCs w:val="24"/>
        </w:rPr>
        <w:t>Using the</w:t>
      </w:r>
      <w:r w:rsidR="00DD3137">
        <w:rPr>
          <w:rFonts w:ascii="Times New Roman" w:hAnsi="Times New Roman" w:cs="Times New Roman"/>
          <w:sz w:val="24"/>
          <w:szCs w:val="24"/>
        </w:rPr>
        <w:t xml:space="preserve"> website of the Athens-Clarke County Board of Tax Assessors</w:t>
      </w:r>
      <w:r w:rsidR="00137B03">
        <w:rPr>
          <w:rFonts w:ascii="Times New Roman" w:hAnsi="Times New Roman" w:cs="Times New Roman"/>
          <w:sz w:val="24"/>
          <w:szCs w:val="24"/>
        </w:rPr>
        <w:t xml:space="preserve"> </w:t>
      </w:r>
      <w:r w:rsidR="00DD3137">
        <w:rPr>
          <w:rFonts w:ascii="Times New Roman" w:hAnsi="Times New Roman" w:cs="Times New Roman"/>
          <w:sz w:val="24"/>
          <w:szCs w:val="24"/>
        </w:rPr>
        <w:t>(</w:t>
      </w:r>
      <w:hyperlink r:id="rId12" w:history="1">
        <w:r w:rsidR="00BA61F4" w:rsidRPr="006E05FF">
          <w:rPr>
            <w:rStyle w:val="Hyperlink"/>
            <w:rFonts w:ascii="Times New Roman" w:hAnsi="Times New Roman" w:cs="Times New Roman"/>
            <w:sz w:val="24"/>
            <w:szCs w:val="24"/>
          </w:rPr>
          <w:t>https://www.qpublic.net/ga/clarke</w:t>
        </w:r>
      </w:hyperlink>
      <w:r w:rsidR="00032DA7">
        <w:rPr>
          <w:rFonts w:ascii="Times New Roman" w:hAnsi="Times New Roman" w:cs="Times New Roman"/>
          <w:sz w:val="24"/>
          <w:szCs w:val="24"/>
        </w:rPr>
        <w:t>)</w:t>
      </w:r>
      <w:r w:rsidR="008114F4">
        <w:rPr>
          <w:rFonts w:ascii="Times New Roman" w:hAnsi="Times New Roman" w:cs="Times New Roman"/>
          <w:sz w:val="24"/>
          <w:szCs w:val="24"/>
        </w:rPr>
        <w:t xml:space="preserve">, I was able to </w:t>
      </w:r>
      <w:r w:rsidR="002A7327">
        <w:rPr>
          <w:rFonts w:ascii="Times New Roman" w:hAnsi="Times New Roman" w:cs="Times New Roman"/>
          <w:sz w:val="24"/>
          <w:szCs w:val="24"/>
        </w:rPr>
        <w:t>download the shapefiles for all parcels in Athens zoned C-D</w:t>
      </w:r>
      <w:r w:rsidR="006D45CB">
        <w:rPr>
          <w:rFonts w:ascii="Times New Roman" w:hAnsi="Times New Roman" w:cs="Times New Roman"/>
          <w:sz w:val="24"/>
          <w:szCs w:val="24"/>
        </w:rPr>
        <w:t>.</w:t>
      </w:r>
      <w:r w:rsidR="002A7327">
        <w:rPr>
          <w:rFonts w:ascii="Times New Roman" w:hAnsi="Times New Roman" w:cs="Times New Roman"/>
          <w:sz w:val="24"/>
          <w:szCs w:val="24"/>
        </w:rPr>
        <w:t xml:space="preserve"> </w:t>
      </w:r>
      <w:r w:rsidR="009F0C75">
        <w:rPr>
          <w:rFonts w:ascii="Times New Roman" w:hAnsi="Times New Roman" w:cs="Times New Roman"/>
          <w:sz w:val="24"/>
          <w:szCs w:val="24"/>
        </w:rPr>
        <w:t xml:space="preserve">I additionally downloaded shapefiles </w:t>
      </w:r>
      <w:r w:rsidR="006C5EDC">
        <w:rPr>
          <w:rFonts w:ascii="Times New Roman" w:hAnsi="Times New Roman" w:cs="Times New Roman"/>
          <w:sz w:val="24"/>
          <w:szCs w:val="24"/>
        </w:rPr>
        <w:t xml:space="preserve">of </w:t>
      </w:r>
      <w:r w:rsidR="009F0C75">
        <w:rPr>
          <w:rFonts w:ascii="Times New Roman" w:hAnsi="Times New Roman" w:cs="Times New Roman"/>
          <w:sz w:val="24"/>
          <w:szCs w:val="24"/>
        </w:rPr>
        <w:t xml:space="preserve">all parcels located within 1000 feet of any C-D zoned parcel. </w:t>
      </w:r>
      <w:r w:rsidR="006C5EDC">
        <w:rPr>
          <w:rFonts w:ascii="Times New Roman" w:hAnsi="Times New Roman" w:cs="Times New Roman"/>
          <w:sz w:val="24"/>
          <w:szCs w:val="24"/>
        </w:rPr>
        <w:t>Figure 1 shows all parcels included in the analysis</w:t>
      </w:r>
      <w:r w:rsidR="00385160">
        <w:rPr>
          <w:rFonts w:ascii="Times New Roman" w:hAnsi="Times New Roman" w:cs="Times New Roman"/>
          <w:sz w:val="24"/>
          <w:szCs w:val="24"/>
        </w:rPr>
        <w:t xml:space="preserve">, colored by </w:t>
      </w:r>
      <w:r w:rsidR="00137B03">
        <w:rPr>
          <w:rFonts w:ascii="Times New Roman" w:hAnsi="Times New Roman" w:cs="Times New Roman"/>
          <w:sz w:val="24"/>
          <w:szCs w:val="24"/>
        </w:rPr>
        <w:t xml:space="preserve">zoning. </w:t>
      </w:r>
      <w:r w:rsidR="006C5EDC">
        <w:rPr>
          <w:rFonts w:ascii="Times New Roman" w:hAnsi="Times New Roman" w:cs="Times New Roman"/>
          <w:sz w:val="24"/>
          <w:szCs w:val="24"/>
        </w:rPr>
        <w:t xml:space="preserve">Note that there are several parcels that appear to be missing. </w:t>
      </w:r>
      <w:r w:rsidR="00137B03">
        <w:rPr>
          <w:rFonts w:ascii="Times New Roman" w:hAnsi="Times New Roman" w:cs="Times New Roman"/>
          <w:sz w:val="24"/>
          <w:szCs w:val="24"/>
        </w:rPr>
        <w:t xml:space="preserve">These </w:t>
      </w:r>
      <w:r w:rsidR="00137B03">
        <w:rPr>
          <w:rFonts w:ascii="Times New Roman" w:hAnsi="Times New Roman" w:cs="Times New Roman"/>
          <w:sz w:val="24"/>
          <w:szCs w:val="24"/>
        </w:rPr>
        <w:lastRenderedPageBreak/>
        <w:t>omissions appear to be the result of errors in the database maintained by the Board of Tax Assessors</w:t>
      </w:r>
      <w:r w:rsidR="00FB1E19">
        <w:rPr>
          <w:rFonts w:ascii="Times New Roman" w:hAnsi="Times New Roman" w:cs="Times New Roman"/>
          <w:sz w:val="24"/>
          <w:szCs w:val="24"/>
        </w:rPr>
        <w:t>.</w:t>
      </w:r>
      <w:r w:rsidR="00137B03">
        <w:rPr>
          <w:rFonts w:ascii="Times New Roman" w:hAnsi="Times New Roman" w:cs="Times New Roman"/>
          <w:sz w:val="24"/>
          <w:szCs w:val="24"/>
        </w:rPr>
        <w:t xml:space="preserve"> There are 1719 total parcels inside the survey area.</w:t>
      </w:r>
    </w:p>
    <w:p w14:paraId="614570C7" w14:textId="71DB3847" w:rsidR="007E6BDA" w:rsidRDefault="00B6110D" w:rsidP="00E50004">
      <w:pPr>
        <w:spacing w:line="480" w:lineRule="auto"/>
        <w:ind w:firstLine="720"/>
        <w:rPr>
          <w:noProof/>
        </w:rPr>
      </w:pPr>
      <w:r>
        <w:rPr>
          <w:rFonts w:ascii="Times New Roman" w:hAnsi="Times New Roman" w:cs="Times New Roman"/>
          <w:b/>
          <w:bCs/>
          <w:noProof/>
          <w:sz w:val="24"/>
          <w:szCs w:val="24"/>
        </w:rPr>
        <w:drawing>
          <wp:anchor distT="0" distB="0" distL="114300" distR="114300" simplePos="0" relativeHeight="251661312" behindDoc="0" locked="0" layoutInCell="1" allowOverlap="1" wp14:anchorId="5345D27F" wp14:editId="3ED10685">
            <wp:simplePos x="0" y="0"/>
            <wp:positionH relativeFrom="column">
              <wp:posOffset>3398520</wp:posOffset>
            </wp:positionH>
            <wp:positionV relativeFrom="paragraph">
              <wp:posOffset>58420</wp:posOffset>
            </wp:positionV>
            <wp:extent cx="3032760" cy="303276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2760" cy="3032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7E95">
        <w:rPr>
          <w:rFonts w:ascii="Times New Roman" w:hAnsi="Times New Roman" w:cs="Times New Roman"/>
          <w:sz w:val="24"/>
          <w:szCs w:val="24"/>
        </w:rPr>
        <w:t>Continuing to use</w:t>
      </w:r>
      <w:r w:rsidR="001176AC">
        <w:rPr>
          <w:rFonts w:ascii="Times New Roman" w:hAnsi="Times New Roman" w:cs="Times New Roman"/>
          <w:sz w:val="24"/>
          <w:szCs w:val="24"/>
        </w:rPr>
        <w:t xml:space="preserve"> the Board of Tax Assessors website, I </w:t>
      </w:r>
      <w:r w:rsidR="00256BD7">
        <w:rPr>
          <w:rFonts w:ascii="Times New Roman" w:hAnsi="Times New Roman" w:cs="Times New Roman"/>
          <w:sz w:val="24"/>
          <w:szCs w:val="24"/>
        </w:rPr>
        <w:t xml:space="preserve">accessed data on all </w:t>
      </w:r>
      <w:r w:rsidR="00527EC5">
        <w:rPr>
          <w:rFonts w:ascii="Times New Roman" w:hAnsi="Times New Roman" w:cs="Times New Roman"/>
          <w:sz w:val="24"/>
          <w:szCs w:val="24"/>
        </w:rPr>
        <w:t xml:space="preserve">market-rate </w:t>
      </w:r>
      <w:r w:rsidR="00256BD7">
        <w:rPr>
          <w:rFonts w:ascii="Times New Roman" w:hAnsi="Times New Roman" w:cs="Times New Roman"/>
          <w:sz w:val="24"/>
          <w:szCs w:val="24"/>
        </w:rPr>
        <w:t xml:space="preserve">housing sales conducted within Athens-Clarke County </w:t>
      </w:r>
      <w:r w:rsidR="00137B03">
        <w:rPr>
          <w:rFonts w:ascii="Times New Roman" w:hAnsi="Times New Roman" w:cs="Times New Roman"/>
          <w:sz w:val="24"/>
          <w:szCs w:val="24"/>
        </w:rPr>
        <w:t xml:space="preserve">in the period running from January 1, </w:t>
      </w:r>
      <w:proofErr w:type="gramStart"/>
      <w:r w:rsidR="00137B03">
        <w:rPr>
          <w:rFonts w:ascii="Times New Roman" w:hAnsi="Times New Roman" w:cs="Times New Roman"/>
          <w:sz w:val="24"/>
          <w:szCs w:val="24"/>
        </w:rPr>
        <w:t>2014</w:t>
      </w:r>
      <w:proofErr w:type="gramEnd"/>
      <w:r w:rsidR="00137B03">
        <w:rPr>
          <w:rFonts w:ascii="Times New Roman" w:hAnsi="Times New Roman" w:cs="Times New Roman"/>
          <w:sz w:val="24"/>
          <w:szCs w:val="24"/>
        </w:rPr>
        <w:t xml:space="preserve"> through September 9</w:t>
      </w:r>
      <w:r w:rsidR="00137B03" w:rsidRPr="00137B03">
        <w:rPr>
          <w:rFonts w:ascii="Times New Roman" w:hAnsi="Times New Roman" w:cs="Times New Roman"/>
          <w:sz w:val="24"/>
          <w:szCs w:val="24"/>
          <w:vertAlign w:val="superscript"/>
        </w:rPr>
        <w:t>th</w:t>
      </w:r>
      <w:r w:rsidR="00137B03">
        <w:rPr>
          <w:rFonts w:ascii="Times New Roman" w:hAnsi="Times New Roman" w:cs="Times New Roman"/>
          <w:sz w:val="24"/>
          <w:szCs w:val="24"/>
        </w:rPr>
        <w:t>, 2021</w:t>
      </w:r>
      <w:r w:rsidR="006F7E95">
        <w:rPr>
          <w:rFonts w:ascii="Times New Roman" w:hAnsi="Times New Roman" w:cs="Times New Roman"/>
          <w:sz w:val="24"/>
          <w:szCs w:val="24"/>
        </w:rPr>
        <w:t>.</w:t>
      </w:r>
      <w:r w:rsidR="002C1B94">
        <w:rPr>
          <w:rFonts w:ascii="Times New Roman" w:hAnsi="Times New Roman" w:cs="Times New Roman"/>
          <w:sz w:val="24"/>
          <w:szCs w:val="24"/>
        </w:rPr>
        <w:t xml:space="preserve"> </w:t>
      </w:r>
      <w:r w:rsidR="00E1055B">
        <w:rPr>
          <w:rFonts w:ascii="Times New Roman" w:hAnsi="Times New Roman" w:cs="Times New Roman"/>
          <w:sz w:val="24"/>
          <w:szCs w:val="24"/>
        </w:rPr>
        <w:t xml:space="preserve">Figure 2 shows all parcels </w:t>
      </w:r>
      <w:r w:rsidR="00385160">
        <w:rPr>
          <w:rFonts w:ascii="Times New Roman" w:hAnsi="Times New Roman" w:cs="Times New Roman"/>
          <w:sz w:val="24"/>
          <w:szCs w:val="24"/>
        </w:rPr>
        <w:t>with sale data included in the analysis, again colored by zoning</w:t>
      </w:r>
      <w:r w:rsidR="00137B03">
        <w:rPr>
          <w:rFonts w:ascii="Times New Roman" w:hAnsi="Times New Roman" w:cs="Times New Roman"/>
          <w:sz w:val="24"/>
          <w:szCs w:val="24"/>
        </w:rPr>
        <w:t xml:space="preserve">. The sample contains a total of 529 sales of 419 unique parcels. </w:t>
      </w:r>
      <w:r w:rsidR="00794BF4">
        <w:rPr>
          <w:rFonts w:ascii="Times New Roman" w:hAnsi="Times New Roman" w:cs="Times New Roman"/>
          <w:sz w:val="24"/>
          <w:szCs w:val="24"/>
        </w:rPr>
        <w:t>343 of these sales were conducted after the moratorium was first put into place on February 7</w:t>
      </w:r>
      <w:r w:rsidR="00794BF4" w:rsidRPr="00794BF4">
        <w:rPr>
          <w:rFonts w:ascii="Times New Roman" w:hAnsi="Times New Roman" w:cs="Times New Roman"/>
          <w:sz w:val="24"/>
          <w:szCs w:val="24"/>
          <w:vertAlign w:val="superscript"/>
        </w:rPr>
        <w:t>th</w:t>
      </w:r>
      <w:r w:rsidR="00794BF4">
        <w:rPr>
          <w:rFonts w:ascii="Times New Roman" w:hAnsi="Times New Roman" w:cs="Times New Roman"/>
          <w:sz w:val="24"/>
          <w:szCs w:val="24"/>
        </w:rPr>
        <w:t>, 2017.</w:t>
      </w:r>
    </w:p>
    <w:p w14:paraId="70DC8806" w14:textId="20057DAD" w:rsidR="00A637A5" w:rsidRDefault="00E179CA" w:rsidP="00E50004">
      <w:pPr>
        <w:spacing w:line="480" w:lineRule="auto"/>
        <w:rPr>
          <w:rFonts w:ascii="Times New Roman" w:hAnsi="Times New Roman" w:cs="Times New Roman"/>
          <w:sz w:val="24"/>
          <w:szCs w:val="24"/>
        </w:rPr>
      </w:pPr>
      <w:r>
        <w:rPr>
          <w:rFonts w:ascii="Times New Roman" w:hAnsi="Times New Roman" w:cs="Times New Roman"/>
          <w:sz w:val="24"/>
          <w:szCs w:val="24"/>
        </w:rPr>
        <w:tab/>
        <w:t>The</w:t>
      </w:r>
      <w:r w:rsidR="00426D2C">
        <w:rPr>
          <w:rFonts w:ascii="Times New Roman" w:hAnsi="Times New Roman" w:cs="Times New Roman"/>
          <w:sz w:val="24"/>
          <w:szCs w:val="24"/>
        </w:rPr>
        <w:t xml:space="preserve"> sale</w:t>
      </w:r>
      <w:r>
        <w:rPr>
          <w:rFonts w:ascii="Times New Roman" w:hAnsi="Times New Roman" w:cs="Times New Roman"/>
          <w:sz w:val="24"/>
          <w:szCs w:val="24"/>
        </w:rPr>
        <w:t xml:space="preserve"> data </w:t>
      </w:r>
      <w:r w:rsidR="00426D2C">
        <w:rPr>
          <w:rFonts w:ascii="Times New Roman" w:hAnsi="Times New Roman" w:cs="Times New Roman"/>
          <w:sz w:val="24"/>
          <w:szCs w:val="24"/>
        </w:rPr>
        <w:t>provided by the Board of Tax Assessors includes several pieces of relevant information in addition to the sale price</w:t>
      </w:r>
      <w:r w:rsidR="00527EC5">
        <w:rPr>
          <w:rFonts w:ascii="Times New Roman" w:hAnsi="Times New Roman" w:cs="Times New Roman"/>
          <w:sz w:val="24"/>
          <w:szCs w:val="24"/>
        </w:rPr>
        <w:t xml:space="preserve"> and parcel ID. It includes the sale date, listed reason for sale</w:t>
      </w:r>
      <w:r w:rsidR="003E7905">
        <w:rPr>
          <w:rFonts w:ascii="Times New Roman" w:hAnsi="Times New Roman" w:cs="Times New Roman"/>
          <w:sz w:val="24"/>
          <w:szCs w:val="24"/>
        </w:rPr>
        <w:t xml:space="preserve">, basic information about land </w:t>
      </w:r>
      <w:r w:rsidR="00A637A5">
        <w:rPr>
          <w:rFonts w:ascii="Times New Roman" w:hAnsi="Times New Roman" w:cs="Times New Roman"/>
          <w:sz w:val="24"/>
          <w:szCs w:val="24"/>
        </w:rPr>
        <w:t xml:space="preserve">and structures </w:t>
      </w:r>
      <w:r w:rsidR="003E7905">
        <w:rPr>
          <w:rFonts w:ascii="Times New Roman" w:hAnsi="Times New Roman" w:cs="Times New Roman"/>
          <w:sz w:val="24"/>
          <w:szCs w:val="24"/>
        </w:rPr>
        <w:t>included in the sale</w:t>
      </w:r>
      <w:r w:rsidR="00A637A5">
        <w:rPr>
          <w:rFonts w:ascii="Times New Roman" w:hAnsi="Times New Roman" w:cs="Times New Roman"/>
          <w:sz w:val="24"/>
          <w:szCs w:val="24"/>
        </w:rPr>
        <w:t xml:space="preserve"> (if any)</w:t>
      </w:r>
      <w:r w:rsidR="003E7905">
        <w:rPr>
          <w:rFonts w:ascii="Times New Roman" w:hAnsi="Times New Roman" w:cs="Times New Roman"/>
          <w:sz w:val="24"/>
          <w:szCs w:val="24"/>
        </w:rPr>
        <w:t xml:space="preserve">, and a very general description of the class of property sold. </w:t>
      </w:r>
      <w:r w:rsidR="00D4471A">
        <w:rPr>
          <w:rFonts w:ascii="Times New Roman" w:hAnsi="Times New Roman" w:cs="Times New Roman"/>
          <w:sz w:val="24"/>
          <w:szCs w:val="24"/>
        </w:rPr>
        <w:t>Certain types of sales, such as the sale of a condominium, may not include any actual land. Sales of vacant lots do not contain any information on structures.</w:t>
      </w:r>
    </w:p>
    <w:p w14:paraId="2E2A684C" w14:textId="77777777" w:rsidR="00B6110D" w:rsidRDefault="00B13AB2" w:rsidP="00E50004">
      <w:pPr>
        <w:spacing w:line="480" w:lineRule="auto"/>
        <w:rPr>
          <w:rFonts w:ascii="Times New Roman" w:hAnsi="Times New Roman" w:cs="Times New Roman"/>
          <w:sz w:val="24"/>
          <w:szCs w:val="24"/>
        </w:rPr>
      </w:pPr>
      <w:r>
        <w:rPr>
          <w:rFonts w:ascii="Times New Roman" w:hAnsi="Times New Roman" w:cs="Times New Roman"/>
          <w:sz w:val="24"/>
          <w:szCs w:val="24"/>
        </w:rPr>
        <w:tab/>
      </w:r>
      <w:r w:rsidR="00794BF4">
        <w:rPr>
          <w:rFonts w:ascii="Times New Roman" w:hAnsi="Times New Roman" w:cs="Times New Roman"/>
          <w:sz w:val="24"/>
          <w:szCs w:val="24"/>
        </w:rPr>
        <w:t>The data hosted by the Board of Tax Assessors has several flaws. Each sale only contains information on up to one structure on the property. Nearly 50 of the sales in my sample involve property that contains two or more structures. I was able to largely address this issue by collecting building records from the Board of Tax Assessors.</w:t>
      </w:r>
      <w:r w:rsidR="00651303">
        <w:rPr>
          <w:rFonts w:ascii="Times New Roman" w:hAnsi="Times New Roman" w:cs="Times New Roman"/>
          <w:sz w:val="24"/>
          <w:szCs w:val="24"/>
        </w:rPr>
        <w:t xml:space="preserve"> I am unable to correct some of the other issues with the data, however, and must exclude some sales from my analysis.</w:t>
      </w:r>
      <w:r w:rsidR="00794BF4">
        <w:rPr>
          <w:rFonts w:ascii="Times New Roman" w:hAnsi="Times New Roman" w:cs="Times New Roman"/>
          <w:sz w:val="24"/>
          <w:szCs w:val="24"/>
        </w:rPr>
        <w:t xml:space="preserve"> </w:t>
      </w:r>
      <w:r w:rsidR="00651303">
        <w:rPr>
          <w:rFonts w:ascii="Times New Roman" w:hAnsi="Times New Roman" w:cs="Times New Roman"/>
          <w:sz w:val="24"/>
          <w:szCs w:val="24"/>
        </w:rPr>
        <w:t xml:space="preserve">Three sales </w:t>
      </w:r>
      <w:r w:rsidR="00651303">
        <w:rPr>
          <w:rFonts w:ascii="Times New Roman" w:hAnsi="Times New Roman" w:cs="Times New Roman"/>
          <w:sz w:val="24"/>
          <w:szCs w:val="24"/>
        </w:rPr>
        <w:lastRenderedPageBreak/>
        <w:t>seem to have been improperly categorized as market rate sales. The property containing the Hyatt hotel was sold twice while</w:t>
      </w:r>
      <w:r w:rsidR="002F4578">
        <w:rPr>
          <w:rFonts w:ascii="Times New Roman" w:hAnsi="Times New Roman" w:cs="Times New Roman"/>
          <w:sz w:val="24"/>
          <w:szCs w:val="24"/>
        </w:rPr>
        <w:t xml:space="preserve"> the building was</w:t>
      </w:r>
      <w:r w:rsidR="00651303">
        <w:rPr>
          <w:rFonts w:ascii="Times New Roman" w:hAnsi="Times New Roman" w:cs="Times New Roman"/>
          <w:sz w:val="24"/>
          <w:szCs w:val="24"/>
        </w:rPr>
        <w:t xml:space="preserve"> under const</w:t>
      </w:r>
      <w:r w:rsidR="002F4578">
        <w:rPr>
          <w:rFonts w:ascii="Times New Roman" w:hAnsi="Times New Roman" w:cs="Times New Roman"/>
          <w:sz w:val="24"/>
          <w:szCs w:val="24"/>
        </w:rPr>
        <w:t>ruction. I do not have any information about the construction status at the time of either sale.</w:t>
      </w:r>
    </w:p>
    <w:p w14:paraId="29FF45C9" w14:textId="5F055DD2" w:rsidR="005C0C8E" w:rsidRDefault="005C0C8E" w:rsidP="00E50004">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III. Model</w:t>
      </w:r>
    </w:p>
    <w:p w14:paraId="2262B646" w14:textId="5DD0F159" w:rsidR="005C0C8E" w:rsidRDefault="007C34B1" w:rsidP="00E50004">
      <w:pPr>
        <w:spacing w:line="480" w:lineRule="auto"/>
        <w:rPr>
          <w:rFonts w:ascii="Times New Roman" w:hAnsi="Times New Roman" w:cs="Times New Roman"/>
          <w:sz w:val="24"/>
          <w:szCs w:val="24"/>
        </w:rPr>
      </w:pPr>
      <w:r>
        <w:rPr>
          <w:rFonts w:ascii="Times New Roman" w:hAnsi="Times New Roman" w:cs="Times New Roman"/>
          <w:sz w:val="24"/>
          <w:szCs w:val="24"/>
        </w:rPr>
        <w:tab/>
        <w:t>I conduct two analyses. The first analysis measures the impact of the moratorium and ordinance change on land values in general. The second analysis focuses specifically on how the moratorium and ordinance change relates to the values of housing units.</w:t>
      </w:r>
    </w:p>
    <w:p w14:paraId="1BC5BB61" w14:textId="270B7A1F" w:rsidR="00B771BC" w:rsidRDefault="00B771BC" w:rsidP="00E50004">
      <w:pPr>
        <w:spacing w:line="480" w:lineRule="auto"/>
        <w:jc w:val="center"/>
        <w:rPr>
          <w:rFonts w:ascii="Times New Roman" w:hAnsi="Times New Roman" w:cs="Times New Roman"/>
          <w:i/>
          <w:iCs/>
          <w:sz w:val="24"/>
          <w:szCs w:val="24"/>
        </w:rPr>
      </w:pPr>
      <w:r>
        <w:rPr>
          <w:rFonts w:ascii="Times New Roman" w:hAnsi="Times New Roman" w:cs="Times New Roman"/>
          <w:i/>
          <w:iCs/>
          <w:sz w:val="24"/>
          <w:szCs w:val="24"/>
        </w:rPr>
        <w:t xml:space="preserve">A. </w:t>
      </w:r>
      <w:r w:rsidR="00D94C4C">
        <w:rPr>
          <w:rFonts w:ascii="Times New Roman" w:hAnsi="Times New Roman" w:cs="Times New Roman"/>
          <w:i/>
          <w:iCs/>
          <w:sz w:val="24"/>
          <w:szCs w:val="24"/>
        </w:rPr>
        <w:t>Sales of Land</w:t>
      </w:r>
    </w:p>
    <w:p w14:paraId="6A7FFFBE" w14:textId="477321AA" w:rsidR="00A46FF8" w:rsidRDefault="00D94C4C" w:rsidP="00E50004">
      <w:pPr>
        <w:spacing w:line="480" w:lineRule="auto"/>
        <w:rPr>
          <w:rFonts w:ascii="Times New Roman" w:hAnsi="Times New Roman" w:cs="Times New Roman"/>
          <w:sz w:val="24"/>
          <w:szCs w:val="24"/>
        </w:rPr>
      </w:pPr>
      <w:r>
        <w:rPr>
          <w:rFonts w:ascii="Times New Roman" w:hAnsi="Times New Roman" w:cs="Times New Roman"/>
          <w:sz w:val="24"/>
          <w:szCs w:val="24"/>
        </w:rPr>
        <w:tab/>
      </w:r>
      <w:r w:rsidR="000D636F">
        <w:rPr>
          <w:rFonts w:ascii="Times New Roman" w:hAnsi="Times New Roman" w:cs="Times New Roman"/>
          <w:sz w:val="24"/>
          <w:szCs w:val="24"/>
        </w:rPr>
        <w:t>I use ordinary least squares</w:t>
      </w:r>
      <w:r w:rsidR="007C34B1">
        <w:rPr>
          <w:rFonts w:ascii="Times New Roman" w:hAnsi="Times New Roman" w:cs="Times New Roman"/>
          <w:sz w:val="24"/>
          <w:szCs w:val="24"/>
        </w:rPr>
        <w:t xml:space="preserve"> regression to estimate property value</w:t>
      </w:r>
      <w:r w:rsidR="005D6C1B">
        <w:rPr>
          <w:rFonts w:ascii="Times New Roman" w:hAnsi="Times New Roman" w:cs="Times New Roman"/>
          <w:sz w:val="24"/>
          <w:szCs w:val="24"/>
        </w:rPr>
        <w:t>. As is typically the case with property values, the distribution of sale prices appears to follow a log-normal distribution. I apply a log transformation to the variable before regressing on it. I conduct several regressions. I begin by looking at all properties included in the sample. I then look only at parcels that contain at least ¼ acre of land. The variables used to estimate sale price are acreage, distance to the UGA arch, an indicator variable for C-D zoning, an indicator variable for whether the moratorium has been enacted, and the interaction term for the two indicator variables. Acreage follows a log-normal distribution, so I apply a log transformation to it. Next, I add information about structures on each property to the above regressions.</w:t>
      </w:r>
      <w:r w:rsidR="00782B8E">
        <w:rPr>
          <w:rFonts w:ascii="Times New Roman" w:hAnsi="Times New Roman" w:cs="Times New Roman"/>
          <w:sz w:val="24"/>
          <w:szCs w:val="24"/>
        </w:rPr>
        <w:t xml:space="preserve"> This includes the total number of structures within the parcel, the total square footage of all structures within the parcel, and the average year in which structures located on the parcel were built. Any structures built after the sale took place are excluded from this analysis.</w:t>
      </w:r>
      <w:r w:rsidR="005D6C1B">
        <w:rPr>
          <w:rFonts w:ascii="Times New Roman" w:hAnsi="Times New Roman" w:cs="Times New Roman"/>
          <w:sz w:val="24"/>
          <w:szCs w:val="24"/>
        </w:rPr>
        <w:t xml:space="preserve"> Finally, I conduct the same set of regressions again on the subset of sales that are of parcels indicated to be commercial.</w:t>
      </w:r>
    </w:p>
    <w:p w14:paraId="26DF5CAA" w14:textId="77777777" w:rsidR="00B6110D" w:rsidRDefault="00B6110D" w:rsidP="00E50004">
      <w:pPr>
        <w:spacing w:line="480" w:lineRule="auto"/>
        <w:rPr>
          <w:rFonts w:ascii="Times New Roman" w:hAnsi="Times New Roman" w:cs="Times New Roman"/>
          <w:sz w:val="24"/>
          <w:szCs w:val="24"/>
        </w:rPr>
      </w:pPr>
    </w:p>
    <w:p w14:paraId="10CFFC31" w14:textId="0A400953" w:rsidR="00FA7431" w:rsidRDefault="00FA7431" w:rsidP="00E50004">
      <w:pPr>
        <w:spacing w:line="480" w:lineRule="auto"/>
        <w:jc w:val="center"/>
        <w:rPr>
          <w:rFonts w:ascii="Times New Roman" w:hAnsi="Times New Roman" w:cs="Times New Roman"/>
          <w:i/>
          <w:iCs/>
          <w:sz w:val="24"/>
          <w:szCs w:val="24"/>
        </w:rPr>
      </w:pPr>
      <w:r>
        <w:rPr>
          <w:rFonts w:ascii="Times New Roman" w:hAnsi="Times New Roman" w:cs="Times New Roman"/>
          <w:i/>
          <w:iCs/>
          <w:sz w:val="24"/>
          <w:szCs w:val="24"/>
        </w:rPr>
        <w:lastRenderedPageBreak/>
        <w:t>B. Sales of Housing Units</w:t>
      </w:r>
    </w:p>
    <w:p w14:paraId="55B267CE" w14:textId="2C1B6B05" w:rsidR="00192E22" w:rsidRDefault="00192E22" w:rsidP="00E50004">
      <w:pPr>
        <w:spacing w:line="480" w:lineRule="auto"/>
        <w:rPr>
          <w:rFonts w:ascii="Times New Roman" w:hAnsi="Times New Roman" w:cs="Times New Roman"/>
          <w:sz w:val="24"/>
          <w:szCs w:val="24"/>
        </w:rPr>
      </w:pPr>
      <w:r>
        <w:rPr>
          <w:rFonts w:ascii="Times New Roman" w:hAnsi="Times New Roman" w:cs="Times New Roman"/>
          <w:sz w:val="24"/>
          <w:szCs w:val="24"/>
        </w:rPr>
        <w:tab/>
      </w:r>
      <w:r w:rsidR="005D6C1B">
        <w:rPr>
          <w:rFonts w:ascii="Times New Roman" w:hAnsi="Times New Roman" w:cs="Times New Roman"/>
          <w:sz w:val="24"/>
          <w:szCs w:val="24"/>
        </w:rPr>
        <w:t xml:space="preserve">I am again using ordinary least squares regression to estimate property value. </w:t>
      </w:r>
      <w:proofErr w:type="gramStart"/>
      <w:r w:rsidR="005D6C1B">
        <w:rPr>
          <w:rFonts w:ascii="Times New Roman" w:hAnsi="Times New Roman" w:cs="Times New Roman"/>
          <w:sz w:val="24"/>
          <w:szCs w:val="24"/>
        </w:rPr>
        <w:t>All of</w:t>
      </w:r>
      <w:proofErr w:type="gramEnd"/>
      <w:r w:rsidR="005D6C1B">
        <w:rPr>
          <w:rFonts w:ascii="Times New Roman" w:hAnsi="Times New Roman" w:cs="Times New Roman"/>
          <w:sz w:val="24"/>
          <w:szCs w:val="24"/>
        </w:rPr>
        <w:t xml:space="preserve"> the regressions that I perform in this analysis are limited to the parcels classified as residential. I perform both regressions from above on the entire set of residential property sales. </w:t>
      </w:r>
      <w:r w:rsidR="00864A7D">
        <w:rPr>
          <w:rFonts w:ascii="Times New Roman" w:hAnsi="Times New Roman" w:cs="Times New Roman"/>
          <w:sz w:val="24"/>
          <w:szCs w:val="24"/>
        </w:rPr>
        <w:t>I continue to apply log transformations to both sale price and acreage.</w:t>
      </w:r>
    </w:p>
    <w:p w14:paraId="32E56ADF" w14:textId="44AFF5A2" w:rsidR="00864A7D" w:rsidRDefault="00864A7D" w:rsidP="00E5000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next regression that I conduct focuses on the set of properties that were sold that I classify as condominiums or condominium-equivalents. Properties that fit this definition are all properties that contain structures classified as a condominium in the building records as well as all properties that contain a structure and are labeled to be residential but contain less than 0.05 acres of land. In addition to true condominiums, this set of properties includes apartments, some townhomes, and some duplexes. There are a total of 277 sales of properties that fall into this category. The regression that I perform on these sales is slightly different </w:t>
      </w:r>
      <w:r w:rsidR="00782B8E">
        <w:rPr>
          <w:rFonts w:ascii="Times New Roman" w:hAnsi="Times New Roman" w:cs="Times New Roman"/>
          <w:sz w:val="24"/>
          <w:szCs w:val="24"/>
        </w:rPr>
        <w:t xml:space="preserve">than the prior ones. These properties all contain very little land, if any, so acreage is dropped as a predictor. I am not interested in measuring the direct effect of the moratorium on these properties, either, so the interaction term between C-D zoning and moratorium status has been dropped as well. This regression includes the square footage and year of construction terms from the earlier regressions but drops the number of structures term. </w:t>
      </w:r>
      <w:proofErr w:type="gramStart"/>
      <w:r w:rsidR="00782B8E">
        <w:rPr>
          <w:rFonts w:ascii="Times New Roman" w:hAnsi="Times New Roman" w:cs="Times New Roman"/>
          <w:sz w:val="24"/>
          <w:szCs w:val="24"/>
        </w:rPr>
        <w:t>All of</w:t>
      </w:r>
      <w:proofErr w:type="gramEnd"/>
      <w:r w:rsidR="00782B8E">
        <w:rPr>
          <w:rFonts w:ascii="Times New Roman" w:hAnsi="Times New Roman" w:cs="Times New Roman"/>
          <w:sz w:val="24"/>
          <w:szCs w:val="24"/>
        </w:rPr>
        <w:t xml:space="preserve"> these sales only covered a single building or housing unit.</w:t>
      </w:r>
    </w:p>
    <w:p w14:paraId="0C3CB70E" w14:textId="1CE3D95C" w:rsidR="004036E6" w:rsidRDefault="004036E6" w:rsidP="00E5000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IV. Results</w:t>
      </w:r>
    </w:p>
    <w:p w14:paraId="6C1666F3" w14:textId="4E83DC1D" w:rsidR="004036E6" w:rsidRDefault="004036E6" w:rsidP="00E50004">
      <w:pPr>
        <w:spacing w:line="480" w:lineRule="auto"/>
        <w:jc w:val="center"/>
        <w:rPr>
          <w:rFonts w:ascii="Times New Roman" w:hAnsi="Times New Roman" w:cs="Times New Roman"/>
          <w:i/>
          <w:iCs/>
          <w:sz w:val="24"/>
          <w:szCs w:val="24"/>
        </w:rPr>
      </w:pPr>
      <w:r>
        <w:rPr>
          <w:rFonts w:ascii="Times New Roman" w:hAnsi="Times New Roman" w:cs="Times New Roman"/>
          <w:i/>
          <w:iCs/>
          <w:sz w:val="24"/>
          <w:szCs w:val="24"/>
        </w:rPr>
        <w:t>A. Sales of Land</w:t>
      </w:r>
    </w:p>
    <w:p w14:paraId="5E6BEA05" w14:textId="77777777" w:rsidR="00E50004" w:rsidRDefault="00B460DB" w:rsidP="00E50004">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1 contains the results of my analysis of sales of all parcels. </w:t>
      </w:r>
      <w:r w:rsidR="00B6110D">
        <w:rPr>
          <w:rFonts w:ascii="Times New Roman" w:hAnsi="Times New Roman" w:cs="Times New Roman"/>
          <w:sz w:val="24"/>
          <w:szCs w:val="24"/>
        </w:rPr>
        <w:t xml:space="preserve">None of the four models </w:t>
      </w:r>
      <w:r>
        <w:rPr>
          <w:rFonts w:ascii="Times New Roman" w:hAnsi="Times New Roman" w:cs="Times New Roman"/>
          <w:sz w:val="24"/>
          <w:szCs w:val="24"/>
        </w:rPr>
        <w:t xml:space="preserve">report a statistically significant coefficient in our variable of interest, the interaction term between C-D </w:t>
      </w:r>
    </w:p>
    <w:tbl>
      <w:tblPr>
        <w:tblpPr w:leftFromText="187" w:rightFromText="187" w:vertAnchor="page" w:horzAnchor="margin" w:tblpY="5056"/>
        <w:tblOverlap w:val="never"/>
        <w:tblW w:w="5096" w:type="pct"/>
        <w:tblBorders>
          <w:top w:val="single" w:sz="12" w:space="0" w:color="000000"/>
        </w:tblBorders>
        <w:tblCellMar>
          <w:top w:w="15" w:type="dxa"/>
          <w:left w:w="15" w:type="dxa"/>
          <w:bottom w:w="15" w:type="dxa"/>
          <w:right w:w="15" w:type="dxa"/>
        </w:tblCellMar>
        <w:tblLook w:val="04A0" w:firstRow="1" w:lastRow="0" w:firstColumn="1" w:lastColumn="0" w:noHBand="0" w:noVBand="1"/>
      </w:tblPr>
      <w:tblGrid>
        <w:gridCol w:w="2922"/>
        <w:gridCol w:w="1566"/>
        <w:gridCol w:w="1736"/>
        <w:gridCol w:w="1572"/>
        <w:gridCol w:w="1744"/>
      </w:tblGrid>
      <w:tr w:rsidR="00E50004" w:rsidRPr="00782B8E" w14:paraId="65C31AF7" w14:textId="77777777" w:rsidTr="00E50004">
        <w:trPr>
          <w:trHeight w:val="297"/>
          <w:tblHeader/>
        </w:trPr>
        <w:tc>
          <w:tcPr>
            <w:tcW w:w="5000" w:type="pct"/>
            <w:gridSpan w:val="5"/>
            <w:tcBorders>
              <w:top w:val="nil"/>
              <w:left w:val="nil"/>
              <w:bottom w:val="nil"/>
              <w:right w:val="nil"/>
            </w:tcBorders>
            <w:tcMar>
              <w:top w:w="15" w:type="dxa"/>
              <w:left w:w="75" w:type="dxa"/>
              <w:bottom w:w="15" w:type="dxa"/>
              <w:right w:w="75" w:type="dxa"/>
            </w:tcMar>
            <w:vAlign w:val="center"/>
            <w:hideMark/>
          </w:tcPr>
          <w:p w14:paraId="4C2C97A9" w14:textId="77777777" w:rsidR="00E50004" w:rsidRPr="00782B8E" w:rsidRDefault="00E50004" w:rsidP="00E50004">
            <w:pPr>
              <w:spacing w:after="0" w:line="240" w:lineRule="auto"/>
              <w:jc w:val="center"/>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lastRenderedPageBreak/>
              <w:t>Table 1 - All Parcels</w:t>
            </w:r>
          </w:p>
        </w:tc>
      </w:tr>
      <w:tr w:rsidR="00E50004" w:rsidRPr="00782B8E" w14:paraId="6B707DEE" w14:textId="77777777" w:rsidTr="00E50004">
        <w:trPr>
          <w:trHeight w:val="611"/>
          <w:tblHeader/>
        </w:trPr>
        <w:tc>
          <w:tcPr>
            <w:tcW w:w="1531" w:type="pct"/>
            <w:tcMar>
              <w:top w:w="15" w:type="dxa"/>
              <w:left w:w="75" w:type="dxa"/>
              <w:bottom w:w="15" w:type="dxa"/>
              <w:right w:w="75" w:type="dxa"/>
            </w:tcMar>
            <w:vAlign w:val="center"/>
            <w:hideMark/>
          </w:tcPr>
          <w:p w14:paraId="08EE5724" w14:textId="77777777" w:rsidR="00E50004" w:rsidRPr="00782B8E" w:rsidRDefault="00E50004" w:rsidP="00E50004">
            <w:pPr>
              <w:spacing w:after="0" w:line="240" w:lineRule="auto"/>
              <w:jc w:val="center"/>
              <w:rPr>
                <w:rFonts w:ascii="Times New Roman" w:eastAsia="Times New Roman" w:hAnsi="Times New Roman" w:cs="Times New Roman"/>
                <w:b/>
                <w:bCs/>
                <w:color w:val="000000"/>
                <w:sz w:val="24"/>
                <w:szCs w:val="24"/>
              </w:rPr>
            </w:pPr>
            <w:r w:rsidRPr="00782B8E">
              <w:rPr>
                <w:rFonts w:ascii="Times New Roman" w:eastAsia="Times New Roman" w:hAnsi="Times New Roman" w:cs="Times New Roman"/>
                <w:b/>
                <w:bCs/>
                <w:color w:val="000000"/>
                <w:sz w:val="24"/>
                <w:szCs w:val="24"/>
              </w:rPr>
              <w:t> </w:t>
            </w:r>
          </w:p>
        </w:tc>
        <w:tc>
          <w:tcPr>
            <w:tcW w:w="1731" w:type="pct"/>
            <w:gridSpan w:val="2"/>
            <w:tcBorders>
              <w:bottom w:val="single" w:sz="6" w:space="0" w:color="000000"/>
            </w:tcBorders>
            <w:tcMar>
              <w:top w:w="15" w:type="dxa"/>
              <w:left w:w="75" w:type="dxa"/>
              <w:bottom w:w="15" w:type="dxa"/>
              <w:right w:w="75" w:type="dxa"/>
            </w:tcMar>
            <w:vAlign w:val="center"/>
            <w:hideMark/>
          </w:tcPr>
          <w:p w14:paraId="3A91B8A6" w14:textId="77777777" w:rsidR="00E50004" w:rsidRPr="00782B8E" w:rsidRDefault="00E50004" w:rsidP="00E50004">
            <w:pPr>
              <w:spacing w:after="0" w:line="240" w:lineRule="auto"/>
              <w:jc w:val="center"/>
              <w:rPr>
                <w:rFonts w:ascii="Times New Roman" w:eastAsia="Times New Roman" w:hAnsi="Times New Roman" w:cs="Times New Roman"/>
                <w:b/>
                <w:bCs/>
                <w:color w:val="000000"/>
                <w:sz w:val="24"/>
                <w:szCs w:val="24"/>
              </w:rPr>
            </w:pPr>
            <w:r w:rsidRPr="00782B8E">
              <w:rPr>
                <w:rFonts w:ascii="Times New Roman" w:eastAsia="Times New Roman" w:hAnsi="Times New Roman" w:cs="Times New Roman"/>
                <w:b/>
                <w:bCs/>
                <w:color w:val="000000"/>
                <w:sz w:val="24"/>
                <w:szCs w:val="24"/>
              </w:rPr>
              <w:t>Without Structure Information</w:t>
            </w:r>
          </w:p>
        </w:tc>
        <w:tc>
          <w:tcPr>
            <w:tcW w:w="1738" w:type="pct"/>
            <w:gridSpan w:val="2"/>
            <w:tcBorders>
              <w:bottom w:val="single" w:sz="6" w:space="0" w:color="000000"/>
            </w:tcBorders>
            <w:tcMar>
              <w:top w:w="15" w:type="dxa"/>
              <w:left w:w="75" w:type="dxa"/>
              <w:bottom w:w="15" w:type="dxa"/>
              <w:right w:w="75" w:type="dxa"/>
            </w:tcMar>
            <w:vAlign w:val="center"/>
            <w:hideMark/>
          </w:tcPr>
          <w:p w14:paraId="03659778" w14:textId="77777777" w:rsidR="00E50004" w:rsidRPr="00782B8E" w:rsidRDefault="00E50004" w:rsidP="00E50004">
            <w:pPr>
              <w:spacing w:after="0" w:line="240" w:lineRule="auto"/>
              <w:jc w:val="center"/>
              <w:rPr>
                <w:rFonts w:ascii="Times New Roman" w:eastAsia="Times New Roman" w:hAnsi="Times New Roman" w:cs="Times New Roman"/>
                <w:b/>
                <w:bCs/>
                <w:color w:val="000000"/>
                <w:sz w:val="24"/>
                <w:szCs w:val="24"/>
              </w:rPr>
            </w:pPr>
            <w:r w:rsidRPr="00782B8E">
              <w:rPr>
                <w:rFonts w:ascii="Times New Roman" w:eastAsia="Times New Roman" w:hAnsi="Times New Roman" w:cs="Times New Roman"/>
                <w:b/>
                <w:bCs/>
                <w:color w:val="000000"/>
                <w:sz w:val="24"/>
                <w:szCs w:val="24"/>
              </w:rPr>
              <w:t>Includes Structure Information</w:t>
            </w:r>
          </w:p>
        </w:tc>
      </w:tr>
      <w:tr w:rsidR="00E50004" w:rsidRPr="00782B8E" w14:paraId="4A378AFB" w14:textId="77777777" w:rsidTr="00E50004">
        <w:trPr>
          <w:trHeight w:val="313"/>
          <w:tblHeader/>
        </w:trPr>
        <w:tc>
          <w:tcPr>
            <w:tcW w:w="1531" w:type="pct"/>
            <w:tcMar>
              <w:top w:w="15" w:type="dxa"/>
              <w:left w:w="75" w:type="dxa"/>
              <w:bottom w:w="15" w:type="dxa"/>
              <w:right w:w="75" w:type="dxa"/>
            </w:tcMar>
            <w:vAlign w:val="center"/>
            <w:hideMark/>
          </w:tcPr>
          <w:p w14:paraId="559BFB29" w14:textId="77777777" w:rsidR="00E50004" w:rsidRPr="00782B8E" w:rsidRDefault="00E50004" w:rsidP="00E50004">
            <w:pPr>
              <w:spacing w:after="0" w:line="240" w:lineRule="auto"/>
              <w:jc w:val="center"/>
              <w:rPr>
                <w:rFonts w:ascii="Times New Roman" w:eastAsia="Times New Roman" w:hAnsi="Times New Roman" w:cs="Times New Roman"/>
                <w:b/>
                <w:bCs/>
                <w:color w:val="000000"/>
                <w:sz w:val="24"/>
                <w:szCs w:val="24"/>
              </w:rPr>
            </w:pPr>
            <w:r w:rsidRPr="00782B8E">
              <w:rPr>
                <w:rFonts w:ascii="Times New Roman" w:eastAsia="Times New Roman" w:hAnsi="Times New Roman" w:cs="Times New Roman"/>
                <w:b/>
                <w:bCs/>
                <w:color w:val="000000"/>
                <w:sz w:val="24"/>
                <w:szCs w:val="24"/>
              </w:rPr>
              <w:t> </w:t>
            </w:r>
          </w:p>
        </w:tc>
        <w:tc>
          <w:tcPr>
            <w:tcW w:w="821" w:type="pct"/>
            <w:tcMar>
              <w:top w:w="15" w:type="dxa"/>
              <w:left w:w="75" w:type="dxa"/>
              <w:bottom w:w="15" w:type="dxa"/>
              <w:right w:w="75" w:type="dxa"/>
            </w:tcMar>
            <w:vAlign w:val="center"/>
            <w:hideMark/>
          </w:tcPr>
          <w:p w14:paraId="5BFF3CB8" w14:textId="77777777" w:rsidR="00E50004" w:rsidRPr="00782B8E" w:rsidRDefault="00E50004" w:rsidP="00E50004">
            <w:pPr>
              <w:spacing w:after="0" w:line="240" w:lineRule="auto"/>
              <w:jc w:val="center"/>
              <w:rPr>
                <w:rFonts w:ascii="Times New Roman" w:eastAsia="Times New Roman" w:hAnsi="Times New Roman" w:cs="Times New Roman"/>
                <w:b/>
                <w:bCs/>
                <w:color w:val="000000"/>
                <w:sz w:val="24"/>
                <w:szCs w:val="24"/>
              </w:rPr>
            </w:pPr>
            <w:r w:rsidRPr="00782B8E">
              <w:rPr>
                <w:rFonts w:ascii="Times New Roman" w:eastAsia="Times New Roman" w:hAnsi="Times New Roman" w:cs="Times New Roman"/>
                <w:b/>
                <w:bCs/>
                <w:color w:val="000000"/>
                <w:sz w:val="24"/>
                <w:szCs w:val="24"/>
              </w:rPr>
              <w:t>All Parcels</w:t>
            </w:r>
          </w:p>
        </w:tc>
        <w:tc>
          <w:tcPr>
            <w:tcW w:w="910" w:type="pct"/>
            <w:tcMar>
              <w:top w:w="15" w:type="dxa"/>
              <w:left w:w="75" w:type="dxa"/>
              <w:bottom w:w="15" w:type="dxa"/>
              <w:right w:w="75" w:type="dxa"/>
            </w:tcMar>
            <w:vAlign w:val="center"/>
            <w:hideMark/>
          </w:tcPr>
          <w:p w14:paraId="69C93D1A" w14:textId="77777777" w:rsidR="00E50004" w:rsidRPr="00782B8E" w:rsidRDefault="00E50004" w:rsidP="00E50004">
            <w:pPr>
              <w:spacing w:after="0" w:line="240" w:lineRule="auto"/>
              <w:jc w:val="center"/>
              <w:rPr>
                <w:rFonts w:ascii="Times New Roman" w:eastAsia="Times New Roman" w:hAnsi="Times New Roman" w:cs="Times New Roman"/>
                <w:b/>
                <w:bCs/>
                <w:color w:val="000000"/>
                <w:sz w:val="24"/>
                <w:szCs w:val="24"/>
              </w:rPr>
            </w:pPr>
            <w:r w:rsidRPr="00782B8E">
              <w:rPr>
                <w:rFonts w:ascii="Times New Roman" w:eastAsia="Times New Roman" w:hAnsi="Times New Roman" w:cs="Times New Roman"/>
                <w:b/>
                <w:bCs/>
                <w:color w:val="000000"/>
                <w:sz w:val="24"/>
                <w:szCs w:val="24"/>
              </w:rPr>
              <w:t>≥ 0.25 Acres</w:t>
            </w:r>
          </w:p>
        </w:tc>
        <w:tc>
          <w:tcPr>
            <w:tcW w:w="824" w:type="pct"/>
            <w:tcMar>
              <w:top w:w="15" w:type="dxa"/>
              <w:left w:w="75" w:type="dxa"/>
              <w:bottom w:w="15" w:type="dxa"/>
              <w:right w:w="75" w:type="dxa"/>
            </w:tcMar>
            <w:vAlign w:val="center"/>
            <w:hideMark/>
          </w:tcPr>
          <w:p w14:paraId="6839FB9D" w14:textId="77777777" w:rsidR="00E50004" w:rsidRPr="00782B8E" w:rsidRDefault="00E50004" w:rsidP="00E50004">
            <w:pPr>
              <w:spacing w:after="0" w:line="240" w:lineRule="auto"/>
              <w:jc w:val="center"/>
              <w:rPr>
                <w:rFonts w:ascii="Times New Roman" w:eastAsia="Times New Roman" w:hAnsi="Times New Roman" w:cs="Times New Roman"/>
                <w:b/>
                <w:bCs/>
                <w:color w:val="000000"/>
                <w:sz w:val="24"/>
                <w:szCs w:val="24"/>
              </w:rPr>
            </w:pPr>
            <w:r w:rsidRPr="00782B8E">
              <w:rPr>
                <w:rFonts w:ascii="Times New Roman" w:eastAsia="Times New Roman" w:hAnsi="Times New Roman" w:cs="Times New Roman"/>
                <w:b/>
                <w:bCs/>
                <w:color w:val="000000"/>
                <w:sz w:val="24"/>
                <w:szCs w:val="24"/>
              </w:rPr>
              <w:t>All Parcels</w:t>
            </w:r>
          </w:p>
        </w:tc>
        <w:tc>
          <w:tcPr>
            <w:tcW w:w="914" w:type="pct"/>
            <w:tcMar>
              <w:top w:w="15" w:type="dxa"/>
              <w:left w:w="75" w:type="dxa"/>
              <w:bottom w:w="15" w:type="dxa"/>
              <w:right w:w="75" w:type="dxa"/>
            </w:tcMar>
            <w:vAlign w:val="center"/>
            <w:hideMark/>
          </w:tcPr>
          <w:p w14:paraId="1376A8D4" w14:textId="77777777" w:rsidR="00E50004" w:rsidRPr="00782B8E" w:rsidRDefault="00E50004" w:rsidP="00E50004">
            <w:pPr>
              <w:spacing w:after="0" w:line="240" w:lineRule="auto"/>
              <w:jc w:val="center"/>
              <w:rPr>
                <w:rFonts w:ascii="Times New Roman" w:eastAsia="Times New Roman" w:hAnsi="Times New Roman" w:cs="Times New Roman"/>
                <w:b/>
                <w:bCs/>
                <w:color w:val="000000"/>
                <w:sz w:val="24"/>
                <w:szCs w:val="24"/>
              </w:rPr>
            </w:pPr>
            <w:r w:rsidRPr="00782B8E">
              <w:rPr>
                <w:rFonts w:ascii="Times New Roman" w:eastAsia="Times New Roman" w:hAnsi="Times New Roman" w:cs="Times New Roman"/>
                <w:b/>
                <w:bCs/>
                <w:color w:val="000000"/>
                <w:sz w:val="24"/>
                <w:szCs w:val="24"/>
              </w:rPr>
              <w:t>≥ 0.25 Acres</w:t>
            </w:r>
          </w:p>
        </w:tc>
      </w:tr>
      <w:tr w:rsidR="00E50004" w:rsidRPr="00782B8E" w14:paraId="7C740A2C" w14:textId="77777777" w:rsidTr="00E50004">
        <w:trPr>
          <w:trHeight w:val="297"/>
        </w:trPr>
        <w:tc>
          <w:tcPr>
            <w:tcW w:w="1531" w:type="pct"/>
            <w:tcBorders>
              <w:top w:val="single" w:sz="6" w:space="0" w:color="000000"/>
            </w:tcBorders>
            <w:tcMar>
              <w:top w:w="15" w:type="dxa"/>
              <w:left w:w="75" w:type="dxa"/>
              <w:bottom w:w="15" w:type="dxa"/>
              <w:right w:w="75" w:type="dxa"/>
            </w:tcMar>
            <w:vAlign w:val="center"/>
            <w:hideMark/>
          </w:tcPr>
          <w:p w14:paraId="4FDBA157"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(Intercept)</w:t>
            </w:r>
          </w:p>
        </w:tc>
        <w:tc>
          <w:tcPr>
            <w:tcW w:w="821" w:type="pct"/>
            <w:tcBorders>
              <w:top w:val="single" w:sz="6" w:space="0" w:color="000000"/>
            </w:tcBorders>
            <w:tcMar>
              <w:top w:w="15" w:type="dxa"/>
              <w:left w:w="75" w:type="dxa"/>
              <w:bottom w:w="15" w:type="dxa"/>
              <w:right w:w="75" w:type="dxa"/>
            </w:tcMar>
            <w:vAlign w:val="center"/>
            <w:hideMark/>
          </w:tcPr>
          <w:p w14:paraId="37C95E7F"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14.285</w:t>
            </w:r>
            <w:r w:rsidRPr="00782B8E">
              <w:rPr>
                <w:rFonts w:ascii="Times New Roman" w:eastAsia="Times New Roman" w:hAnsi="Times New Roman" w:cs="Times New Roman"/>
                <w:color w:val="000000"/>
                <w:sz w:val="24"/>
                <w:szCs w:val="24"/>
                <w:vertAlign w:val="superscript"/>
              </w:rPr>
              <w:t>***</w:t>
            </w:r>
          </w:p>
        </w:tc>
        <w:tc>
          <w:tcPr>
            <w:tcW w:w="910" w:type="pct"/>
            <w:tcBorders>
              <w:top w:val="single" w:sz="6" w:space="0" w:color="000000"/>
            </w:tcBorders>
            <w:tcMar>
              <w:top w:w="15" w:type="dxa"/>
              <w:left w:w="75" w:type="dxa"/>
              <w:bottom w:w="15" w:type="dxa"/>
              <w:right w:w="75" w:type="dxa"/>
            </w:tcMar>
            <w:vAlign w:val="center"/>
            <w:hideMark/>
          </w:tcPr>
          <w:p w14:paraId="433B0A73"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14.856</w:t>
            </w:r>
            <w:r w:rsidRPr="00782B8E">
              <w:rPr>
                <w:rFonts w:ascii="Times New Roman" w:eastAsia="Times New Roman" w:hAnsi="Times New Roman" w:cs="Times New Roman"/>
                <w:color w:val="000000"/>
                <w:sz w:val="24"/>
                <w:szCs w:val="24"/>
                <w:vertAlign w:val="superscript"/>
              </w:rPr>
              <w:t>***</w:t>
            </w:r>
          </w:p>
        </w:tc>
        <w:tc>
          <w:tcPr>
            <w:tcW w:w="824" w:type="pct"/>
            <w:tcBorders>
              <w:top w:val="single" w:sz="6" w:space="0" w:color="000000"/>
            </w:tcBorders>
            <w:tcMar>
              <w:top w:w="15" w:type="dxa"/>
              <w:left w:w="75" w:type="dxa"/>
              <w:bottom w:w="15" w:type="dxa"/>
              <w:right w:w="75" w:type="dxa"/>
            </w:tcMar>
            <w:vAlign w:val="center"/>
            <w:hideMark/>
          </w:tcPr>
          <w:p w14:paraId="4B0CAF39"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15.234</w:t>
            </w:r>
            <w:r w:rsidRPr="00782B8E">
              <w:rPr>
                <w:rFonts w:ascii="Times New Roman" w:eastAsia="Times New Roman" w:hAnsi="Times New Roman" w:cs="Times New Roman"/>
                <w:color w:val="000000"/>
                <w:sz w:val="24"/>
                <w:szCs w:val="24"/>
                <w:vertAlign w:val="superscript"/>
              </w:rPr>
              <w:t>***</w:t>
            </w:r>
          </w:p>
        </w:tc>
        <w:tc>
          <w:tcPr>
            <w:tcW w:w="914" w:type="pct"/>
            <w:tcBorders>
              <w:top w:val="single" w:sz="6" w:space="0" w:color="000000"/>
            </w:tcBorders>
            <w:tcMar>
              <w:top w:w="15" w:type="dxa"/>
              <w:left w:w="75" w:type="dxa"/>
              <w:bottom w:w="15" w:type="dxa"/>
              <w:right w:w="75" w:type="dxa"/>
            </w:tcMar>
            <w:vAlign w:val="center"/>
            <w:hideMark/>
          </w:tcPr>
          <w:p w14:paraId="40AB088E"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20.680</w:t>
            </w:r>
            <w:r w:rsidRPr="00782B8E">
              <w:rPr>
                <w:rFonts w:ascii="Times New Roman" w:eastAsia="Times New Roman" w:hAnsi="Times New Roman" w:cs="Times New Roman"/>
                <w:color w:val="000000"/>
                <w:sz w:val="24"/>
                <w:szCs w:val="24"/>
                <w:vertAlign w:val="superscript"/>
              </w:rPr>
              <w:t>***</w:t>
            </w:r>
          </w:p>
        </w:tc>
      </w:tr>
      <w:tr w:rsidR="00E50004" w:rsidRPr="00782B8E" w14:paraId="2B43E54F" w14:textId="77777777" w:rsidTr="00E50004">
        <w:trPr>
          <w:trHeight w:val="297"/>
        </w:trPr>
        <w:tc>
          <w:tcPr>
            <w:tcW w:w="1531" w:type="pct"/>
            <w:tcMar>
              <w:top w:w="15" w:type="dxa"/>
              <w:left w:w="75" w:type="dxa"/>
              <w:bottom w:w="15" w:type="dxa"/>
              <w:right w:w="75" w:type="dxa"/>
            </w:tcMar>
            <w:vAlign w:val="center"/>
            <w:hideMark/>
          </w:tcPr>
          <w:p w14:paraId="0AB72AFB"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c>
          <w:tcPr>
            <w:tcW w:w="821" w:type="pct"/>
            <w:tcMar>
              <w:top w:w="15" w:type="dxa"/>
              <w:left w:w="75" w:type="dxa"/>
              <w:bottom w:w="15" w:type="dxa"/>
              <w:right w:w="75" w:type="dxa"/>
            </w:tcMar>
            <w:vAlign w:val="center"/>
            <w:hideMark/>
          </w:tcPr>
          <w:p w14:paraId="2FF88F5D"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(0.274)</w:t>
            </w:r>
          </w:p>
        </w:tc>
        <w:tc>
          <w:tcPr>
            <w:tcW w:w="910" w:type="pct"/>
            <w:tcMar>
              <w:top w:w="15" w:type="dxa"/>
              <w:left w:w="75" w:type="dxa"/>
              <w:bottom w:w="15" w:type="dxa"/>
              <w:right w:w="75" w:type="dxa"/>
            </w:tcMar>
            <w:vAlign w:val="center"/>
            <w:hideMark/>
          </w:tcPr>
          <w:p w14:paraId="6DA0B4C1"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(0.669)</w:t>
            </w:r>
          </w:p>
        </w:tc>
        <w:tc>
          <w:tcPr>
            <w:tcW w:w="824" w:type="pct"/>
            <w:tcMar>
              <w:top w:w="15" w:type="dxa"/>
              <w:left w:w="75" w:type="dxa"/>
              <w:bottom w:w="15" w:type="dxa"/>
              <w:right w:w="75" w:type="dxa"/>
            </w:tcMar>
            <w:vAlign w:val="center"/>
            <w:hideMark/>
          </w:tcPr>
          <w:p w14:paraId="49434560"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(1.442)</w:t>
            </w:r>
          </w:p>
        </w:tc>
        <w:tc>
          <w:tcPr>
            <w:tcW w:w="914" w:type="pct"/>
            <w:tcMar>
              <w:top w:w="15" w:type="dxa"/>
              <w:left w:w="75" w:type="dxa"/>
              <w:bottom w:w="15" w:type="dxa"/>
              <w:right w:w="75" w:type="dxa"/>
            </w:tcMar>
            <w:vAlign w:val="center"/>
            <w:hideMark/>
          </w:tcPr>
          <w:p w14:paraId="34C9580E"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(4.173)</w:t>
            </w:r>
          </w:p>
        </w:tc>
      </w:tr>
      <w:tr w:rsidR="00E50004" w:rsidRPr="00782B8E" w14:paraId="6E623DCE" w14:textId="77777777" w:rsidTr="00E50004">
        <w:trPr>
          <w:trHeight w:val="313"/>
        </w:trPr>
        <w:tc>
          <w:tcPr>
            <w:tcW w:w="1531" w:type="pct"/>
            <w:tcMar>
              <w:top w:w="15" w:type="dxa"/>
              <w:left w:w="75" w:type="dxa"/>
              <w:bottom w:w="15" w:type="dxa"/>
              <w:right w:w="75" w:type="dxa"/>
            </w:tcMar>
            <w:vAlign w:val="center"/>
            <w:hideMark/>
          </w:tcPr>
          <w:p w14:paraId="66C0C178"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proofErr w:type="gramStart"/>
            <w:r w:rsidRPr="00782B8E">
              <w:rPr>
                <w:rFonts w:ascii="Times New Roman" w:eastAsia="Times New Roman" w:hAnsi="Times New Roman" w:cs="Times New Roman"/>
                <w:color w:val="000000"/>
                <w:sz w:val="24"/>
                <w:szCs w:val="24"/>
              </w:rPr>
              <w:t>ln(</w:t>
            </w:r>
            <w:proofErr w:type="gramEnd"/>
            <w:r w:rsidRPr="00782B8E">
              <w:rPr>
                <w:rFonts w:ascii="Times New Roman" w:eastAsia="Times New Roman" w:hAnsi="Times New Roman" w:cs="Times New Roman"/>
                <w:color w:val="000000"/>
                <w:sz w:val="24"/>
                <w:szCs w:val="24"/>
              </w:rPr>
              <w:t>Acres)</w:t>
            </w:r>
          </w:p>
        </w:tc>
        <w:tc>
          <w:tcPr>
            <w:tcW w:w="821" w:type="pct"/>
            <w:tcMar>
              <w:top w:w="15" w:type="dxa"/>
              <w:left w:w="75" w:type="dxa"/>
              <w:bottom w:w="15" w:type="dxa"/>
              <w:right w:w="75" w:type="dxa"/>
            </w:tcMar>
            <w:vAlign w:val="center"/>
            <w:hideMark/>
          </w:tcPr>
          <w:p w14:paraId="0BCAF429"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0.379</w:t>
            </w:r>
            <w:r w:rsidRPr="00782B8E">
              <w:rPr>
                <w:rFonts w:ascii="Times New Roman" w:eastAsia="Times New Roman" w:hAnsi="Times New Roman" w:cs="Times New Roman"/>
                <w:color w:val="000000"/>
                <w:sz w:val="24"/>
                <w:szCs w:val="24"/>
                <w:vertAlign w:val="superscript"/>
              </w:rPr>
              <w:t>***</w:t>
            </w:r>
          </w:p>
        </w:tc>
        <w:tc>
          <w:tcPr>
            <w:tcW w:w="910" w:type="pct"/>
            <w:tcMar>
              <w:top w:w="15" w:type="dxa"/>
              <w:left w:w="75" w:type="dxa"/>
              <w:bottom w:w="15" w:type="dxa"/>
              <w:right w:w="75" w:type="dxa"/>
            </w:tcMar>
            <w:vAlign w:val="center"/>
            <w:hideMark/>
          </w:tcPr>
          <w:p w14:paraId="04057B07"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1.114</w:t>
            </w:r>
            <w:r w:rsidRPr="00782B8E">
              <w:rPr>
                <w:rFonts w:ascii="Times New Roman" w:eastAsia="Times New Roman" w:hAnsi="Times New Roman" w:cs="Times New Roman"/>
                <w:color w:val="000000"/>
                <w:sz w:val="24"/>
                <w:szCs w:val="24"/>
                <w:vertAlign w:val="superscript"/>
              </w:rPr>
              <w:t>***</w:t>
            </w:r>
          </w:p>
        </w:tc>
        <w:tc>
          <w:tcPr>
            <w:tcW w:w="824" w:type="pct"/>
            <w:tcMar>
              <w:top w:w="15" w:type="dxa"/>
              <w:left w:w="75" w:type="dxa"/>
              <w:bottom w:w="15" w:type="dxa"/>
              <w:right w:w="75" w:type="dxa"/>
            </w:tcMar>
            <w:vAlign w:val="center"/>
            <w:hideMark/>
          </w:tcPr>
          <w:p w14:paraId="614D5C82"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0.283</w:t>
            </w:r>
            <w:r w:rsidRPr="00782B8E">
              <w:rPr>
                <w:rFonts w:ascii="Times New Roman" w:eastAsia="Times New Roman" w:hAnsi="Times New Roman" w:cs="Times New Roman"/>
                <w:color w:val="000000"/>
                <w:sz w:val="24"/>
                <w:szCs w:val="24"/>
                <w:vertAlign w:val="superscript"/>
              </w:rPr>
              <w:t>***</w:t>
            </w:r>
          </w:p>
        </w:tc>
        <w:tc>
          <w:tcPr>
            <w:tcW w:w="914" w:type="pct"/>
            <w:tcMar>
              <w:top w:w="15" w:type="dxa"/>
              <w:left w:w="75" w:type="dxa"/>
              <w:bottom w:w="15" w:type="dxa"/>
              <w:right w:w="75" w:type="dxa"/>
            </w:tcMar>
            <w:vAlign w:val="center"/>
            <w:hideMark/>
          </w:tcPr>
          <w:p w14:paraId="6FE2E46E"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0.484</w:t>
            </w:r>
            <w:r w:rsidRPr="00782B8E">
              <w:rPr>
                <w:rFonts w:ascii="Times New Roman" w:eastAsia="Times New Roman" w:hAnsi="Times New Roman" w:cs="Times New Roman"/>
                <w:color w:val="000000"/>
                <w:sz w:val="24"/>
                <w:szCs w:val="24"/>
                <w:vertAlign w:val="superscript"/>
              </w:rPr>
              <w:t>*</w:t>
            </w:r>
          </w:p>
        </w:tc>
      </w:tr>
      <w:tr w:rsidR="00E50004" w:rsidRPr="00782B8E" w14:paraId="3EF273B0" w14:textId="77777777" w:rsidTr="00E50004">
        <w:trPr>
          <w:trHeight w:val="297"/>
        </w:trPr>
        <w:tc>
          <w:tcPr>
            <w:tcW w:w="1531" w:type="pct"/>
            <w:tcMar>
              <w:top w:w="15" w:type="dxa"/>
              <w:left w:w="75" w:type="dxa"/>
              <w:bottom w:w="15" w:type="dxa"/>
              <w:right w:w="75" w:type="dxa"/>
            </w:tcMar>
            <w:vAlign w:val="center"/>
            <w:hideMark/>
          </w:tcPr>
          <w:p w14:paraId="49E9ECC4"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c>
          <w:tcPr>
            <w:tcW w:w="821" w:type="pct"/>
            <w:tcMar>
              <w:top w:w="15" w:type="dxa"/>
              <w:left w:w="75" w:type="dxa"/>
              <w:bottom w:w="15" w:type="dxa"/>
              <w:right w:w="75" w:type="dxa"/>
            </w:tcMar>
            <w:vAlign w:val="center"/>
            <w:hideMark/>
          </w:tcPr>
          <w:p w14:paraId="2E2CE875"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(0.027)</w:t>
            </w:r>
          </w:p>
        </w:tc>
        <w:tc>
          <w:tcPr>
            <w:tcW w:w="910" w:type="pct"/>
            <w:tcMar>
              <w:top w:w="15" w:type="dxa"/>
              <w:left w:w="75" w:type="dxa"/>
              <w:bottom w:w="15" w:type="dxa"/>
              <w:right w:w="75" w:type="dxa"/>
            </w:tcMar>
            <w:vAlign w:val="center"/>
            <w:hideMark/>
          </w:tcPr>
          <w:p w14:paraId="0BDE8E66"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(0.182)</w:t>
            </w:r>
          </w:p>
        </w:tc>
        <w:tc>
          <w:tcPr>
            <w:tcW w:w="824" w:type="pct"/>
            <w:tcMar>
              <w:top w:w="15" w:type="dxa"/>
              <w:left w:w="75" w:type="dxa"/>
              <w:bottom w:w="15" w:type="dxa"/>
              <w:right w:w="75" w:type="dxa"/>
            </w:tcMar>
            <w:vAlign w:val="center"/>
            <w:hideMark/>
          </w:tcPr>
          <w:p w14:paraId="740993E0"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(0.025)</w:t>
            </w:r>
          </w:p>
        </w:tc>
        <w:tc>
          <w:tcPr>
            <w:tcW w:w="914" w:type="pct"/>
            <w:tcMar>
              <w:top w:w="15" w:type="dxa"/>
              <w:left w:w="75" w:type="dxa"/>
              <w:bottom w:w="15" w:type="dxa"/>
              <w:right w:w="75" w:type="dxa"/>
            </w:tcMar>
            <w:vAlign w:val="center"/>
            <w:hideMark/>
          </w:tcPr>
          <w:p w14:paraId="2E7AFAC0"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(0.200)</w:t>
            </w:r>
          </w:p>
        </w:tc>
      </w:tr>
      <w:tr w:rsidR="00E50004" w:rsidRPr="00782B8E" w14:paraId="224140F5" w14:textId="77777777" w:rsidTr="00E50004">
        <w:trPr>
          <w:trHeight w:val="313"/>
        </w:trPr>
        <w:tc>
          <w:tcPr>
            <w:tcW w:w="1531" w:type="pct"/>
            <w:tcMar>
              <w:top w:w="15" w:type="dxa"/>
              <w:left w:w="75" w:type="dxa"/>
              <w:bottom w:w="15" w:type="dxa"/>
              <w:right w:w="75" w:type="dxa"/>
            </w:tcMar>
            <w:vAlign w:val="center"/>
            <w:hideMark/>
          </w:tcPr>
          <w:p w14:paraId="764CFBE7"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C-D Zoned</w:t>
            </w:r>
          </w:p>
        </w:tc>
        <w:tc>
          <w:tcPr>
            <w:tcW w:w="821" w:type="pct"/>
            <w:tcMar>
              <w:top w:w="15" w:type="dxa"/>
              <w:left w:w="75" w:type="dxa"/>
              <w:bottom w:w="15" w:type="dxa"/>
              <w:right w:w="75" w:type="dxa"/>
            </w:tcMar>
            <w:vAlign w:val="center"/>
            <w:hideMark/>
          </w:tcPr>
          <w:p w14:paraId="0268CC60"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0.005</w:t>
            </w:r>
          </w:p>
        </w:tc>
        <w:tc>
          <w:tcPr>
            <w:tcW w:w="910" w:type="pct"/>
            <w:tcMar>
              <w:top w:w="15" w:type="dxa"/>
              <w:left w:w="75" w:type="dxa"/>
              <w:bottom w:w="15" w:type="dxa"/>
              <w:right w:w="75" w:type="dxa"/>
            </w:tcMar>
            <w:vAlign w:val="center"/>
            <w:hideMark/>
          </w:tcPr>
          <w:p w14:paraId="0975314E"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0.390</w:t>
            </w:r>
          </w:p>
        </w:tc>
        <w:tc>
          <w:tcPr>
            <w:tcW w:w="824" w:type="pct"/>
            <w:tcMar>
              <w:top w:w="15" w:type="dxa"/>
              <w:left w:w="75" w:type="dxa"/>
              <w:bottom w:w="15" w:type="dxa"/>
              <w:right w:w="75" w:type="dxa"/>
            </w:tcMar>
            <w:vAlign w:val="center"/>
            <w:hideMark/>
          </w:tcPr>
          <w:p w14:paraId="6FF13A2D"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-0.172</w:t>
            </w:r>
          </w:p>
        </w:tc>
        <w:tc>
          <w:tcPr>
            <w:tcW w:w="914" w:type="pct"/>
            <w:tcMar>
              <w:top w:w="15" w:type="dxa"/>
              <w:left w:w="75" w:type="dxa"/>
              <w:bottom w:w="15" w:type="dxa"/>
              <w:right w:w="75" w:type="dxa"/>
            </w:tcMar>
            <w:vAlign w:val="center"/>
            <w:hideMark/>
          </w:tcPr>
          <w:p w14:paraId="1451D411"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0.294</w:t>
            </w:r>
          </w:p>
        </w:tc>
      </w:tr>
      <w:tr w:rsidR="00E50004" w:rsidRPr="00782B8E" w14:paraId="76024DFE" w14:textId="77777777" w:rsidTr="00E50004">
        <w:trPr>
          <w:trHeight w:val="297"/>
        </w:trPr>
        <w:tc>
          <w:tcPr>
            <w:tcW w:w="1531" w:type="pct"/>
            <w:tcMar>
              <w:top w:w="15" w:type="dxa"/>
              <w:left w:w="75" w:type="dxa"/>
              <w:bottom w:w="15" w:type="dxa"/>
              <w:right w:w="75" w:type="dxa"/>
            </w:tcMar>
            <w:vAlign w:val="center"/>
            <w:hideMark/>
          </w:tcPr>
          <w:p w14:paraId="3C65B3FF"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c>
          <w:tcPr>
            <w:tcW w:w="821" w:type="pct"/>
            <w:tcMar>
              <w:top w:w="15" w:type="dxa"/>
              <w:left w:w="75" w:type="dxa"/>
              <w:bottom w:w="15" w:type="dxa"/>
              <w:right w:w="75" w:type="dxa"/>
            </w:tcMar>
            <w:vAlign w:val="center"/>
            <w:hideMark/>
          </w:tcPr>
          <w:p w14:paraId="24B711EF"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(0.190)</w:t>
            </w:r>
          </w:p>
        </w:tc>
        <w:tc>
          <w:tcPr>
            <w:tcW w:w="910" w:type="pct"/>
            <w:tcMar>
              <w:top w:w="15" w:type="dxa"/>
              <w:left w:w="75" w:type="dxa"/>
              <w:bottom w:w="15" w:type="dxa"/>
              <w:right w:w="75" w:type="dxa"/>
            </w:tcMar>
            <w:vAlign w:val="center"/>
            <w:hideMark/>
          </w:tcPr>
          <w:p w14:paraId="1E37BE91"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(0.510)</w:t>
            </w:r>
          </w:p>
        </w:tc>
        <w:tc>
          <w:tcPr>
            <w:tcW w:w="824" w:type="pct"/>
            <w:tcMar>
              <w:top w:w="15" w:type="dxa"/>
              <w:left w:w="75" w:type="dxa"/>
              <w:bottom w:w="15" w:type="dxa"/>
              <w:right w:w="75" w:type="dxa"/>
            </w:tcMar>
            <w:vAlign w:val="center"/>
            <w:hideMark/>
          </w:tcPr>
          <w:p w14:paraId="5B9671C1"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(0.146)</w:t>
            </w:r>
          </w:p>
        </w:tc>
        <w:tc>
          <w:tcPr>
            <w:tcW w:w="914" w:type="pct"/>
            <w:tcMar>
              <w:top w:w="15" w:type="dxa"/>
              <w:left w:w="75" w:type="dxa"/>
              <w:bottom w:w="15" w:type="dxa"/>
              <w:right w:w="75" w:type="dxa"/>
            </w:tcMar>
            <w:vAlign w:val="center"/>
            <w:hideMark/>
          </w:tcPr>
          <w:p w14:paraId="3596D1FB"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(0.472)</w:t>
            </w:r>
          </w:p>
        </w:tc>
      </w:tr>
      <w:tr w:rsidR="00E50004" w:rsidRPr="00782B8E" w14:paraId="089FDF4C" w14:textId="77777777" w:rsidTr="00E50004">
        <w:trPr>
          <w:trHeight w:val="297"/>
        </w:trPr>
        <w:tc>
          <w:tcPr>
            <w:tcW w:w="1531" w:type="pct"/>
            <w:tcMar>
              <w:top w:w="15" w:type="dxa"/>
              <w:left w:w="75" w:type="dxa"/>
              <w:bottom w:w="15" w:type="dxa"/>
              <w:right w:w="75" w:type="dxa"/>
            </w:tcMar>
            <w:vAlign w:val="center"/>
            <w:hideMark/>
          </w:tcPr>
          <w:p w14:paraId="5176F1DF"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Distance to Arch</w:t>
            </w:r>
          </w:p>
        </w:tc>
        <w:tc>
          <w:tcPr>
            <w:tcW w:w="821" w:type="pct"/>
            <w:tcMar>
              <w:top w:w="15" w:type="dxa"/>
              <w:left w:w="75" w:type="dxa"/>
              <w:bottom w:w="15" w:type="dxa"/>
              <w:right w:w="75" w:type="dxa"/>
            </w:tcMar>
            <w:vAlign w:val="center"/>
            <w:hideMark/>
          </w:tcPr>
          <w:p w14:paraId="5B29E7BA"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-0.001</w:t>
            </w:r>
            <w:r w:rsidRPr="00782B8E">
              <w:rPr>
                <w:rFonts w:ascii="Times New Roman" w:eastAsia="Times New Roman" w:hAnsi="Times New Roman" w:cs="Times New Roman"/>
                <w:color w:val="000000"/>
                <w:sz w:val="24"/>
                <w:szCs w:val="24"/>
                <w:vertAlign w:val="superscript"/>
              </w:rPr>
              <w:t>***</w:t>
            </w:r>
          </w:p>
        </w:tc>
        <w:tc>
          <w:tcPr>
            <w:tcW w:w="910" w:type="pct"/>
            <w:tcMar>
              <w:top w:w="15" w:type="dxa"/>
              <w:left w:w="75" w:type="dxa"/>
              <w:bottom w:w="15" w:type="dxa"/>
              <w:right w:w="75" w:type="dxa"/>
            </w:tcMar>
            <w:vAlign w:val="center"/>
            <w:hideMark/>
          </w:tcPr>
          <w:p w14:paraId="71ABC41A"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-0.001</w:t>
            </w:r>
            <w:r w:rsidRPr="00782B8E">
              <w:rPr>
                <w:rFonts w:ascii="Times New Roman" w:eastAsia="Times New Roman" w:hAnsi="Times New Roman" w:cs="Times New Roman"/>
                <w:color w:val="000000"/>
                <w:sz w:val="24"/>
                <w:szCs w:val="24"/>
                <w:vertAlign w:val="superscript"/>
              </w:rPr>
              <w:t>*</w:t>
            </w:r>
          </w:p>
        </w:tc>
        <w:tc>
          <w:tcPr>
            <w:tcW w:w="824" w:type="pct"/>
            <w:tcMar>
              <w:top w:w="15" w:type="dxa"/>
              <w:left w:w="75" w:type="dxa"/>
              <w:bottom w:w="15" w:type="dxa"/>
              <w:right w:w="75" w:type="dxa"/>
            </w:tcMar>
            <w:vAlign w:val="center"/>
            <w:hideMark/>
          </w:tcPr>
          <w:p w14:paraId="658F0B1C"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-0.001</w:t>
            </w:r>
            <w:r w:rsidRPr="00782B8E">
              <w:rPr>
                <w:rFonts w:ascii="Times New Roman" w:eastAsia="Times New Roman" w:hAnsi="Times New Roman" w:cs="Times New Roman"/>
                <w:color w:val="000000"/>
                <w:sz w:val="24"/>
                <w:szCs w:val="24"/>
                <w:vertAlign w:val="superscript"/>
              </w:rPr>
              <w:t>***</w:t>
            </w:r>
          </w:p>
        </w:tc>
        <w:tc>
          <w:tcPr>
            <w:tcW w:w="914" w:type="pct"/>
            <w:tcMar>
              <w:top w:w="15" w:type="dxa"/>
              <w:left w:w="75" w:type="dxa"/>
              <w:bottom w:w="15" w:type="dxa"/>
              <w:right w:w="75" w:type="dxa"/>
            </w:tcMar>
            <w:vAlign w:val="center"/>
            <w:hideMark/>
          </w:tcPr>
          <w:p w14:paraId="3BAA2024"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-0.002</w:t>
            </w:r>
            <w:r w:rsidRPr="00782B8E">
              <w:rPr>
                <w:rFonts w:ascii="Times New Roman" w:eastAsia="Times New Roman" w:hAnsi="Times New Roman" w:cs="Times New Roman"/>
                <w:color w:val="000000"/>
                <w:sz w:val="24"/>
                <w:szCs w:val="24"/>
                <w:vertAlign w:val="superscript"/>
              </w:rPr>
              <w:t>**</w:t>
            </w:r>
          </w:p>
        </w:tc>
      </w:tr>
      <w:tr w:rsidR="00E50004" w:rsidRPr="00782B8E" w14:paraId="6AA61E72" w14:textId="77777777" w:rsidTr="00E50004">
        <w:trPr>
          <w:trHeight w:val="313"/>
        </w:trPr>
        <w:tc>
          <w:tcPr>
            <w:tcW w:w="1531" w:type="pct"/>
            <w:tcMar>
              <w:top w:w="15" w:type="dxa"/>
              <w:left w:w="75" w:type="dxa"/>
              <w:bottom w:w="15" w:type="dxa"/>
              <w:right w:w="75" w:type="dxa"/>
            </w:tcMar>
            <w:vAlign w:val="center"/>
            <w:hideMark/>
          </w:tcPr>
          <w:p w14:paraId="78460E65"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c>
          <w:tcPr>
            <w:tcW w:w="821" w:type="pct"/>
            <w:tcMar>
              <w:top w:w="15" w:type="dxa"/>
              <w:left w:w="75" w:type="dxa"/>
              <w:bottom w:w="15" w:type="dxa"/>
              <w:right w:w="75" w:type="dxa"/>
            </w:tcMar>
            <w:vAlign w:val="center"/>
            <w:hideMark/>
          </w:tcPr>
          <w:p w14:paraId="32A323D7"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(0.000)</w:t>
            </w:r>
          </w:p>
        </w:tc>
        <w:tc>
          <w:tcPr>
            <w:tcW w:w="910" w:type="pct"/>
            <w:tcMar>
              <w:top w:w="15" w:type="dxa"/>
              <w:left w:w="75" w:type="dxa"/>
              <w:bottom w:w="15" w:type="dxa"/>
              <w:right w:w="75" w:type="dxa"/>
            </w:tcMar>
            <w:vAlign w:val="center"/>
            <w:hideMark/>
          </w:tcPr>
          <w:p w14:paraId="37A2BF5B"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(0.001)</w:t>
            </w:r>
          </w:p>
        </w:tc>
        <w:tc>
          <w:tcPr>
            <w:tcW w:w="824" w:type="pct"/>
            <w:tcMar>
              <w:top w:w="15" w:type="dxa"/>
              <w:left w:w="75" w:type="dxa"/>
              <w:bottom w:w="15" w:type="dxa"/>
              <w:right w:w="75" w:type="dxa"/>
            </w:tcMar>
            <w:vAlign w:val="center"/>
            <w:hideMark/>
          </w:tcPr>
          <w:p w14:paraId="7993CE23"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(0.000)</w:t>
            </w:r>
          </w:p>
        </w:tc>
        <w:tc>
          <w:tcPr>
            <w:tcW w:w="914" w:type="pct"/>
            <w:tcMar>
              <w:top w:w="15" w:type="dxa"/>
              <w:left w:w="75" w:type="dxa"/>
              <w:bottom w:w="15" w:type="dxa"/>
              <w:right w:w="75" w:type="dxa"/>
            </w:tcMar>
            <w:vAlign w:val="center"/>
            <w:hideMark/>
          </w:tcPr>
          <w:p w14:paraId="36580AE1"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(0.001)</w:t>
            </w:r>
          </w:p>
        </w:tc>
      </w:tr>
      <w:tr w:rsidR="00E50004" w:rsidRPr="00782B8E" w14:paraId="056FA294" w14:textId="77777777" w:rsidTr="00E50004">
        <w:trPr>
          <w:trHeight w:val="297"/>
        </w:trPr>
        <w:tc>
          <w:tcPr>
            <w:tcW w:w="1531" w:type="pct"/>
            <w:tcMar>
              <w:top w:w="15" w:type="dxa"/>
              <w:left w:w="75" w:type="dxa"/>
              <w:bottom w:w="15" w:type="dxa"/>
              <w:right w:w="75" w:type="dxa"/>
            </w:tcMar>
            <w:vAlign w:val="center"/>
            <w:hideMark/>
          </w:tcPr>
          <w:p w14:paraId="01EAEAE9"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Moratorium</w:t>
            </w:r>
          </w:p>
        </w:tc>
        <w:tc>
          <w:tcPr>
            <w:tcW w:w="821" w:type="pct"/>
            <w:tcMar>
              <w:top w:w="15" w:type="dxa"/>
              <w:left w:w="75" w:type="dxa"/>
              <w:bottom w:w="15" w:type="dxa"/>
              <w:right w:w="75" w:type="dxa"/>
            </w:tcMar>
            <w:vAlign w:val="center"/>
            <w:hideMark/>
          </w:tcPr>
          <w:p w14:paraId="2C42AAE9"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0.200</w:t>
            </w:r>
          </w:p>
        </w:tc>
        <w:tc>
          <w:tcPr>
            <w:tcW w:w="910" w:type="pct"/>
            <w:tcMar>
              <w:top w:w="15" w:type="dxa"/>
              <w:left w:w="75" w:type="dxa"/>
              <w:bottom w:w="15" w:type="dxa"/>
              <w:right w:w="75" w:type="dxa"/>
            </w:tcMar>
            <w:vAlign w:val="center"/>
            <w:hideMark/>
          </w:tcPr>
          <w:p w14:paraId="14A38451"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-0.052</w:t>
            </w:r>
          </w:p>
        </w:tc>
        <w:tc>
          <w:tcPr>
            <w:tcW w:w="824" w:type="pct"/>
            <w:tcMar>
              <w:top w:w="15" w:type="dxa"/>
              <w:left w:w="75" w:type="dxa"/>
              <w:bottom w:w="15" w:type="dxa"/>
              <w:right w:w="75" w:type="dxa"/>
            </w:tcMar>
            <w:vAlign w:val="center"/>
            <w:hideMark/>
          </w:tcPr>
          <w:p w14:paraId="6017CF78"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0.278</w:t>
            </w:r>
            <w:r w:rsidRPr="00782B8E">
              <w:rPr>
                <w:rFonts w:ascii="Times New Roman" w:eastAsia="Times New Roman" w:hAnsi="Times New Roman" w:cs="Times New Roman"/>
                <w:color w:val="000000"/>
                <w:sz w:val="24"/>
                <w:szCs w:val="24"/>
                <w:vertAlign w:val="superscript"/>
              </w:rPr>
              <w:t>**</w:t>
            </w:r>
          </w:p>
        </w:tc>
        <w:tc>
          <w:tcPr>
            <w:tcW w:w="914" w:type="pct"/>
            <w:tcMar>
              <w:top w:w="15" w:type="dxa"/>
              <w:left w:w="75" w:type="dxa"/>
              <w:bottom w:w="15" w:type="dxa"/>
              <w:right w:w="75" w:type="dxa"/>
            </w:tcMar>
            <w:vAlign w:val="center"/>
            <w:hideMark/>
          </w:tcPr>
          <w:p w14:paraId="0C7F29B4"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0.269</w:t>
            </w:r>
          </w:p>
        </w:tc>
      </w:tr>
      <w:tr w:rsidR="00E50004" w:rsidRPr="00782B8E" w14:paraId="41A6095F" w14:textId="77777777" w:rsidTr="00E50004">
        <w:trPr>
          <w:trHeight w:val="313"/>
        </w:trPr>
        <w:tc>
          <w:tcPr>
            <w:tcW w:w="1531" w:type="pct"/>
            <w:tcMar>
              <w:top w:w="15" w:type="dxa"/>
              <w:left w:w="75" w:type="dxa"/>
              <w:bottom w:w="15" w:type="dxa"/>
              <w:right w:w="75" w:type="dxa"/>
            </w:tcMar>
            <w:vAlign w:val="center"/>
            <w:hideMark/>
          </w:tcPr>
          <w:p w14:paraId="26BCC67C"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c>
          <w:tcPr>
            <w:tcW w:w="821" w:type="pct"/>
            <w:tcMar>
              <w:top w:w="15" w:type="dxa"/>
              <w:left w:w="75" w:type="dxa"/>
              <w:bottom w:w="15" w:type="dxa"/>
              <w:right w:w="75" w:type="dxa"/>
            </w:tcMar>
            <w:vAlign w:val="center"/>
            <w:hideMark/>
          </w:tcPr>
          <w:p w14:paraId="331737CC"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(0.116)</w:t>
            </w:r>
          </w:p>
        </w:tc>
        <w:tc>
          <w:tcPr>
            <w:tcW w:w="910" w:type="pct"/>
            <w:tcMar>
              <w:top w:w="15" w:type="dxa"/>
              <w:left w:w="75" w:type="dxa"/>
              <w:bottom w:w="15" w:type="dxa"/>
              <w:right w:w="75" w:type="dxa"/>
            </w:tcMar>
            <w:vAlign w:val="center"/>
            <w:hideMark/>
          </w:tcPr>
          <w:p w14:paraId="1CC46228"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(0.283)</w:t>
            </w:r>
          </w:p>
        </w:tc>
        <w:tc>
          <w:tcPr>
            <w:tcW w:w="824" w:type="pct"/>
            <w:tcMar>
              <w:top w:w="15" w:type="dxa"/>
              <w:left w:w="75" w:type="dxa"/>
              <w:bottom w:w="15" w:type="dxa"/>
              <w:right w:w="75" w:type="dxa"/>
            </w:tcMar>
            <w:vAlign w:val="center"/>
            <w:hideMark/>
          </w:tcPr>
          <w:p w14:paraId="34F6523A"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(0.092)</w:t>
            </w:r>
          </w:p>
        </w:tc>
        <w:tc>
          <w:tcPr>
            <w:tcW w:w="914" w:type="pct"/>
            <w:tcMar>
              <w:top w:w="15" w:type="dxa"/>
              <w:left w:w="75" w:type="dxa"/>
              <w:bottom w:w="15" w:type="dxa"/>
              <w:right w:w="75" w:type="dxa"/>
            </w:tcMar>
            <w:vAlign w:val="center"/>
            <w:hideMark/>
          </w:tcPr>
          <w:p w14:paraId="68BD4FAA"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(0.211)</w:t>
            </w:r>
          </w:p>
        </w:tc>
      </w:tr>
      <w:tr w:rsidR="00E50004" w:rsidRPr="00782B8E" w14:paraId="1DE2C2FB" w14:textId="77777777" w:rsidTr="00E50004">
        <w:trPr>
          <w:trHeight w:val="594"/>
        </w:trPr>
        <w:tc>
          <w:tcPr>
            <w:tcW w:w="1531" w:type="pct"/>
            <w:tcMar>
              <w:top w:w="15" w:type="dxa"/>
              <w:left w:w="75" w:type="dxa"/>
              <w:bottom w:w="15" w:type="dxa"/>
              <w:right w:w="75" w:type="dxa"/>
            </w:tcMar>
            <w:vAlign w:val="center"/>
            <w:hideMark/>
          </w:tcPr>
          <w:p w14:paraId="19C24879"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C-D Zoned AND Moratorium</w:t>
            </w:r>
          </w:p>
        </w:tc>
        <w:tc>
          <w:tcPr>
            <w:tcW w:w="821" w:type="pct"/>
            <w:tcMar>
              <w:top w:w="15" w:type="dxa"/>
              <w:left w:w="75" w:type="dxa"/>
              <w:bottom w:w="15" w:type="dxa"/>
              <w:right w:w="75" w:type="dxa"/>
            </w:tcMar>
            <w:vAlign w:val="center"/>
            <w:hideMark/>
          </w:tcPr>
          <w:p w14:paraId="4D62FDF5"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0.107</w:t>
            </w:r>
          </w:p>
        </w:tc>
        <w:tc>
          <w:tcPr>
            <w:tcW w:w="910" w:type="pct"/>
            <w:tcMar>
              <w:top w:w="15" w:type="dxa"/>
              <w:left w:w="75" w:type="dxa"/>
              <w:bottom w:w="15" w:type="dxa"/>
              <w:right w:w="75" w:type="dxa"/>
            </w:tcMar>
            <w:vAlign w:val="center"/>
            <w:hideMark/>
          </w:tcPr>
          <w:p w14:paraId="69B57C17"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0.408</w:t>
            </w:r>
          </w:p>
        </w:tc>
        <w:tc>
          <w:tcPr>
            <w:tcW w:w="824" w:type="pct"/>
            <w:tcMar>
              <w:top w:w="15" w:type="dxa"/>
              <w:left w:w="75" w:type="dxa"/>
              <w:bottom w:w="15" w:type="dxa"/>
              <w:right w:w="75" w:type="dxa"/>
            </w:tcMar>
            <w:vAlign w:val="center"/>
            <w:hideMark/>
          </w:tcPr>
          <w:p w14:paraId="72666142"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0.025</w:t>
            </w:r>
          </w:p>
        </w:tc>
        <w:tc>
          <w:tcPr>
            <w:tcW w:w="914" w:type="pct"/>
            <w:tcMar>
              <w:top w:w="15" w:type="dxa"/>
              <w:left w:w="75" w:type="dxa"/>
              <w:bottom w:w="15" w:type="dxa"/>
              <w:right w:w="75" w:type="dxa"/>
            </w:tcMar>
            <w:vAlign w:val="center"/>
            <w:hideMark/>
          </w:tcPr>
          <w:p w14:paraId="5CAE1830"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-0.323</w:t>
            </w:r>
          </w:p>
        </w:tc>
      </w:tr>
      <w:tr w:rsidR="00E50004" w:rsidRPr="00782B8E" w14:paraId="7131C98F" w14:textId="77777777" w:rsidTr="00E50004">
        <w:trPr>
          <w:trHeight w:val="313"/>
        </w:trPr>
        <w:tc>
          <w:tcPr>
            <w:tcW w:w="1531" w:type="pct"/>
            <w:tcMar>
              <w:top w:w="15" w:type="dxa"/>
              <w:left w:w="75" w:type="dxa"/>
              <w:bottom w:w="15" w:type="dxa"/>
              <w:right w:w="75" w:type="dxa"/>
            </w:tcMar>
            <w:vAlign w:val="center"/>
            <w:hideMark/>
          </w:tcPr>
          <w:p w14:paraId="1F5ECCFC"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c>
          <w:tcPr>
            <w:tcW w:w="821" w:type="pct"/>
            <w:tcMar>
              <w:top w:w="15" w:type="dxa"/>
              <w:left w:w="75" w:type="dxa"/>
              <w:bottom w:w="15" w:type="dxa"/>
              <w:right w:w="75" w:type="dxa"/>
            </w:tcMar>
            <w:vAlign w:val="center"/>
            <w:hideMark/>
          </w:tcPr>
          <w:p w14:paraId="12EAA30F"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(0.158)</w:t>
            </w:r>
          </w:p>
        </w:tc>
        <w:tc>
          <w:tcPr>
            <w:tcW w:w="910" w:type="pct"/>
            <w:tcMar>
              <w:top w:w="15" w:type="dxa"/>
              <w:left w:w="75" w:type="dxa"/>
              <w:bottom w:w="15" w:type="dxa"/>
              <w:right w:w="75" w:type="dxa"/>
            </w:tcMar>
            <w:vAlign w:val="center"/>
            <w:hideMark/>
          </w:tcPr>
          <w:p w14:paraId="4E7E432D"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(0.492)</w:t>
            </w:r>
          </w:p>
        </w:tc>
        <w:tc>
          <w:tcPr>
            <w:tcW w:w="824" w:type="pct"/>
            <w:tcMar>
              <w:top w:w="15" w:type="dxa"/>
              <w:left w:w="75" w:type="dxa"/>
              <w:bottom w:w="15" w:type="dxa"/>
              <w:right w:w="75" w:type="dxa"/>
            </w:tcMar>
            <w:vAlign w:val="center"/>
            <w:hideMark/>
          </w:tcPr>
          <w:p w14:paraId="5CE3EF2F"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(0.121)</w:t>
            </w:r>
          </w:p>
        </w:tc>
        <w:tc>
          <w:tcPr>
            <w:tcW w:w="914" w:type="pct"/>
            <w:tcMar>
              <w:top w:w="15" w:type="dxa"/>
              <w:left w:w="75" w:type="dxa"/>
              <w:bottom w:w="15" w:type="dxa"/>
              <w:right w:w="75" w:type="dxa"/>
            </w:tcMar>
            <w:vAlign w:val="center"/>
            <w:hideMark/>
          </w:tcPr>
          <w:p w14:paraId="2F5BD61C"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(0.419)</w:t>
            </w:r>
          </w:p>
        </w:tc>
      </w:tr>
      <w:tr w:rsidR="00E50004" w:rsidRPr="00782B8E" w14:paraId="22E4C8B1" w14:textId="77777777" w:rsidTr="00E50004">
        <w:trPr>
          <w:trHeight w:val="297"/>
        </w:trPr>
        <w:tc>
          <w:tcPr>
            <w:tcW w:w="1531" w:type="pct"/>
            <w:tcMar>
              <w:top w:w="15" w:type="dxa"/>
              <w:left w:w="75" w:type="dxa"/>
              <w:bottom w:w="15" w:type="dxa"/>
              <w:right w:w="75" w:type="dxa"/>
            </w:tcMar>
            <w:vAlign w:val="center"/>
            <w:hideMark/>
          </w:tcPr>
          <w:p w14:paraId="1E0E678A"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Total # of Structures</w:t>
            </w:r>
          </w:p>
        </w:tc>
        <w:tc>
          <w:tcPr>
            <w:tcW w:w="821" w:type="pct"/>
            <w:tcMar>
              <w:top w:w="15" w:type="dxa"/>
              <w:left w:w="75" w:type="dxa"/>
              <w:bottom w:w="15" w:type="dxa"/>
              <w:right w:w="75" w:type="dxa"/>
            </w:tcMar>
            <w:vAlign w:val="center"/>
            <w:hideMark/>
          </w:tcPr>
          <w:p w14:paraId="29A6E4E3"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c>
          <w:tcPr>
            <w:tcW w:w="910" w:type="pct"/>
            <w:tcMar>
              <w:top w:w="15" w:type="dxa"/>
              <w:left w:w="75" w:type="dxa"/>
              <w:bottom w:w="15" w:type="dxa"/>
              <w:right w:w="75" w:type="dxa"/>
            </w:tcMar>
            <w:vAlign w:val="center"/>
            <w:hideMark/>
          </w:tcPr>
          <w:p w14:paraId="02A7A472"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c>
          <w:tcPr>
            <w:tcW w:w="824" w:type="pct"/>
            <w:tcMar>
              <w:top w:w="15" w:type="dxa"/>
              <w:left w:w="75" w:type="dxa"/>
              <w:bottom w:w="15" w:type="dxa"/>
              <w:right w:w="75" w:type="dxa"/>
            </w:tcMar>
            <w:vAlign w:val="center"/>
            <w:hideMark/>
          </w:tcPr>
          <w:p w14:paraId="745C63EE"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0.397</w:t>
            </w:r>
            <w:r w:rsidRPr="00782B8E">
              <w:rPr>
                <w:rFonts w:ascii="Times New Roman" w:eastAsia="Times New Roman" w:hAnsi="Times New Roman" w:cs="Times New Roman"/>
                <w:color w:val="000000"/>
                <w:sz w:val="24"/>
                <w:szCs w:val="24"/>
                <w:vertAlign w:val="superscript"/>
              </w:rPr>
              <w:t>***</w:t>
            </w:r>
          </w:p>
        </w:tc>
        <w:tc>
          <w:tcPr>
            <w:tcW w:w="914" w:type="pct"/>
            <w:tcMar>
              <w:top w:w="15" w:type="dxa"/>
              <w:left w:w="75" w:type="dxa"/>
              <w:bottom w:w="15" w:type="dxa"/>
              <w:right w:w="75" w:type="dxa"/>
            </w:tcMar>
            <w:vAlign w:val="center"/>
            <w:hideMark/>
          </w:tcPr>
          <w:p w14:paraId="17729C59"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0.207</w:t>
            </w:r>
            <w:r w:rsidRPr="00782B8E">
              <w:rPr>
                <w:rFonts w:ascii="Times New Roman" w:eastAsia="Times New Roman" w:hAnsi="Times New Roman" w:cs="Times New Roman"/>
                <w:color w:val="000000"/>
                <w:sz w:val="24"/>
                <w:szCs w:val="24"/>
                <w:vertAlign w:val="superscript"/>
              </w:rPr>
              <w:t>*</w:t>
            </w:r>
          </w:p>
        </w:tc>
      </w:tr>
      <w:tr w:rsidR="00E50004" w:rsidRPr="00782B8E" w14:paraId="78DC0040" w14:textId="77777777" w:rsidTr="00E50004">
        <w:trPr>
          <w:trHeight w:val="313"/>
        </w:trPr>
        <w:tc>
          <w:tcPr>
            <w:tcW w:w="1531" w:type="pct"/>
            <w:tcMar>
              <w:top w:w="15" w:type="dxa"/>
              <w:left w:w="75" w:type="dxa"/>
              <w:bottom w:w="15" w:type="dxa"/>
              <w:right w:w="75" w:type="dxa"/>
            </w:tcMar>
            <w:vAlign w:val="center"/>
            <w:hideMark/>
          </w:tcPr>
          <w:p w14:paraId="3DF3F748"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c>
          <w:tcPr>
            <w:tcW w:w="821" w:type="pct"/>
            <w:tcMar>
              <w:top w:w="15" w:type="dxa"/>
              <w:left w:w="75" w:type="dxa"/>
              <w:bottom w:w="15" w:type="dxa"/>
              <w:right w:w="75" w:type="dxa"/>
            </w:tcMar>
            <w:vAlign w:val="center"/>
            <w:hideMark/>
          </w:tcPr>
          <w:p w14:paraId="53625BD9"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c>
          <w:tcPr>
            <w:tcW w:w="910" w:type="pct"/>
            <w:tcMar>
              <w:top w:w="15" w:type="dxa"/>
              <w:left w:w="75" w:type="dxa"/>
              <w:bottom w:w="15" w:type="dxa"/>
              <w:right w:w="75" w:type="dxa"/>
            </w:tcMar>
            <w:vAlign w:val="center"/>
            <w:hideMark/>
          </w:tcPr>
          <w:p w14:paraId="7F6A73BD"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c>
          <w:tcPr>
            <w:tcW w:w="824" w:type="pct"/>
            <w:tcMar>
              <w:top w:w="15" w:type="dxa"/>
              <w:left w:w="75" w:type="dxa"/>
              <w:bottom w:w="15" w:type="dxa"/>
              <w:right w:w="75" w:type="dxa"/>
            </w:tcMar>
            <w:vAlign w:val="center"/>
            <w:hideMark/>
          </w:tcPr>
          <w:p w14:paraId="31E706AF"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(0.040)</w:t>
            </w:r>
          </w:p>
        </w:tc>
        <w:tc>
          <w:tcPr>
            <w:tcW w:w="914" w:type="pct"/>
            <w:tcMar>
              <w:top w:w="15" w:type="dxa"/>
              <w:left w:w="75" w:type="dxa"/>
              <w:bottom w:w="15" w:type="dxa"/>
              <w:right w:w="75" w:type="dxa"/>
            </w:tcMar>
            <w:vAlign w:val="center"/>
            <w:hideMark/>
          </w:tcPr>
          <w:p w14:paraId="06F82625"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(0.088)</w:t>
            </w:r>
          </w:p>
        </w:tc>
      </w:tr>
      <w:tr w:rsidR="00E50004" w:rsidRPr="00782B8E" w14:paraId="03D4389D" w14:textId="77777777" w:rsidTr="00E50004">
        <w:trPr>
          <w:trHeight w:val="297"/>
        </w:trPr>
        <w:tc>
          <w:tcPr>
            <w:tcW w:w="1531" w:type="pct"/>
            <w:tcMar>
              <w:top w:w="15" w:type="dxa"/>
              <w:left w:w="75" w:type="dxa"/>
              <w:bottom w:w="15" w:type="dxa"/>
              <w:right w:w="75" w:type="dxa"/>
            </w:tcMar>
            <w:vAlign w:val="center"/>
            <w:hideMark/>
          </w:tcPr>
          <w:p w14:paraId="2B029AE7"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Total Square Footage</w:t>
            </w:r>
          </w:p>
        </w:tc>
        <w:tc>
          <w:tcPr>
            <w:tcW w:w="821" w:type="pct"/>
            <w:tcMar>
              <w:top w:w="15" w:type="dxa"/>
              <w:left w:w="75" w:type="dxa"/>
              <w:bottom w:w="15" w:type="dxa"/>
              <w:right w:w="75" w:type="dxa"/>
            </w:tcMar>
            <w:vAlign w:val="center"/>
            <w:hideMark/>
          </w:tcPr>
          <w:p w14:paraId="1DFD48F1"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c>
          <w:tcPr>
            <w:tcW w:w="910" w:type="pct"/>
            <w:tcMar>
              <w:top w:w="15" w:type="dxa"/>
              <w:left w:w="75" w:type="dxa"/>
              <w:bottom w:w="15" w:type="dxa"/>
              <w:right w:w="75" w:type="dxa"/>
            </w:tcMar>
            <w:vAlign w:val="center"/>
            <w:hideMark/>
          </w:tcPr>
          <w:p w14:paraId="18E401CC"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c>
          <w:tcPr>
            <w:tcW w:w="824" w:type="pct"/>
            <w:tcMar>
              <w:top w:w="15" w:type="dxa"/>
              <w:left w:w="75" w:type="dxa"/>
              <w:bottom w:w="15" w:type="dxa"/>
              <w:right w:w="75" w:type="dxa"/>
            </w:tcMar>
            <w:vAlign w:val="center"/>
            <w:hideMark/>
          </w:tcPr>
          <w:p w14:paraId="7E25A415"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0.000</w:t>
            </w:r>
            <w:r w:rsidRPr="00782B8E">
              <w:rPr>
                <w:rFonts w:ascii="Times New Roman" w:eastAsia="Times New Roman" w:hAnsi="Times New Roman" w:cs="Times New Roman"/>
                <w:color w:val="000000"/>
                <w:sz w:val="24"/>
                <w:szCs w:val="24"/>
                <w:vertAlign w:val="superscript"/>
              </w:rPr>
              <w:t>***</w:t>
            </w:r>
          </w:p>
        </w:tc>
        <w:tc>
          <w:tcPr>
            <w:tcW w:w="914" w:type="pct"/>
            <w:tcMar>
              <w:top w:w="15" w:type="dxa"/>
              <w:left w:w="75" w:type="dxa"/>
              <w:bottom w:w="15" w:type="dxa"/>
              <w:right w:w="75" w:type="dxa"/>
            </w:tcMar>
            <w:vAlign w:val="center"/>
            <w:hideMark/>
          </w:tcPr>
          <w:p w14:paraId="0514A395"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0.000</w:t>
            </w:r>
            <w:r w:rsidRPr="00782B8E">
              <w:rPr>
                <w:rFonts w:ascii="Times New Roman" w:eastAsia="Times New Roman" w:hAnsi="Times New Roman" w:cs="Times New Roman"/>
                <w:color w:val="000000"/>
                <w:sz w:val="24"/>
                <w:szCs w:val="24"/>
                <w:vertAlign w:val="superscript"/>
              </w:rPr>
              <w:t>***</w:t>
            </w:r>
          </w:p>
        </w:tc>
      </w:tr>
      <w:tr w:rsidR="00E50004" w:rsidRPr="00782B8E" w14:paraId="15C2593B" w14:textId="77777777" w:rsidTr="00E50004">
        <w:trPr>
          <w:trHeight w:val="297"/>
        </w:trPr>
        <w:tc>
          <w:tcPr>
            <w:tcW w:w="1531" w:type="pct"/>
            <w:tcMar>
              <w:top w:w="15" w:type="dxa"/>
              <w:left w:w="75" w:type="dxa"/>
              <w:bottom w:w="15" w:type="dxa"/>
              <w:right w:w="75" w:type="dxa"/>
            </w:tcMar>
            <w:vAlign w:val="center"/>
            <w:hideMark/>
          </w:tcPr>
          <w:p w14:paraId="7F8C9C53"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c>
          <w:tcPr>
            <w:tcW w:w="821" w:type="pct"/>
            <w:tcMar>
              <w:top w:w="15" w:type="dxa"/>
              <w:left w:w="75" w:type="dxa"/>
              <w:bottom w:w="15" w:type="dxa"/>
              <w:right w:w="75" w:type="dxa"/>
            </w:tcMar>
            <w:vAlign w:val="center"/>
            <w:hideMark/>
          </w:tcPr>
          <w:p w14:paraId="50560C52"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c>
          <w:tcPr>
            <w:tcW w:w="910" w:type="pct"/>
            <w:tcMar>
              <w:top w:w="15" w:type="dxa"/>
              <w:left w:w="75" w:type="dxa"/>
              <w:bottom w:w="15" w:type="dxa"/>
              <w:right w:w="75" w:type="dxa"/>
            </w:tcMar>
            <w:vAlign w:val="center"/>
            <w:hideMark/>
          </w:tcPr>
          <w:p w14:paraId="10237C7C"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c>
          <w:tcPr>
            <w:tcW w:w="824" w:type="pct"/>
            <w:tcMar>
              <w:top w:w="15" w:type="dxa"/>
              <w:left w:w="75" w:type="dxa"/>
              <w:bottom w:w="15" w:type="dxa"/>
              <w:right w:w="75" w:type="dxa"/>
            </w:tcMar>
            <w:vAlign w:val="center"/>
            <w:hideMark/>
          </w:tcPr>
          <w:p w14:paraId="3C6B5A98"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(0.000)</w:t>
            </w:r>
          </w:p>
        </w:tc>
        <w:tc>
          <w:tcPr>
            <w:tcW w:w="914" w:type="pct"/>
            <w:tcMar>
              <w:top w:w="15" w:type="dxa"/>
              <w:left w:w="75" w:type="dxa"/>
              <w:bottom w:w="15" w:type="dxa"/>
              <w:right w:w="75" w:type="dxa"/>
            </w:tcMar>
            <w:vAlign w:val="center"/>
            <w:hideMark/>
          </w:tcPr>
          <w:p w14:paraId="7D7F3FDF"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(0.000)</w:t>
            </w:r>
          </w:p>
        </w:tc>
      </w:tr>
      <w:tr w:rsidR="00E50004" w:rsidRPr="00782B8E" w14:paraId="5FA33835" w14:textId="77777777" w:rsidTr="00E50004">
        <w:trPr>
          <w:trHeight w:val="313"/>
        </w:trPr>
        <w:tc>
          <w:tcPr>
            <w:tcW w:w="1531" w:type="pct"/>
            <w:tcMar>
              <w:top w:w="15" w:type="dxa"/>
              <w:left w:w="75" w:type="dxa"/>
              <w:bottom w:w="15" w:type="dxa"/>
              <w:right w:w="75" w:type="dxa"/>
            </w:tcMar>
            <w:vAlign w:val="center"/>
            <w:hideMark/>
          </w:tcPr>
          <w:p w14:paraId="5BE5F2CA"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Year Built</w:t>
            </w:r>
          </w:p>
        </w:tc>
        <w:tc>
          <w:tcPr>
            <w:tcW w:w="821" w:type="pct"/>
            <w:tcMar>
              <w:top w:w="15" w:type="dxa"/>
              <w:left w:w="75" w:type="dxa"/>
              <w:bottom w:w="15" w:type="dxa"/>
              <w:right w:w="75" w:type="dxa"/>
            </w:tcMar>
            <w:vAlign w:val="center"/>
            <w:hideMark/>
          </w:tcPr>
          <w:p w14:paraId="1FA01EBB"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c>
          <w:tcPr>
            <w:tcW w:w="910" w:type="pct"/>
            <w:tcMar>
              <w:top w:w="15" w:type="dxa"/>
              <w:left w:w="75" w:type="dxa"/>
              <w:bottom w:w="15" w:type="dxa"/>
              <w:right w:w="75" w:type="dxa"/>
            </w:tcMar>
            <w:vAlign w:val="center"/>
            <w:hideMark/>
          </w:tcPr>
          <w:p w14:paraId="5CC79C43"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c>
          <w:tcPr>
            <w:tcW w:w="824" w:type="pct"/>
            <w:tcMar>
              <w:top w:w="15" w:type="dxa"/>
              <w:left w:w="75" w:type="dxa"/>
              <w:bottom w:w="15" w:type="dxa"/>
              <w:right w:w="75" w:type="dxa"/>
            </w:tcMar>
            <w:vAlign w:val="center"/>
            <w:hideMark/>
          </w:tcPr>
          <w:p w14:paraId="70C2963F"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-0.001</w:t>
            </w:r>
          </w:p>
        </w:tc>
        <w:tc>
          <w:tcPr>
            <w:tcW w:w="914" w:type="pct"/>
            <w:tcMar>
              <w:top w:w="15" w:type="dxa"/>
              <w:left w:w="75" w:type="dxa"/>
              <w:bottom w:w="15" w:type="dxa"/>
              <w:right w:w="75" w:type="dxa"/>
            </w:tcMar>
            <w:vAlign w:val="center"/>
            <w:hideMark/>
          </w:tcPr>
          <w:p w14:paraId="740ADBE8"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-0.003</w:t>
            </w:r>
          </w:p>
        </w:tc>
      </w:tr>
      <w:tr w:rsidR="00E50004" w:rsidRPr="00782B8E" w14:paraId="1B3263EF" w14:textId="77777777" w:rsidTr="00E50004">
        <w:trPr>
          <w:trHeight w:val="297"/>
        </w:trPr>
        <w:tc>
          <w:tcPr>
            <w:tcW w:w="1531" w:type="pct"/>
            <w:tcMar>
              <w:top w:w="15" w:type="dxa"/>
              <w:left w:w="75" w:type="dxa"/>
              <w:bottom w:w="15" w:type="dxa"/>
              <w:right w:w="75" w:type="dxa"/>
            </w:tcMar>
            <w:vAlign w:val="center"/>
            <w:hideMark/>
          </w:tcPr>
          <w:p w14:paraId="13B03CDF"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c>
          <w:tcPr>
            <w:tcW w:w="821" w:type="pct"/>
            <w:tcMar>
              <w:top w:w="15" w:type="dxa"/>
              <w:left w:w="75" w:type="dxa"/>
              <w:bottom w:w="15" w:type="dxa"/>
              <w:right w:w="75" w:type="dxa"/>
            </w:tcMar>
            <w:vAlign w:val="center"/>
            <w:hideMark/>
          </w:tcPr>
          <w:p w14:paraId="6B1BF4E6"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c>
          <w:tcPr>
            <w:tcW w:w="910" w:type="pct"/>
            <w:tcMar>
              <w:top w:w="15" w:type="dxa"/>
              <w:left w:w="75" w:type="dxa"/>
              <w:bottom w:w="15" w:type="dxa"/>
              <w:right w:w="75" w:type="dxa"/>
            </w:tcMar>
            <w:vAlign w:val="center"/>
            <w:hideMark/>
          </w:tcPr>
          <w:p w14:paraId="2A8F1D1B"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c>
          <w:tcPr>
            <w:tcW w:w="824" w:type="pct"/>
            <w:tcMar>
              <w:top w:w="15" w:type="dxa"/>
              <w:left w:w="75" w:type="dxa"/>
              <w:bottom w:w="15" w:type="dxa"/>
              <w:right w:w="75" w:type="dxa"/>
            </w:tcMar>
            <w:vAlign w:val="center"/>
            <w:hideMark/>
          </w:tcPr>
          <w:p w14:paraId="4F5C70E5"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(0.001)</w:t>
            </w:r>
          </w:p>
        </w:tc>
        <w:tc>
          <w:tcPr>
            <w:tcW w:w="914" w:type="pct"/>
            <w:tcMar>
              <w:top w:w="15" w:type="dxa"/>
              <w:left w:w="75" w:type="dxa"/>
              <w:bottom w:w="15" w:type="dxa"/>
              <w:right w:w="75" w:type="dxa"/>
            </w:tcMar>
            <w:vAlign w:val="center"/>
            <w:hideMark/>
          </w:tcPr>
          <w:p w14:paraId="2863E419"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(0.002)</w:t>
            </w:r>
          </w:p>
        </w:tc>
      </w:tr>
      <w:tr w:rsidR="00E50004" w:rsidRPr="00782B8E" w14:paraId="446DA8F6" w14:textId="77777777" w:rsidTr="00E50004">
        <w:trPr>
          <w:trHeight w:val="313"/>
        </w:trPr>
        <w:tc>
          <w:tcPr>
            <w:tcW w:w="1531" w:type="pct"/>
            <w:tcBorders>
              <w:top w:val="single" w:sz="6" w:space="0" w:color="000000"/>
            </w:tcBorders>
            <w:tcMar>
              <w:top w:w="15" w:type="dxa"/>
              <w:left w:w="75" w:type="dxa"/>
              <w:bottom w:w="15" w:type="dxa"/>
              <w:right w:w="75" w:type="dxa"/>
            </w:tcMar>
            <w:vAlign w:val="center"/>
            <w:hideMark/>
          </w:tcPr>
          <w:p w14:paraId="77307AEC"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R</w:t>
            </w:r>
            <w:r w:rsidRPr="00782B8E">
              <w:rPr>
                <w:rFonts w:ascii="Times New Roman" w:eastAsia="Times New Roman" w:hAnsi="Times New Roman" w:cs="Times New Roman"/>
                <w:color w:val="000000"/>
                <w:sz w:val="24"/>
                <w:szCs w:val="24"/>
                <w:vertAlign w:val="superscript"/>
              </w:rPr>
              <w:t>2</w:t>
            </w:r>
          </w:p>
        </w:tc>
        <w:tc>
          <w:tcPr>
            <w:tcW w:w="821" w:type="pct"/>
            <w:tcBorders>
              <w:top w:val="single" w:sz="6" w:space="0" w:color="000000"/>
            </w:tcBorders>
            <w:tcMar>
              <w:top w:w="15" w:type="dxa"/>
              <w:left w:w="75" w:type="dxa"/>
              <w:bottom w:w="15" w:type="dxa"/>
              <w:right w:w="75" w:type="dxa"/>
            </w:tcMar>
            <w:vAlign w:val="center"/>
            <w:hideMark/>
          </w:tcPr>
          <w:p w14:paraId="19E8AB4B"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0.355</w:t>
            </w:r>
          </w:p>
        </w:tc>
        <w:tc>
          <w:tcPr>
            <w:tcW w:w="910" w:type="pct"/>
            <w:tcBorders>
              <w:top w:val="single" w:sz="6" w:space="0" w:color="000000"/>
            </w:tcBorders>
            <w:tcMar>
              <w:top w:w="15" w:type="dxa"/>
              <w:left w:w="75" w:type="dxa"/>
              <w:bottom w:w="15" w:type="dxa"/>
              <w:right w:w="75" w:type="dxa"/>
            </w:tcMar>
            <w:vAlign w:val="center"/>
            <w:hideMark/>
          </w:tcPr>
          <w:p w14:paraId="0E0023F5"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0.605</w:t>
            </w:r>
          </w:p>
        </w:tc>
        <w:tc>
          <w:tcPr>
            <w:tcW w:w="824" w:type="pct"/>
            <w:tcBorders>
              <w:top w:val="single" w:sz="6" w:space="0" w:color="000000"/>
            </w:tcBorders>
            <w:tcMar>
              <w:top w:w="15" w:type="dxa"/>
              <w:left w:w="75" w:type="dxa"/>
              <w:bottom w:w="15" w:type="dxa"/>
              <w:right w:w="75" w:type="dxa"/>
            </w:tcMar>
            <w:vAlign w:val="center"/>
            <w:hideMark/>
          </w:tcPr>
          <w:p w14:paraId="36701AF6"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0.595</w:t>
            </w:r>
          </w:p>
        </w:tc>
        <w:tc>
          <w:tcPr>
            <w:tcW w:w="914" w:type="pct"/>
            <w:tcBorders>
              <w:top w:val="single" w:sz="6" w:space="0" w:color="000000"/>
            </w:tcBorders>
            <w:tcMar>
              <w:top w:w="15" w:type="dxa"/>
              <w:left w:w="75" w:type="dxa"/>
              <w:bottom w:w="15" w:type="dxa"/>
              <w:right w:w="75" w:type="dxa"/>
            </w:tcMar>
            <w:vAlign w:val="center"/>
            <w:hideMark/>
          </w:tcPr>
          <w:p w14:paraId="05C7289C"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0.801</w:t>
            </w:r>
          </w:p>
        </w:tc>
      </w:tr>
      <w:tr w:rsidR="00E50004" w:rsidRPr="00782B8E" w14:paraId="0806421D" w14:textId="77777777" w:rsidTr="00E50004">
        <w:trPr>
          <w:trHeight w:val="297"/>
        </w:trPr>
        <w:tc>
          <w:tcPr>
            <w:tcW w:w="1531" w:type="pct"/>
            <w:tcMar>
              <w:top w:w="15" w:type="dxa"/>
              <w:left w:w="75" w:type="dxa"/>
              <w:bottom w:w="15" w:type="dxa"/>
              <w:right w:w="75" w:type="dxa"/>
            </w:tcMar>
            <w:vAlign w:val="center"/>
            <w:hideMark/>
          </w:tcPr>
          <w:p w14:paraId="3DF7B95D"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Adj. R</w:t>
            </w:r>
            <w:r w:rsidRPr="00782B8E">
              <w:rPr>
                <w:rFonts w:ascii="Times New Roman" w:eastAsia="Times New Roman" w:hAnsi="Times New Roman" w:cs="Times New Roman"/>
                <w:color w:val="000000"/>
                <w:sz w:val="24"/>
                <w:szCs w:val="24"/>
                <w:vertAlign w:val="superscript"/>
              </w:rPr>
              <w:t>2</w:t>
            </w:r>
          </w:p>
        </w:tc>
        <w:tc>
          <w:tcPr>
            <w:tcW w:w="821" w:type="pct"/>
            <w:tcMar>
              <w:top w:w="15" w:type="dxa"/>
              <w:left w:w="75" w:type="dxa"/>
              <w:bottom w:w="15" w:type="dxa"/>
              <w:right w:w="75" w:type="dxa"/>
            </w:tcMar>
            <w:vAlign w:val="center"/>
            <w:hideMark/>
          </w:tcPr>
          <w:p w14:paraId="638EF003"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0.348</w:t>
            </w:r>
          </w:p>
        </w:tc>
        <w:tc>
          <w:tcPr>
            <w:tcW w:w="910" w:type="pct"/>
            <w:tcMar>
              <w:top w:w="15" w:type="dxa"/>
              <w:left w:w="75" w:type="dxa"/>
              <w:bottom w:w="15" w:type="dxa"/>
              <w:right w:w="75" w:type="dxa"/>
            </w:tcMar>
            <w:vAlign w:val="center"/>
            <w:hideMark/>
          </w:tcPr>
          <w:p w14:paraId="7D9A8B03"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0.579</w:t>
            </w:r>
          </w:p>
        </w:tc>
        <w:tc>
          <w:tcPr>
            <w:tcW w:w="824" w:type="pct"/>
            <w:tcMar>
              <w:top w:w="15" w:type="dxa"/>
              <w:left w:w="75" w:type="dxa"/>
              <w:bottom w:w="15" w:type="dxa"/>
              <w:right w:w="75" w:type="dxa"/>
            </w:tcMar>
            <w:vAlign w:val="center"/>
            <w:hideMark/>
          </w:tcPr>
          <w:p w14:paraId="2CD3EFD2"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0.588</w:t>
            </w:r>
          </w:p>
        </w:tc>
        <w:tc>
          <w:tcPr>
            <w:tcW w:w="914" w:type="pct"/>
            <w:tcMar>
              <w:top w:w="15" w:type="dxa"/>
              <w:left w:w="75" w:type="dxa"/>
              <w:bottom w:w="15" w:type="dxa"/>
              <w:right w:w="75" w:type="dxa"/>
            </w:tcMar>
            <w:vAlign w:val="center"/>
            <w:hideMark/>
          </w:tcPr>
          <w:p w14:paraId="59A41D56"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0.767</w:t>
            </w:r>
          </w:p>
        </w:tc>
      </w:tr>
      <w:tr w:rsidR="00E50004" w:rsidRPr="00782B8E" w14:paraId="3703E7DA" w14:textId="77777777" w:rsidTr="00E50004">
        <w:trPr>
          <w:trHeight w:val="297"/>
        </w:trPr>
        <w:tc>
          <w:tcPr>
            <w:tcW w:w="1531" w:type="pct"/>
            <w:tcBorders>
              <w:bottom w:val="single" w:sz="12" w:space="0" w:color="000000"/>
            </w:tcBorders>
            <w:tcMar>
              <w:top w:w="15" w:type="dxa"/>
              <w:left w:w="75" w:type="dxa"/>
              <w:bottom w:w="15" w:type="dxa"/>
              <w:right w:w="75" w:type="dxa"/>
            </w:tcMar>
            <w:vAlign w:val="center"/>
            <w:hideMark/>
          </w:tcPr>
          <w:p w14:paraId="73230C27"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Num. obs.</w:t>
            </w:r>
          </w:p>
        </w:tc>
        <w:tc>
          <w:tcPr>
            <w:tcW w:w="821" w:type="pct"/>
            <w:tcBorders>
              <w:bottom w:val="single" w:sz="12" w:space="0" w:color="000000"/>
            </w:tcBorders>
            <w:tcMar>
              <w:top w:w="15" w:type="dxa"/>
              <w:left w:w="75" w:type="dxa"/>
              <w:bottom w:w="15" w:type="dxa"/>
              <w:right w:w="75" w:type="dxa"/>
            </w:tcMar>
            <w:vAlign w:val="center"/>
            <w:hideMark/>
          </w:tcPr>
          <w:p w14:paraId="22962829"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521</w:t>
            </w:r>
          </w:p>
        </w:tc>
        <w:tc>
          <w:tcPr>
            <w:tcW w:w="910" w:type="pct"/>
            <w:tcBorders>
              <w:bottom w:val="single" w:sz="12" w:space="0" w:color="000000"/>
            </w:tcBorders>
            <w:tcMar>
              <w:top w:w="15" w:type="dxa"/>
              <w:left w:w="75" w:type="dxa"/>
              <w:bottom w:w="15" w:type="dxa"/>
              <w:right w:w="75" w:type="dxa"/>
            </w:tcMar>
            <w:vAlign w:val="center"/>
            <w:hideMark/>
          </w:tcPr>
          <w:p w14:paraId="758F6743"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82</w:t>
            </w:r>
          </w:p>
        </w:tc>
        <w:tc>
          <w:tcPr>
            <w:tcW w:w="824" w:type="pct"/>
            <w:tcBorders>
              <w:bottom w:val="single" w:sz="12" w:space="0" w:color="000000"/>
            </w:tcBorders>
            <w:tcMar>
              <w:top w:w="15" w:type="dxa"/>
              <w:left w:w="75" w:type="dxa"/>
              <w:bottom w:w="15" w:type="dxa"/>
              <w:right w:w="75" w:type="dxa"/>
            </w:tcMar>
            <w:vAlign w:val="center"/>
            <w:hideMark/>
          </w:tcPr>
          <w:p w14:paraId="1979624A"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467</w:t>
            </w:r>
          </w:p>
        </w:tc>
        <w:tc>
          <w:tcPr>
            <w:tcW w:w="914" w:type="pct"/>
            <w:tcBorders>
              <w:bottom w:val="single" w:sz="12" w:space="0" w:color="000000"/>
            </w:tcBorders>
            <w:tcMar>
              <w:top w:w="15" w:type="dxa"/>
              <w:left w:w="75" w:type="dxa"/>
              <w:bottom w:w="15" w:type="dxa"/>
              <w:right w:w="75" w:type="dxa"/>
            </w:tcMar>
            <w:vAlign w:val="center"/>
            <w:hideMark/>
          </w:tcPr>
          <w:p w14:paraId="60BC688E"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56</w:t>
            </w:r>
          </w:p>
        </w:tc>
      </w:tr>
      <w:tr w:rsidR="00E50004" w:rsidRPr="00782B8E" w14:paraId="28C89CC1" w14:textId="77777777" w:rsidTr="00E50004">
        <w:trPr>
          <w:trHeight w:val="247"/>
        </w:trPr>
        <w:tc>
          <w:tcPr>
            <w:tcW w:w="5000" w:type="pct"/>
            <w:gridSpan w:val="5"/>
            <w:tcMar>
              <w:top w:w="15" w:type="dxa"/>
              <w:left w:w="75" w:type="dxa"/>
              <w:bottom w:w="15" w:type="dxa"/>
              <w:right w:w="75" w:type="dxa"/>
            </w:tcMar>
            <w:vAlign w:val="center"/>
            <w:hideMark/>
          </w:tcPr>
          <w:p w14:paraId="2BE26EFD" w14:textId="77777777" w:rsidR="00E50004" w:rsidRPr="00782B8E" w:rsidRDefault="00E50004" w:rsidP="00E50004">
            <w:pPr>
              <w:spacing w:after="0" w:line="240" w:lineRule="auto"/>
              <w:rPr>
                <w:rFonts w:ascii="Times New Roman" w:eastAsia="Times New Roman" w:hAnsi="Times New Roman" w:cs="Times New Roman"/>
                <w:color w:val="000000"/>
                <w:sz w:val="19"/>
                <w:szCs w:val="19"/>
              </w:rPr>
            </w:pPr>
            <w:r w:rsidRPr="00782B8E">
              <w:rPr>
                <w:rFonts w:ascii="Times New Roman" w:eastAsia="Times New Roman" w:hAnsi="Times New Roman" w:cs="Times New Roman"/>
                <w:color w:val="000000"/>
                <w:sz w:val="19"/>
                <w:szCs w:val="19"/>
                <w:vertAlign w:val="superscript"/>
              </w:rPr>
              <w:t>***</w:t>
            </w:r>
            <w:r w:rsidRPr="00782B8E">
              <w:rPr>
                <w:rFonts w:ascii="Times New Roman" w:eastAsia="Times New Roman" w:hAnsi="Times New Roman" w:cs="Times New Roman"/>
                <w:color w:val="000000"/>
                <w:sz w:val="19"/>
                <w:szCs w:val="19"/>
              </w:rPr>
              <w:t xml:space="preserve">p &lt; 0.001; </w:t>
            </w:r>
            <w:r w:rsidRPr="00782B8E">
              <w:rPr>
                <w:rFonts w:ascii="Times New Roman" w:eastAsia="Times New Roman" w:hAnsi="Times New Roman" w:cs="Times New Roman"/>
                <w:color w:val="000000"/>
                <w:sz w:val="19"/>
                <w:szCs w:val="19"/>
                <w:vertAlign w:val="superscript"/>
              </w:rPr>
              <w:t>**</w:t>
            </w:r>
            <w:r w:rsidRPr="00782B8E">
              <w:rPr>
                <w:rFonts w:ascii="Times New Roman" w:eastAsia="Times New Roman" w:hAnsi="Times New Roman" w:cs="Times New Roman"/>
                <w:color w:val="000000"/>
                <w:sz w:val="19"/>
                <w:szCs w:val="19"/>
              </w:rPr>
              <w:t xml:space="preserve">p &lt; 0.01; </w:t>
            </w:r>
            <w:r w:rsidRPr="00782B8E">
              <w:rPr>
                <w:rFonts w:ascii="Times New Roman" w:eastAsia="Times New Roman" w:hAnsi="Times New Roman" w:cs="Times New Roman"/>
                <w:color w:val="000000"/>
                <w:sz w:val="19"/>
                <w:szCs w:val="19"/>
                <w:vertAlign w:val="superscript"/>
              </w:rPr>
              <w:t>*</w:t>
            </w:r>
            <w:r w:rsidRPr="00782B8E">
              <w:rPr>
                <w:rFonts w:ascii="Times New Roman" w:eastAsia="Times New Roman" w:hAnsi="Times New Roman" w:cs="Times New Roman"/>
                <w:color w:val="000000"/>
                <w:sz w:val="19"/>
                <w:szCs w:val="19"/>
              </w:rPr>
              <w:t>p &lt; 0.05 --- Data collected from website of Athens Clarke County Board of Tax Assessors</w:t>
            </w:r>
          </w:p>
        </w:tc>
      </w:tr>
    </w:tbl>
    <w:p w14:paraId="25B48E11" w14:textId="4ED1B725" w:rsidR="008905DB" w:rsidRDefault="008905DB" w:rsidP="00E50004">
      <w:pPr>
        <w:spacing w:line="480" w:lineRule="auto"/>
        <w:rPr>
          <w:rFonts w:ascii="Times New Roman" w:hAnsi="Times New Roman" w:cs="Times New Roman"/>
          <w:sz w:val="24"/>
          <w:szCs w:val="24"/>
        </w:rPr>
      </w:pPr>
      <w:r>
        <w:rPr>
          <w:rFonts w:ascii="Times New Roman" w:hAnsi="Times New Roman" w:cs="Times New Roman"/>
          <w:sz w:val="24"/>
          <w:szCs w:val="24"/>
        </w:rPr>
        <w:t>z</w:t>
      </w:r>
      <w:r w:rsidR="00B460DB">
        <w:rPr>
          <w:rFonts w:ascii="Times New Roman" w:hAnsi="Times New Roman" w:cs="Times New Roman"/>
          <w:sz w:val="24"/>
          <w:szCs w:val="24"/>
        </w:rPr>
        <w:t xml:space="preserve">oning and </w:t>
      </w:r>
      <w:r w:rsidR="00B6110D">
        <w:rPr>
          <w:rFonts w:ascii="Times New Roman" w:hAnsi="Times New Roman" w:cs="Times New Roman"/>
          <w:sz w:val="24"/>
          <w:szCs w:val="24"/>
        </w:rPr>
        <w:t>the introduction of the ordinance.</w:t>
      </w:r>
      <w:r>
        <w:rPr>
          <w:rFonts w:ascii="Times New Roman" w:hAnsi="Times New Roman" w:cs="Times New Roman"/>
          <w:sz w:val="24"/>
          <w:szCs w:val="24"/>
        </w:rPr>
        <w:t xml:space="preserve"> All but the first of the models reported in the table have a </w:t>
      </w:r>
      <w:r w:rsidR="000D14F4">
        <w:rPr>
          <w:rFonts w:ascii="Times New Roman" w:hAnsi="Times New Roman" w:cs="Times New Roman"/>
          <w:sz w:val="24"/>
          <w:szCs w:val="24"/>
        </w:rPr>
        <w:t>reasonable</w:t>
      </w:r>
      <w:r>
        <w:rPr>
          <w:rFonts w:ascii="Times New Roman" w:hAnsi="Times New Roman" w:cs="Times New Roman"/>
          <w:sz w:val="24"/>
          <w:szCs w:val="24"/>
        </w:rPr>
        <w:t xml:space="preserve"> explanatory value but show few significant coefficients.</w:t>
      </w:r>
    </w:p>
    <w:p w14:paraId="0E92B050" w14:textId="006011D7" w:rsidR="00E50004" w:rsidRDefault="00B6110D" w:rsidP="00E50004">
      <w:pPr>
        <w:spacing w:line="480" w:lineRule="auto"/>
        <w:rPr>
          <w:rFonts w:ascii="Times New Roman" w:hAnsi="Times New Roman" w:cs="Times New Roman"/>
          <w:sz w:val="24"/>
          <w:szCs w:val="24"/>
        </w:rPr>
      </w:pPr>
      <w:r>
        <w:rPr>
          <w:rFonts w:ascii="Times New Roman" w:hAnsi="Times New Roman" w:cs="Times New Roman"/>
          <w:sz w:val="24"/>
          <w:szCs w:val="24"/>
        </w:rPr>
        <w:t>I report regression diagnostic plots for the regressions on parcels of all sizes in Appendix 1. The</w:t>
      </w:r>
      <w:r w:rsidR="0050529D">
        <w:rPr>
          <w:rFonts w:ascii="Times New Roman" w:hAnsi="Times New Roman" w:cs="Times New Roman"/>
          <w:sz w:val="24"/>
          <w:szCs w:val="24"/>
        </w:rPr>
        <w:t xml:space="preserve">re is a slight non-linear trend present in the </w:t>
      </w:r>
      <w:proofErr w:type="gramStart"/>
      <w:r w:rsidR="0050529D">
        <w:rPr>
          <w:rFonts w:ascii="Times New Roman" w:hAnsi="Times New Roman" w:cs="Times New Roman"/>
          <w:sz w:val="24"/>
          <w:szCs w:val="24"/>
        </w:rPr>
        <w:t>residuals</w:t>
      </w:r>
      <w:proofErr w:type="gramEnd"/>
      <w:r w:rsidR="0050529D">
        <w:rPr>
          <w:rFonts w:ascii="Times New Roman" w:hAnsi="Times New Roman" w:cs="Times New Roman"/>
          <w:sz w:val="24"/>
          <w:szCs w:val="24"/>
        </w:rPr>
        <w:t xml:space="preserve"> vs fitted plot for the regression that does not include building information. The Q-Q plot for that regression also indicates that the residuals are not normally distributed and exhibit some left skew. The model that includes the structure information shows less nonlinearity in the </w:t>
      </w:r>
      <w:proofErr w:type="gramStart"/>
      <w:r w:rsidR="0050529D">
        <w:rPr>
          <w:rFonts w:ascii="Times New Roman" w:hAnsi="Times New Roman" w:cs="Times New Roman"/>
          <w:sz w:val="24"/>
          <w:szCs w:val="24"/>
        </w:rPr>
        <w:t>residuals</w:t>
      </w:r>
      <w:proofErr w:type="gramEnd"/>
      <w:r w:rsidR="0050529D">
        <w:rPr>
          <w:rFonts w:ascii="Times New Roman" w:hAnsi="Times New Roman" w:cs="Times New Roman"/>
          <w:sz w:val="24"/>
          <w:szCs w:val="24"/>
        </w:rPr>
        <w:t xml:space="preserve"> vs fitted plot, but shows similar left </w:t>
      </w:r>
      <w:r w:rsidR="0050529D">
        <w:rPr>
          <w:rFonts w:ascii="Times New Roman" w:hAnsi="Times New Roman" w:cs="Times New Roman"/>
          <w:sz w:val="24"/>
          <w:szCs w:val="24"/>
        </w:rPr>
        <w:lastRenderedPageBreak/>
        <w:t>skew in the distribution of residuals. This model also features a highly influential outlier.</w:t>
      </w:r>
      <w:r w:rsidR="000D14F4">
        <w:rPr>
          <w:rFonts w:ascii="Times New Roman" w:hAnsi="Times New Roman" w:cs="Times New Roman"/>
          <w:sz w:val="24"/>
          <w:szCs w:val="24"/>
        </w:rPr>
        <w:t xml:space="preserve"> The </w:t>
      </w:r>
      <w:r w:rsidR="00E50004">
        <w:rPr>
          <w:rFonts w:ascii="Times New Roman" w:hAnsi="Times New Roman" w:cs="Times New Roman"/>
          <w:sz w:val="24"/>
          <w:szCs w:val="24"/>
        </w:rPr>
        <w:t>plots for the models that focus on large properties largely appear similar.</w:t>
      </w:r>
    </w:p>
    <w:tbl>
      <w:tblPr>
        <w:tblpPr w:leftFromText="187" w:rightFromText="187" w:vertAnchor="page" w:horzAnchor="margin" w:tblpY="5566"/>
        <w:tblOverlap w:val="never"/>
        <w:tblW w:w="0" w:type="auto"/>
        <w:tblBorders>
          <w:top w:val="single" w:sz="12" w:space="0" w:color="000000"/>
        </w:tblBorders>
        <w:tblCellMar>
          <w:top w:w="15" w:type="dxa"/>
          <w:left w:w="15" w:type="dxa"/>
          <w:bottom w:w="15" w:type="dxa"/>
          <w:right w:w="15" w:type="dxa"/>
        </w:tblCellMar>
        <w:tblLook w:val="04A0" w:firstRow="1" w:lastRow="0" w:firstColumn="1" w:lastColumn="0" w:noHBand="0" w:noVBand="1"/>
      </w:tblPr>
      <w:tblGrid>
        <w:gridCol w:w="2874"/>
        <w:gridCol w:w="1539"/>
        <w:gridCol w:w="1706"/>
        <w:gridCol w:w="1537"/>
        <w:gridCol w:w="1704"/>
      </w:tblGrid>
      <w:tr w:rsidR="00E50004" w:rsidRPr="00782B8E" w14:paraId="298C68DC" w14:textId="77777777" w:rsidTr="00E50004">
        <w:trPr>
          <w:tblHeader/>
        </w:trPr>
        <w:tc>
          <w:tcPr>
            <w:tcW w:w="0" w:type="auto"/>
            <w:gridSpan w:val="5"/>
            <w:tcBorders>
              <w:top w:val="nil"/>
              <w:left w:val="nil"/>
              <w:bottom w:val="nil"/>
              <w:right w:val="nil"/>
            </w:tcBorders>
            <w:tcMar>
              <w:top w:w="15" w:type="dxa"/>
              <w:left w:w="75" w:type="dxa"/>
              <w:bottom w:w="15" w:type="dxa"/>
              <w:right w:w="75" w:type="dxa"/>
            </w:tcMar>
            <w:vAlign w:val="center"/>
            <w:hideMark/>
          </w:tcPr>
          <w:p w14:paraId="2C829B4B" w14:textId="77777777" w:rsidR="00E50004" w:rsidRPr="00782B8E" w:rsidRDefault="00E50004" w:rsidP="00E50004">
            <w:pPr>
              <w:spacing w:after="0" w:line="240" w:lineRule="auto"/>
              <w:jc w:val="center"/>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Table 2 - Commercial Parcels</w:t>
            </w:r>
          </w:p>
        </w:tc>
      </w:tr>
      <w:tr w:rsidR="00E50004" w:rsidRPr="00782B8E" w14:paraId="5C05A14F" w14:textId="77777777" w:rsidTr="00E50004">
        <w:trPr>
          <w:tblHeader/>
        </w:trPr>
        <w:tc>
          <w:tcPr>
            <w:tcW w:w="0" w:type="auto"/>
            <w:tcMar>
              <w:top w:w="15" w:type="dxa"/>
              <w:left w:w="75" w:type="dxa"/>
              <w:bottom w:w="15" w:type="dxa"/>
              <w:right w:w="75" w:type="dxa"/>
            </w:tcMar>
            <w:vAlign w:val="center"/>
            <w:hideMark/>
          </w:tcPr>
          <w:p w14:paraId="0A9F86E2" w14:textId="77777777" w:rsidR="00E50004" w:rsidRPr="00782B8E" w:rsidRDefault="00E50004" w:rsidP="00E50004">
            <w:pPr>
              <w:spacing w:after="0" w:line="240" w:lineRule="auto"/>
              <w:jc w:val="center"/>
              <w:rPr>
                <w:rFonts w:ascii="Times New Roman" w:eastAsia="Times New Roman" w:hAnsi="Times New Roman" w:cs="Times New Roman"/>
                <w:b/>
                <w:bCs/>
                <w:color w:val="000000"/>
                <w:sz w:val="24"/>
                <w:szCs w:val="24"/>
              </w:rPr>
            </w:pPr>
            <w:r w:rsidRPr="00782B8E">
              <w:rPr>
                <w:rFonts w:ascii="Times New Roman" w:eastAsia="Times New Roman" w:hAnsi="Times New Roman" w:cs="Times New Roman"/>
                <w:b/>
                <w:bCs/>
                <w:color w:val="000000"/>
                <w:sz w:val="24"/>
                <w:szCs w:val="24"/>
              </w:rPr>
              <w:t> </w:t>
            </w:r>
          </w:p>
        </w:tc>
        <w:tc>
          <w:tcPr>
            <w:tcW w:w="0" w:type="auto"/>
            <w:gridSpan w:val="2"/>
            <w:tcBorders>
              <w:bottom w:val="single" w:sz="6" w:space="0" w:color="000000"/>
            </w:tcBorders>
            <w:tcMar>
              <w:top w:w="15" w:type="dxa"/>
              <w:left w:w="75" w:type="dxa"/>
              <w:bottom w:w="15" w:type="dxa"/>
              <w:right w:w="75" w:type="dxa"/>
            </w:tcMar>
            <w:vAlign w:val="center"/>
            <w:hideMark/>
          </w:tcPr>
          <w:p w14:paraId="2506401B" w14:textId="77777777" w:rsidR="00E50004" w:rsidRPr="00782B8E" w:rsidRDefault="00E50004" w:rsidP="00E50004">
            <w:pPr>
              <w:spacing w:after="0" w:line="240" w:lineRule="auto"/>
              <w:jc w:val="center"/>
              <w:rPr>
                <w:rFonts w:ascii="Times New Roman" w:eastAsia="Times New Roman" w:hAnsi="Times New Roman" w:cs="Times New Roman"/>
                <w:b/>
                <w:bCs/>
                <w:color w:val="000000"/>
                <w:sz w:val="24"/>
                <w:szCs w:val="24"/>
              </w:rPr>
            </w:pPr>
            <w:r w:rsidRPr="00782B8E">
              <w:rPr>
                <w:rFonts w:ascii="Times New Roman" w:eastAsia="Times New Roman" w:hAnsi="Times New Roman" w:cs="Times New Roman"/>
                <w:b/>
                <w:bCs/>
                <w:color w:val="000000"/>
                <w:sz w:val="24"/>
                <w:szCs w:val="24"/>
              </w:rPr>
              <w:t>Without Structure Information</w:t>
            </w:r>
          </w:p>
        </w:tc>
        <w:tc>
          <w:tcPr>
            <w:tcW w:w="0" w:type="auto"/>
            <w:gridSpan w:val="2"/>
            <w:tcBorders>
              <w:bottom w:val="single" w:sz="6" w:space="0" w:color="000000"/>
            </w:tcBorders>
            <w:tcMar>
              <w:top w:w="15" w:type="dxa"/>
              <w:left w:w="75" w:type="dxa"/>
              <w:bottom w:w="15" w:type="dxa"/>
              <w:right w:w="75" w:type="dxa"/>
            </w:tcMar>
            <w:vAlign w:val="center"/>
            <w:hideMark/>
          </w:tcPr>
          <w:p w14:paraId="7BD60187" w14:textId="77777777" w:rsidR="00E50004" w:rsidRPr="00782B8E" w:rsidRDefault="00E50004" w:rsidP="00E50004">
            <w:pPr>
              <w:spacing w:after="0" w:line="240" w:lineRule="auto"/>
              <w:jc w:val="center"/>
              <w:rPr>
                <w:rFonts w:ascii="Times New Roman" w:eastAsia="Times New Roman" w:hAnsi="Times New Roman" w:cs="Times New Roman"/>
                <w:b/>
                <w:bCs/>
                <w:color w:val="000000"/>
                <w:sz w:val="24"/>
                <w:szCs w:val="24"/>
              </w:rPr>
            </w:pPr>
            <w:r w:rsidRPr="00782B8E">
              <w:rPr>
                <w:rFonts w:ascii="Times New Roman" w:eastAsia="Times New Roman" w:hAnsi="Times New Roman" w:cs="Times New Roman"/>
                <w:b/>
                <w:bCs/>
                <w:color w:val="000000"/>
                <w:sz w:val="24"/>
                <w:szCs w:val="24"/>
              </w:rPr>
              <w:t>Includes Structure Information</w:t>
            </w:r>
          </w:p>
        </w:tc>
      </w:tr>
      <w:tr w:rsidR="00E50004" w:rsidRPr="00782B8E" w14:paraId="2D9BF77A" w14:textId="77777777" w:rsidTr="00E50004">
        <w:trPr>
          <w:tblHeader/>
        </w:trPr>
        <w:tc>
          <w:tcPr>
            <w:tcW w:w="0" w:type="auto"/>
            <w:tcMar>
              <w:top w:w="15" w:type="dxa"/>
              <w:left w:w="75" w:type="dxa"/>
              <w:bottom w:w="15" w:type="dxa"/>
              <w:right w:w="75" w:type="dxa"/>
            </w:tcMar>
            <w:vAlign w:val="center"/>
            <w:hideMark/>
          </w:tcPr>
          <w:p w14:paraId="5F0A4AE9" w14:textId="77777777" w:rsidR="00E50004" w:rsidRPr="00782B8E" w:rsidRDefault="00E50004" w:rsidP="00E50004">
            <w:pPr>
              <w:spacing w:after="0" w:line="240" w:lineRule="auto"/>
              <w:jc w:val="center"/>
              <w:rPr>
                <w:rFonts w:ascii="Times New Roman" w:eastAsia="Times New Roman" w:hAnsi="Times New Roman" w:cs="Times New Roman"/>
                <w:b/>
                <w:bCs/>
                <w:color w:val="000000"/>
                <w:sz w:val="24"/>
                <w:szCs w:val="24"/>
              </w:rPr>
            </w:pPr>
            <w:r w:rsidRPr="00782B8E">
              <w:rPr>
                <w:rFonts w:ascii="Times New Roman" w:eastAsia="Times New Roman" w:hAnsi="Times New Roman" w:cs="Times New Roman"/>
                <w:b/>
                <w:bCs/>
                <w:color w:val="000000"/>
                <w:sz w:val="24"/>
                <w:szCs w:val="24"/>
              </w:rPr>
              <w:t> </w:t>
            </w:r>
          </w:p>
        </w:tc>
        <w:tc>
          <w:tcPr>
            <w:tcW w:w="0" w:type="auto"/>
            <w:tcMar>
              <w:top w:w="15" w:type="dxa"/>
              <w:left w:w="75" w:type="dxa"/>
              <w:bottom w:w="15" w:type="dxa"/>
              <w:right w:w="75" w:type="dxa"/>
            </w:tcMar>
            <w:vAlign w:val="center"/>
            <w:hideMark/>
          </w:tcPr>
          <w:p w14:paraId="28E8A61C" w14:textId="77777777" w:rsidR="00E50004" w:rsidRPr="00782B8E" w:rsidRDefault="00E50004" w:rsidP="00E50004">
            <w:pPr>
              <w:spacing w:after="0" w:line="240" w:lineRule="auto"/>
              <w:jc w:val="center"/>
              <w:rPr>
                <w:rFonts w:ascii="Times New Roman" w:eastAsia="Times New Roman" w:hAnsi="Times New Roman" w:cs="Times New Roman"/>
                <w:b/>
                <w:bCs/>
                <w:color w:val="000000"/>
                <w:sz w:val="24"/>
                <w:szCs w:val="24"/>
              </w:rPr>
            </w:pPr>
            <w:r w:rsidRPr="00782B8E">
              <w:rPr>
                <w:rFonts w:ascii="Times New Roman" w:eastAsia="Times New Roman" w:hAnsi="Times New Roman" w:cs="Times New Roman"/>
                <w:b/>
                <w:bCs/>
                <w:color w:val="000000"/>
                <w:sz w:val="24"/>
                <w:szCs w:val="24"/>
              </w:rPr>
              <w:t>All Parcels</w:t>
            </w:r>
          </w:p>
        </w:tc>
        <w:tc>
          <w:tcPr>
            <w:tcW w:w="0" w:type="auto"/>
            <w:tcMar>
              <w:top w:w="15" w:type="dxa"/>
              <w:left w:w="75" w:type="dxa"/>
              <w:bottom w:w="15" w:type="dxa"/>
              <w:right w:w="75" w:type="dxa"/>
            </w:tcMar>
            <w:vAlign w:val="center"/>
            <w:hideMark/>
          </w:tcPr>
          <w:p w14:paraId="0039555F" w14:textId="77777777" w:rsidR="00E50004" w:rsidRPr="00782B8E" w:rsidRDefault="00E50004" w:rsidP="00E50004">
            <w:pPr>
              <w:spacing w:after="0" w:line="240" w:lineRule="auto"/>
              <w:jc w:val="center"/>
              <w:rPr>
                <w:rFonts w:ascii="Times New Roman" w:eastAsia="Times New Roman" w:hAnsi="Times New Roman" w:cs="Times New Roman"/>
                <w:b/>
                <w:bCs/>
                <w:color w:val="000000"/>
                <w:sz w:val="24"/>
                <w:szCs w:val="24"/>
              </w:rPr>
            </w:pPr>
            <w:r w:rsidRPr="00782B8E">
              <w:rPr>
                <w:rFonts w:ascii="Times New Roman" w:eastAsia="Times New Roman" w:hAnsi="Times New Roman" w:cs="Times New Roman"/>
                <w:b/>
                <w:bCs/>
                <w:color w:val="000000"/>
                <w:sz w:val="24"/>
                <w:szCs w:val="24"/>
              </w:rPr>
              <w:t>≥ 0.25 Acres</w:t>
            </w:r>
          </w:p>
        </w:tc>
        <w:tc>
          <w:tcPr>
            <w:tcW w:w="0" w:type="auto"/>
            <w:tcMar>
              <w:top w:w="15" w:type="dxa"/>
              <w:left w:w="75" w:type="dxa"/>
              <w:bottom w:w="15" w:type="dxa"/>
              <w:right w:w="75" w:type="dxa"/>
            </w:tcMar>
            <w:vAlign w:val="center"/>
            <w:hideMark/>
          </w:tcPr>
          <w:p w14:paraId="328CBEC8" w14:textId="77777777" w:rsidR="00E50004" w:rsidRPr="00782B8E" w:rsidRDefault="00E50004" w:rsidP="00E50004">
            <w:pPr>
              <w:spacing w:after="0" w:line="240" w:lineRule="auto"/>
              <w:jc w:val="center"/>
              <w:rPr>
                <w:rFonts w:ascii="Times New Roman" w:eastAsia="Times New Roman" w:hAnsi="Times New Roman" w:cs="Times New Roman"/>
                <w:b/>
                <w:bCs/>
                <w:color w:val="000000"/>
                <w:sz w:val="24"/>
                <w:szCs w:val="24"/>
              </w:rPr>
            </w:pPr>
            <w:r w:rsidRPr="00782B8E">
              <w:rPr>
                <w:rFonts w:ascii="Times New Roman" w:eastAsia="Times New Roman" w:hAnsi="Times New Roman" w:cs="Times New Roman"/>
                <w:b/>
                <w:bCs/>
                <w:color w:val="000000"/>
                <w:sz w:val="24"/>
                <w:szCs w:val="24"/>
              </w:rPr>
              <w:t>All Parcels</w:t>
            </w:r>
          </w:p>
        </w:tc>
        <w:tc>
          <w:tcPr>
            <w:tcW w:w="0" w:type="auto"/>
            <w:tcMar>
              <w:top w:w="15" w:type="dxa"/>
              <w:left w:w="75" w:type="dxa"/>
              <w:bottom w:w="15" w:type="dxa"/>
              <w:right w:w="75" w:type="dxa"/>
            </w:tcMar>
            <w:vAlign w:val="center"/>
            <w:hideMark/>
          </w:tcPr>
          <w:p w14:paraId="5C7FCB02" w14:textId="77777777" w:rsidR="00E50004" w:rsidRPr="00782B8E" w:rsidRDefault="00E50004" w:rsidP="00E50004">
            <w:pPr>
              <w:spacing w:after="0" w:line="240" w:lineRule="auto"/>
              <w:jc w:val="center"/>
              <w:rPr>
                <w:rFonts w:ascii="Times New Roman" w:eastAsia="Times New Roman" w:hAnsi="Times New Roman" w:cs="Times New Roman"/>
                <w:b/>
                <w:bCs/>
                <w:color w:val="000000"/>
                <w:sz w:val="24"/>
                <w:szCs w:val="24"/>
              </w:rPr>
            </w:pPr>
            <w:r w:rsidRPr="00782B8E">
              <w:rPr>
                <w:rFonts w:ascii="Times New Roman" w:eastAsia="Times New Roman" w:hAnsi="Times New Roman" w:cs="Times New Roman"/>
                <w:b/>
                <w:bCs/>
                <w:color w:val="000000"/>
                <w:sz w:val="24"/>
                <w:szCs w:val="24"/>
              </w:rPr>
              <w:t>≥ 0.25 Acres</w:t>
            </w:r>
          </w:p>
        </w:tc>
      </w:tr>
      <w:tr w:rsidR="00E50004" w:rsidRPr="00782B8E" w14:paraId="0346A853" w14:textId="77777777" w:rsidTr="00E50004">
        <w:tc>
          <w:tcPr>
            <w:tcW w:w="0" w:type="auto"/>
            <w:tcBorders>
              <w:top w:val="single" w:sz="6" w:space="0" w:color="000000"/>
            </w:tcBorders>
            <w:tcMar>
              <w:top w:w="15" w:type="dxa"/>
              <w:left w:w="75" w:type="dxa"/>
              <w:bottom w:w="15" w:type="dxa"/>
              <w:right w:w="75" w:type="dxa"/>
            </w:tcMar>
            <w:vAlign w:val="center"/>
            <w:hideMark/>
          </w:tcPr>
          <w:p w14:paraId="5371BE70"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(Intercept)</w:t>
            </w:r>
          </w:p>
        </w:tc>
        <w:tc>
          <w:tcPr>
            <w:tcW w:w="0" w:type="auto"/>
            <w:tcBorders>
              <w:top w:val="single" w:sz="6" w:space="0" w:color="000000"/>
            </w:tcBorders>
            <w:tcMar>
              <w:top w:w="15" w:type="dxa"/>
              <w:left w:w="75" w:type="dxa"/>
              <w:bottom w:w="15" w:type="dxa"/>
              <w:right w:w="75" w:type="dxa"/>
            </w:tcMar>
            <w:vAlign w:val="center"/>
            <w:hideMark/>
          </w:tcPr>
          <w:p w14:paraId="4DA3B497"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15.947</w:t>
            </w:r>
            <w:r w:rsidRPr="00782B8E">
              <w:rPr>
                <w:rFonts w:ascii="Times New Roman" w:eastAsia="Times New Roman" w:hAnsi="Times New Roman" w:cs="Times New Roman"/>
                <w:color w:val="000000"/>
                <w:sz w:val="24"/>
                <w:szCs w:val="24"/>
                <w:vertAlign w:val="superscript"/>
              </w:rPr>
              <w:t>***</w:t>
            </w:r>
          </w:p>
        </w:tc>
        <w:tc>
          <w:tcPr>
            <w:tcW w:w="0" w:type="auto"/>
            <w:tcBorders>
              <w:top w:val="single" w:sz="6" w:space="0" w:color="000000"/>
            </w:tcBorders>
            <w:tcMar>
              <w:top w:w="15" w:type="dxa"/>
              <w:left w:w="75" w:type="dxa"/>
              <w:bottom w:w="15" w:type="dxa"/>
              <w:right w:w="75" w:type="dxa"/>
            </w:tcMar>
            <w:vAlign w:val="center"/>
            <w:hideMark/>
          </w:tcPr>
          <w:p w14:paraId="1C53DFE5"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15.698</w:t>
            </w:r>
            <w:r w:rsidRPr="00782B8E">
              <w:rPr>
                <w:rFonts w:ascii="Times New Roman" w:eastAsia="Times New Roman" w:hAnsi="Times New Roman" w:cs="Times New Roman"/>
                <w:color w:val="000000"/>
                <w:sz w:val="24"/>
                <w:szCs w:val="24"/>
                <w:vertAlign w:val="superscript"/>
              </w:rPr>
              <w:t>***</w:t>
            </w:r>
          </w:p>
        </w:tc>
        <w:tc>
          <w:tcPr>
            <w:tcW w:w="0" w:type="auto"/>
            <w:tcBorders>
              <w:top w:val="single" w:sz="6" w:space="0" w:color="000000"/>
            </w:tcBorders>
            <w:tcMar>
              <w:top w:w="15" w:type="dxa"/>
              <w:left w:w="75" w:type="dxa"/>
              <w:bottom w:w="15" w:type="dxa"/>
              <w:right w:w="75" w:type="dxa"/>
            </w:tcMar>
            <w:vAlign w:val="center"/>
            <w:hideMark/>
          </w:tcPr>
          <w:p w14:paraId="58C12244"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14.833</w:t>
            </w:r>
            <w:r w:rsidRPr="00782B8E">
              <w:rPr>
                <w:rFonts w:ascii="Times New Roman" w:eastAsia="Times New Roman" w:hAnsi="Times New Roman" w:cs="Times New Roman"/>
                <w:color w:val="000000"/>
                <w:sz w:val="24"/>
                <w:szCs w:val="24"/>
                <w:vertAlign w:val="superscript"/>
              </w:rPr>
              <w:t>**</w:t>
            </w:r>
          </w:p>
        </w:tc>
        <w:tc>
          <w:tcPr>
            <w:tcW w:w="0" w:type="auto"/>
            <w:tcBorders>
              <w:top w:val="single" w:sz="6" w:space="0" w:color="000000"/>
            </w:tcBorders>
            <w:tcMar>
              <w:top w:w="15" w:type="dxa"/>
              <w:left w:w="75" w:type="dxa"/>
              <w:bottom w:w="15" w:type="dxa"/>
              <w:right w:w="75" w:type="dxa"/>
            </w:tcMar>
            <w:vAlign w:val="center"/>
            <w:hideMark/>
          </w:tcPr>
          <w:p w14:paraId="044C6EE3"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15.442</w:t>
            </w:r>
          </w:p>
        </w:tc>
      </w:tr>
      <w:tr w:rsidR="00E50004" w:rsidRPr="00782B8E" w14:paraId="3AB2B772" w14:textId="77777777" w:rsidTr="00E50004">
        <w:tc>
          <w:tcPr>
            <w:tcW w:w="0" w:type="auto"/>
            <w:tcMar>
              <w:top w:w="15" w:type="dxa"/>
              <w:left w:w="75" w:type="dxa"/>
              <w:bottom w:w="15" w:type="dxa"/>
              <w:right w:w="75" w:type="dxa"/>
            </w:tcMar>
            <w:vAlign w:val="center"/>
            <w:hideMark/>
          </w:tcPr>
          <w:p w14:paraId="48B431EC"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c>
          <w:tcPr>
            <w:tcW w:w="0" w:type="auto"/>
            <w:tcMar>
              <w:top w:w="15" w:type="dxa"/>
              <w:left w:w="75" w:type="dxa"/>
              <w:bottom w:w="15" w:type="dxa"/>
              <w:right w:w="75" w:type="dxa"/>
            </w:tcMar>
            <w:vAlign w:val="center"/>
            <w:hideMark/>
          </w:tcPr>
          <w:p w14:paraId="43EC064D"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(0.486)</w:t>
            </w:r>
          </w:p>
        </w:tc>
        <w:tc>
          <w:tcPr>
            <w:tcW w:w="0" w:type="auto"/>
            <w:tcMar>
              <w:top w:w="15" w:type="dxa"/>
              <w:left w:w="75" w:type="dxa"/>
              <w:bottom w:w="15" w:type="dxa"/>
              <w:right w:w="75" w:type="dxa"/>
            </w:tcMar>
            <w:vAlign w:val="center"/>
            <w:hideMark/>
          </w:tcPr>
          <w:p w14:paraId="50BA811A"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(0.878)</w:t>
            </w:r>
          </w:p>
        </w:tc>
        <w:tc>
          <w:tcPr>
            <w:tcW w:w="0" w:type="auto"/>
            <w:tcMar>
              <w:top w:w="15" w:type="dxa"/>
              <w:left w:w="75" w:type="dxa"/>
              <w:bottom w:w="15" w:type="dxa"/>
              <w:right w:w="75" w:type="dxa"/>
            </w:tcMar>
            <w:vAlign w:val="center"/>
            <w:hideMark/>
          </w:tcPr>
          <w:p w14:paraId="1DF7A714"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(4.395)</w:t>
            </w:r>
          </w:p>
        </w:tc>
        <w:tc>
          <w:tcPr>
            <w:tcW w:w="0" w:type="auto"/>
            <w:tcMar>
              <w:top w:w="15" w:type="dxa"/>
              <w:left w:w="75" w:type="dxa"/>
              <w:bottom w:w="15" w:type="dxa"/>
              <w:right w:w="75" w:type="dxa"/>
            </w:tcMar>
            <w:vAlign w:val="center"/>
            <w:hideMark/>
          </w:tcPr>
          <w:p w14:paraId="40D15B92"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(10.704)</w:t>
            </w:r>
          </w:p>
        </w:tc>
      </w:tr>
      <w:tr w:rsidR="00E50004" w:rsidRPr="00782B8E" w14:paraId="04D98331" w14:textId="77777777" w:rsidTr="00E50004">
        <w:tc>
          <w:tcPr>
            <w:tcW w:w="0" w:type="auto"/>
            <w:tcMar>
              <w:top w:w="15" w:type="dxa"/>
              <w:left w:w="75" w:type="dxa"/>
              <w:bottom w:w="15" w:type="dxa"/>
              <w:right w:w="75" w:type="dxa"/>
            </w:tcMar>
            <w:vAlign w:val="center"/>
            <w:hideMark/>
          </w:tcPr>
          <w:p w14:paraId="75346E39"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proofErr w:type="gramStart"/>
            <w:r w:rsidRPr="00782B8E">
              <w:rPr>
                <w:rFonts w:ascii="Times New Roman" w:eastAsia="Times New Roman" w:hAnsi="Times New Roman" w:cs="Times New Roman"/>
                <w:color w:val="000000"/>
                <w:sz w:val="24"/>
                <w:szCs w:val="24"/>
              </w:rPr>
              <w:t>ln(</w:t>
            </w:r>
            <w:proofErr w:type="gramEnd"/>
            <w:r w:rsidRPr="00782B8E">
              <w:rPr>
                <w:rFonts w:ascii="Times New Roman" w:eastAsia="Times New Roman" w:hAnsi="Times New Roman" w:cs="Times New Roman"/>
                <w:color w:val="000000"/>
                <w:sz w:val="24"/>
                <w:szCs w:val="24"/>
              </w:rPr>
              <w:t>Acres)</w:t>
            </w:r>
          </w:p>
        </w:tc>
        <w:tc>
          <w:tcPr>
            <w:tcW w:w="0" w:type="auto"/>
            <w:tcMar>
              <w:top w:w="15" w:type="dxa"/>
              <w:left w:w="75" w:type="dxa"/>
              <w:bottom w:w="15" w:type="dxa"/>
              <w:right w:w="75" w:type="dxa"/>
            </w:tcMar>
            <w:vAlign w:val="center"/>
            <w:hideMark/>
          </w:tcPr>
          <w:p w14:paraId="77756A6E"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0.619</w:t>
            </w:r>
            <w:r w:rsidRPr="00782B8E">
              <w:rPr>
                <w:rFonts w:ascii="Times New Roman" w:eastAsia="Times New Roman" w:hAnsi="Times New Roman" w:cs="Times New Roman"/>
                <w:color w:val="000000"/>
                <w:sz w:val="24"/>
                <w:szCs w:val="24"/>
                <w:vertAlign w:val="superscript"/>
              </w:rPr>
              <w:t>***</w:t>
            </w:r>
          </w:p>
        </w:tc>
        <w:tc>
          <w:tcPr>
            <w:tcW w:w="0" w:type="auto"/>
            <w:tcMar>
              <w:top w:w="15" w:type="dxa"/>
              <w:left w:w="75" w:type="dxa"/>
              <w:bottom w:w="15" w:type="dxa"/>
              <w:right w:w="75" w:type="dxa"/>
            </w:tcMar>
            <w:vAlign w:val="center"/>
            <w:hideMark/>
          </w:tcPr>
          <w:p w14:paraId="6E80E330"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1.067</w:t>
            </w:r>
            <w:r w:rsidRPr="00782B8E">
              <w:rPr>
                <w:rFonts w:ascii="Times New Roman" w:eastAsia="Times New Roman" w:hAnsi="Times New Roman" w:cs="Times New Roman"/>
                <w:color w:val="000000"/>
                <w:sz w:val="24"/>
                <w:szCs w:val="24"/>
                <w:vertAlign w:val="superscript"/>
              </w:rPr>
              <w:t>***</w:t>
            </w:r>
          </w:p>
        </w:tc>
        <w:tc>
          <w:tcPr>
            <w:tcW w:w="0" w:type="auto"/>
            <w:tcMar>
              <w:top w:w="15" w:type="dxa"/>
              <w:left w:w="75" w:type="dxa"/>
              <w:bottom w:w="15" w:type="dxa"/>
              <w:right w:w="75" w:type="dxa"/>
            </w:tcMar>
            <w:vAlign w:val="center"/>
            <w:hideMark/>
          </w:tcPr>
          <w:p w14:paraId="6198918F"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0.406</w:t>
            </w:r>
            <w:r w:rsidRPr="00782B8E">
              <w:rPr>
                <w:rFonts w:ascii="Times New Roman" w:eastAsia="Times New Roman" w:hAnsi="Times New Roman" w:cs="Times New Roman"/>
                <w:color w:val="000000"/>
                <w:sz w:val="24"/>
                <w:szCs w:val="24"/>
                <w:vertAlign w:val="superscript"/>
              </w:rPr>
              <w:t>***</w:t>
            </w:r>
          </w:p>
        </w:tc>
        <w:tc>
          <w:tcPr>
            <w:tcW w:w="0" w:type="auto"/>
            <w:tcMar>
              <w:top w:w="15" w:type="dxa"/>
              <w:left w:w="75" w:type="dxa"/>
              <w:bottom w:w="15" w:type="dxa"/>
              <w:right w:w="75" w:type="dxa"/>
            </w:tcMar>
            <w:vAlign w:val="center"/>
            <w:hideMark/>
          </w:tcPr>
          <w:p w14:paraId="35151529"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0.285</w:t>
            </w:r>
          </w:p>
        </w:tc>
      </w:tr>
      <w:tr w:rsidR="00E50004" w:rsidRPr="00782B8E" w14:paraId="15A67DC3" w14:textId="77777777" w:rsidTr="00E50004">
        <w:tc>
          <w:tcPr>
            <w:tcW w:w="0" w:type="auto"/>
            <w:tcMar>
              <w:top w:w="15" w:type="dxa"/>
              <w:left w:w="75" w:type="dxa"/>
              <w:bottom w:w="15" w:type="dxa"/>
              <w:right w:w="75" w:type="dxa"/>
            </w:tcMar>
            <w:vAlign w:val="center"/>
            <w:hideMark/>
          </w:tcPr>
          <w:p w14:paraId="278A923E"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c>
          <w:tcPr>
            <w:tcW w:w="0" w:type="auto"/>
            <w:tcMar>
              <w:top w:w="15" w:type="dxa"/>
              <w:left w:w="75" w:type="dxa"/>
              <w:bottom w:w="15" w:type="dxa"/>
              <w:right w:w="75" w:type="dxa"/>
            </w:tcMar>
            <w:vAlign w:val="center"/>
            <w:hideMark/>
          </w:tcPr>
          <w:p w14:paraId="0A192B25"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(0.050)</w:t>
            </w:r>
          </w:p>
        </w:tc>
        <w:tc>
          <w:tcPr>
            <w:tcW w:w="0" w:type="auto"/>
            <w:tcMar>
              <w:top w:w="15" w:type="dxa"/>
              <w:left w:w="75" w:type="dxa"/>
              <w:bottom w:w="15" w:type="dxa"/>
              <w:right w:w="75" w:type="dxa"/>
            </w:tcMar>
            <w:vAlign w:val="center"/>
            <w:hideMark/>
          </w:tcPr>
          <w:p w14:paraId="0298DD06"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(0.216)</w:t>
            </w:r>
          </w:p>
        </w:tc>
        <w:tc>
          <w:tcPr>
            <w:tcW w:w="0" w:type="auto"/>
            <w:tcMar>
              <w:top w:w="15" w:type="dxa"/>
              <w:left w:w="75" w:type="dxa"/>
              <w:bottom w:w="15" w:type="dxa"/>
              <w:right w:w="75" w:type="dxa"/>
            </w:tcMar>
            <w:vAlign w:val="center"/>
            <w:hideMark/>
          </w:tcPr>
          <w:p w14:paraId="3D63D398"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(0.052)</w:t>
            </w:r>
          </w:p>
        </w:tc>
        <w:tc>
          <w:tcPr>
            <w:tcW w:w="0" w:type="auto"/>
            <w:tcMar>
              <w:top w:w="15" w:type="dxa"/>
              <w:left w:w="75" w:type="dxa"/>
              <w:bottom w:w="15" w:type="dxa"/>
              <w:right w:w="75" w:type="dxa"/>
            </w:tcMar>
            <w:vAlign w:val="center"/>
            <w:hideMark/>
          </w:tcPr>
          <w:p w14:paraId="39B952B3"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(0.353)</w:t>
            </w:r>
          </w:p>
        </w:tc>
      </w:tr>
      <w:tr w:rsidR="00E50004" w:rsidRPr="00782B8E" w14:paraId="6E741222" w14:textId="77777777" w:rsidTr="00E50004">
        <w:tc>
          <w:tcPr>
            <w:tcW w:w="0" w:type="auto"/>
            <w:tcMar>
              <w:top w:w="15" w:type="dxa"/>
              <w:left w:w="75" w:type="dxa"/>
              <w:bottom w:w="15" w:type="dxa"/>
              <w:right w:w="75" w:type="dxa"/>
            </w:tcMar>
            <w:vAlign w:val="center"/>
            <w:hideMark/>
          </w:tcPr>
          <w:p w14:paraId="2F33686C"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C-D Zoned</w:t>
            </w:r>
          </w:p>
        </w:tc>
        <w:tc>
          <w:tcPr>
            <w:tcW w:w="0" w:type="auto"/>
            <w:tcMar>
              <w:top w:w="15" w:type="dxa"/>
              <w:left w:w="75" w:type="dxa"/>
              <w:bottom w:w="15" w:type="dxa"/>
              <w:right w:w="75" w:type="dxa"/>
            </w:tcMar>
            <w:vAlign w:val="center"/>
            <w:hideMark/>
          </w:tcPr>
          <w:p w14:paraId="6239D51E"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-0.542</w:t>
            </w:r>
          </w:p>
        </w:tc>
        <w:tc>
          <w:tcPr>
            <w:tcW w:w="0" w:type="auto"/>
            <w:tcMar>
              <w:top w:w="15" w:type="dxa"/>
              <w:left w:w="75" w:type="dxa"/>
              <w:bottom w:w="15" w:type="dxa"/>
              <w:right w:w="75" w:type="dxa"/>
            </w:tcMar>
            <w:vAlign w:val="center"/>
            <w:hideMark/>
          </w:tcPr>
          <w:p w14:paraId="5FB1D097"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0.061</w:t>
            </w:r>
          </w:p>
        </w:tc>
        <w:tc>
          <w:tcPr>
            <w:tcW w:w="0" w:type="auto"/>
            <w:tcMar>
              <w:top w:w="15" w:type="dxa"/>
              <w:left w:w="75" w:type="dxa"/>
              <w:bottom w:w="15" w:type="dxa"/>
              <w:right w:w="75" w:type="dxa"/>
            </w:tcMar>
            <w:vAlign w:val="center"/>
            <w:hideMark/>
          </w:tcPr>
          <w:p w14:paraId="439C11E3"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-0.936</w:t>
            </w:r>
            <w:r w:rsidRPr="00782B8E">
              <w:rPr>
                <w:rFonts w:ascii="Times New Roman" w:eastAsia="Times New Roman" w:hAnsi="Times New Roman" w:cs="Times New Roman"/>
                <w:color w:val="000000"/>
                <w:sz w:val="24"/>
                <w:szCs w:val="24"/>
                <w:vertAlign w:val="superscript"/>
              </w:rPr>
              <w:t>**</w:t>
            </w:r>
          </w:p>
        </w:tc>
        <w:tc>
          <w:tcPr>
            <w:tcW w:w="0" w:type="auto"/>
            <w:tcMar>
              <w:top w:w="15" w:type="dxa"/>
              <w:left w:w="75" w:type="dxa"/>
              <w:bottom w:w="15" w:type="dxa"/>
              <w:right w:w="75" w:type="dxa"/>
            </w:tcMar>
            <w:vAlign w:val="center"/>
            <w:hideMark/>
          </w:tcPr>
          <w:p w14:paraId="556713EB"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-0.506</w:t>
            </w:r>
          </w:p>
        </w:tc>
      </w:tr>
      <w:tr w:rsidR="00E50004" w:rsidRPr="00782B8E" w14:paraId="767E950D" w14:textId="77777777" w:rsidTr="00E50004">
        <w:tc>
          <w:tcPr>
            <w:tcW w:w="0" w:type="auto"/>
            <w:tcMar>
              <w:top w:w="15" w:type="dxa"/>
              <w:left w:w="75" w:type="dxa"/>
              <w:bottom w:w="15" w:type="dxa"/>
              <w:right w:w="75" w:type="dxa"/>
            </w:tcMar>
            <w:vAlign w:val="center"/>
            <w:hideMark/>
          </w:tcPr>
          <w:p w14:paraId="75E8948A"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c>
          <w:tcPr>
            <w:tcW w:w="0" w:type="auto"/>
            <w:tcMar>
              <w:top w:w="15" w:type="dxa"/>
              <w:left w:w="75" w:type="dxa"/>
              <w:bottom w:w="15" w:type="dxa"/>
              <w:right w:w="75" w:type="dxa"/>
            </w:tcMar>
            <w:vAlign w:val="center"/>
            <w:hideMark/>
          </w:tcPr>
          <w:p w14:paraId="76976B70"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(0.387)</w:t>
            </w:r>
          </w:p>
        </w:tc>
        <w:tc>
          <w:tcPr>
            <w:tcW w:w="0" w:type="auto"/>
            <w:tcMar>
              <w:top w:w="15" w:type="dxa"/>
              <w:left w:w="75" w:type="dxa"/>
              <w:bottom w:w="15" w:type="dxa"/>
              <w:right w:w="75" w:type="dxa"/>
            </w:tcMar>
            <w:vAlign w:val="center"/>
            <w:hideMark/>
          </w:tcPr>
          <w:p w14:paraId="2A01AAE3"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(0.617)</w:t>
            </w:r>
          </w:p>
        </w:tc>
        <w:tc>
          <w:tcPr>
            <w:tcW w:w="0" w:type="auto"/>
            <w:tcMar>
              <w:top w:w="15" w:type="dxa"/>
              <w:left w:w="75" w:type="dxa"/>
              <w:bottom w:w="15" w:type="dxa"/>
              <w:right w:w="75" w:type="dxa"/>
            </w:tcMar>
            <w:vAlign w:val="center"/>
            <w:hideMark/>
          </w:tcPr>
          <w:p w14:paraId="1D05A268"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(0.342)</w:t>
            </w:r>
          </w:p>
        </w:tc>
        <w:tc>
          <w:tcPr>
            <w:tcW w:w="0" w:type="auto"/>
            <w:tcMar>
              <w:top w:w="15" w:type="dxa"/>
              <w:left w:w="75" w:type="dxa"/>
              <w:bottom w:w="15" w:type="dxa"/>
              <w:right w:w="75" w:type="dxa"/>
            </w:tcMar>
            <w:vAlign w:val="center"/>
            <w:hideMark/>
          </w:tcPr>
          <w:p w14:paraId="7C341E62"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(0.737)</w:t>
            </w:r>
          </w:p>
        </w:tc>
      </w:tr>
      <w:tr w:rsidR="00E50004" w:rsidRPr="00782B8E" w14:paraId="1770F260" w14:textId="77777777" w:rsidTr="00E50004">
        <w:tc>
          <w:tcPr>
            <w:tcW w:w="0" w:type="auto"/>
            <w:tcMar>
              <w:top w:w="15" w:type="dxa"/>
              <w:left w:w="75" w:type="dxa"/>
              <w:bottom w:w="15" w:type="dxa"/>
              <w:right w:w="75" w:type="dxa"/>
            </w:tcMar>
            <w:vAlign w:val="center"/>
            <w:hideMark/>
          </w:tcPr>
          <w:p w14:paraId="712912E0"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Distance to Arch</w:t>
            </w:r>
          </w:p>
        </w:tc>
        <w:tc>
          <w:tcPr>
            <w:tcW w:w="0" w:type="auto"/>
            <w:tcMar>
              <w:top w:w="15" w:type="dxa"/>
              <w:left w:w="75" w:type="dxa"/>
              <w:bottom w:w="15" w:type="dxa"/>
              <w:right w:w="75" w:type="dxa"/>
            </w:tcMar>
            <w:vAlign w:val="center"/>
            <w:hideMark/>
          </w:tcPr>
          <w:p w14:paraId="4FC5FEA8"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-0.002</w:t>
            </w:r>
            <w:r w:rsidRPr="00782B8E">
              <w:rPr>
                <w:rFonts w:ascii="Times New Roman" w:eastAsia="Times New Roman" w:hAnsi="Times New Roman" w:cs="Times New Roman"/>
                <w:color w:val="000000"/>
                <w:sz w:val="24"/>
                <w:szCs w:val="24"/>
                <w:vertAlign w:val="superscript"/>
              </w:rPr>
              <w:t>***</w:t>
            </w:r>
          </w:p>
        </w:tc>
        <w:tc>
          <w:tcPr>
            <w:tcW w:w="0" w:type="auto"/>
            <w:tcMar>
              <w:top w:w="15" w:type="dxa"/>
              <w:left w:w="75" w:type="dxa"/>
              <w:bottom w:w="15" w:type="dxa"/>
              <w:right w:w="75" w:type="dxa"/>
            </w:tcMar>
            <w:vAlign w:val="center"/>
            <w:hideMark/>
          </w:tcPr>
          <w:p w14:paraId="79C7406E"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-0.002</w:t>
            </w:r>
            <w:r w:rsidRPr="00782B8E">
              <w:rPr>
                <w:rFonts w:ascii="Times New Roman" w:eastAsia="Times New Roman" w:hAnsi="Times New Roman" w:cs="Times New Roman"/>
                <w:color w:val="000000"/>
                <w:sz w:val="24"/>
                <w:szCs w:val="24"/>
                <w:vertAlign w:val="superscript"/>
              </w:rPr>
              <w:t>*</w:t>
            </w:r>
          </w:p>
        </w:tc>
        <w:tc>
          <w:tcPr>
            <w:tcW w:w="0" w:type="auto"/>
            <w:tcMar>
              <w:top w:w="15" w:type="dxa"/>
              <w:left w:w="75" w:type="dxa"/>
              <w:bottom w:w="15" w:type="dxa"/>
              <w:right w:w="75" w:type="dxa"/>
            </w:tcMar>
            <w:vAlign w:val="center"/>
            <w:hideMark/>
          </w:tcPr>
          <w:p w14:paraId="6BFFAE26"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-0.002</w:t>
            </w:r>
            <w:r w:rsidRPr="00782B8E">
              <w:rPr>
                <w:rFonts w:ascii="Times New Roman" w:eastAsia="Times New Roman" w:hAnsi="Times New Roman" w:cs="Times New Roman"/>
                <w:color w:val="000000"/>
                <w:sz w:val="24"/>
                <w:szCs w:val="24"/>
                <w:vertAlign w:val="superscript"/>
              </w:rPr>
              <w:t>***</w:t>
            </w:r>
          </w:p>
        </w:tc>
        <w:tc>
          <w:tcPr>
            <w:tcW w:w="0" w:type="auto"/>
            <w:tcMar>
              <w:top w:w="15" w:type="dxa"/>
              <w:left w:w="75" w:type="dxa"/>
              <w:bottom w:w="15" w:type="dxa"/>
              <w:right w:w="75" w:type="dxa"/>
            </w:tcMar>
            <w:vAlign w:val="center"/>
            <w:hideMark/>
          </w:tcPr>
          <w:p w14:paraId="4AC8E11D"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-0.003</w:t>
            </w:r>
            <w:r w:rsidRPr="00782B8E">
              <w:rPr>
                <w:rFonts w:ascii="Times New Roman" w:eastAsia="Times New Roman" w:hAnsi="Times New Roman" w:cs="Times New Roman"/>
                <w:color w:val="000000"/>
                <w:sz w:val="24"/>
                <w:szCs w:val="24"/>
                <w:vertAlign w:val="superscript"/>
              </w:rPr>
              <w:t>*</w:t>
            </w:r>
          </w:p>
        </w:tc>
      </w:tr>
      <w:tr w:rsidR="00E50004" w:rsidRPr="00782B8E" w14:paraId="50766ECC" w14:textId="77777777" w:rsidTr="00E50004">
        <w:tc>
          <w:tcPr>
            <w:tcW w:w="0" w:type="auto"/>
            <w:tcMar>
              <w:top w:w="15" w:type="dxa"/>
              <w:left w:w="75" w:type="dxa"/>
              <w:bottom w:w="15" w:type="dxa"/>
              <w:right w:w="75" w:type="dxa"/>
            </w:tcMar>
            <w:vAlign w:val="center"/>
            <w:hideMark/>
          </w:tcPr>
          <w:p w14:paraId="630F025F"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c>
          <w:tcPr>
            <w:tcW w:w="0" w:type="auto"/>
            <w:tcMar>
              <w:top w:w="15" w:type="dxa"/>
              <w:left w:w="75" w:type="dxa"/>
              <w:bottom w:w="15" w:type="dxa"/>
              <w:right w:w="75" w:type="dxa"/>
            </w:tcMar>
            <w:vAlign w:val="center"/>
            <w:hideMark/>
          </w:tcPr>
          <w:p w14:paraId="51DAEAE0"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(0.000)</w:t>
            </w:r>
          </w:p>
        </w:tc>
        <w:tc>
          <w:tcPr>
            <w:tcW w:w="0" w:type="auto"/>
            <w:tcMar>
              <w:top w:w="15" w:type="dxa"/>
              <w:left w:w="75" w:type="dxa"/>
              <w:bottom w:w="15" w:type="dxa"/>
              <w:right w:w="75" w:type="dxa"/>
            </w:tcMar>
            <w:vAlign w:val="center"/>
            <w:hideMark/>
          </w:tcPr>
          <w:p w14:paraId="56717096"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(0.001)</w:t>
            </w:r>
          </w:p>
        </w:tc>
        <w:tc>
          <w:tcPr>
            <w:tcW w:w="0" w:type="auto"/>
            <w:tcMar>
              <w:top w:w="15" w:type="dxa"/>
              <w:left w:w="75" w:type="dxa"/>
              <w:bottom w:w="15" w:type="dxa"/>
              <w:right w:w="75" w:type="dxa"/>
            </w:tcMar>
            <w:vAlign w:val="center"/>
            <w:hideMark/>
          </w:tcPr>
          <w:p w14:paraId="58F902D5"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(0.000)</w:t>
            </w:r>
          </w:p>
        </w:tc>
        <w:tc>
          <w:tcPr>
            <w:tcW w:w="0" w:type="auto"/>
            <w:tcMar>
              <w:top w:w="15" w:type="dxa"/>
              <w:left w:w="75" w:type="dxa"/>
              <w:bottom w:w="15" w:type="dxa"/>
              <w:right w:w="75" w:type="dxa"/>
            </w:tcMar>
            <w:vAlign w:val="center"/>
            <w:hideMark/>
          </w:tcPr>
          <w:p w14:paraId="63EE8523"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(0.001)</w:t>
            </w:r>
          </w:p>
        </w:tc>
      </w:tr>
      <w:tr w:rsidR="00E50004" w:rsidRPr="00782B8E" w14:paraId="639C21CB" w14:textId="77777777" w:rsidTr="00E50004">
        <w:tc>
          <w:tcPr>
            <w:tcW w:w="0" w:type="auto"/>
            <w:tcMar>
              <w:top w:w="15" w:type="dxa"/>
              <w:left w:w="75" w:type="dxa"/>
              <w:bottom w:w="15" w:type="dxa"/>
              <w:right w:w="75" w:type="dxa"/>
            </w:tcMar>
            <w:vAlign w:val="center"/>
            <w:hideMark/>
          </w:tcPr>
          <w:p w14:paraId="6A857534"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Moratorium</w:t>
            </w:r>
          </w:p>
        </w:tc>
        <w:tc>
          <w:tcPr>
            <w:tcW w:w="0" w:type="auto"/>
            <w:tcMar>
              <w:top w:w="15" w:type="dxa"/>
              <w:left w:w="75" w:type="dxa"/>
              <w:bottom w:w="15" w:type="dxa"/>
              <w:right w:w="75" w:type="dxa"/>
            </w:tcMar>
            <w:vAlign w:val="center"/>
            <w:hideMark/>
          </w:tcPr>
          <w:p w14:paraId="1CEE37B7"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0.294</w:t>
            </w:r>
          </w:p>
        </w:tc>
        <w:tc>
          <w:tcPr>
            <w:tcW w:w="0" w:type="auto"/>
            <w:tcMar>
              <w:top w:w="15" w:type="dxa"/>
              <w:left w:w="75" w:type="dxa"/>
              <w:bottom w:w="15" w:type="dxa"/>
              <w:right w:w="75" w:type="dxa"/>
            </w:tcMar>
            <w:vAlign w:val="center"/>
            <w:hideMark/>
          </w:tcPr>
          <w:p w14:paraId="79DC2990"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0.314</w:t>
            </w:r>
          </w:p>
        </w:tc>
        <w:tc>
          <w:tcPr>
            <w:tcW w:w="0" w:type="auto"/>
            <w:tcMar>
              <w:top w:w="15" w:type="dxa"/>
              <w:left w:w="75" w:type="dxa"/>
              <w:bottom w:w="15" w:type="dxa"/>
              <w:right w:w="75" w:type="dxa"/>
            </w:tcMar>
            <w:vAlign w:val="center"/>
            <w:hideMark/>
          </w:tcPr>
          <w:p w14:paraId="0E338176"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0.330</w:t>
            </w:r>
          </w:p>
        </w:tc>
        <w:tc>
          <w:tcPr>
            <w:tcW w:w="0" w:type="auto"/>
            <w:tcMar>
              <w:top w:w="15" w:type="dxa"/>
              <w:left w:w="75" w:type="dxa"/>
              <w:bottom w:w="15" w:type="dxa"/>
              <w:right w:w="75" w:type="dxa"/>
            </w:tcMar>
            <w:vAlign w:val="center"/>
            <w:hideMark/>
          </w:tcPr>
          <w:p w14:paraId="68FA40FD"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0.035</w:t>
            </w:r>
          </w:p>
        </w:tc>
      </w:tr>
      <w:tr w:rsidR="00E50004" w:rsidRPr="00782B8E" w14:paraId="716A5C94" w14:textId="77777777" w:rsidTr="00E50004">
        <w:tc>
          <w:tcPr>
            <w:tcW w:w="0" w:type="auto"/>
            <w:tcMar>
              <w:top w:w="15" w:type="dxa"/>
              <w:left w:w="75" w:type="dxa"/>
              <w:bottom w:w="15" w:type="dxa"/>
              <w:right w:w="75" w:type="dxa"/>
            </w:tcMar>
            <w:vAlign w:val="center"/>
            <w:hideMark/>
          </w:tcPr>
          <w:p w14:paraId="77C95A8F"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c>
          <w:tcPr>
            <w:tcW w:w="0" w:type="auto"/>
            <w:tcMar>
              <w:top w:w="15" w:type="dxa"/>
              <w:left w:w="75" w:type="dxa"/>
              <w:bottom w:w="15" w:type="dxa"/>
              <w:right w:w="75" w:type="dxa"/>
            </w:tcMar>
            <w:vAlign w:val="center"/>
            <w:hideMark/>
          </w:tcPr>
          <w:p w14:paraId="02A41CC9"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(0.312)</w:t>
            </w:r>
          </w:p>
        </w:tc>
        <w:tc>
          <w:tcPr>
            <w:tcW w:w="0" w:type="auto"/>
            <w:tcMar>
              <w:top w:w="15" w:type="dxa"/>
              <w:left w:w="75" w:type="dxa"/>
              <w:bottom w:w="15" w:type="dxa"/>
              <w:right w:w="75" w:type="dxa"/>
            </w:tcMar>
            <w:vAlign w:val="center"/>
            <w:hideMark/>
          </w:tcPr>
          <w:p w14:paraId="6CF0EFCF"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(0.595)</w:t>
            </w:r>
          </w:p>
        </w:tc>
        <w:tc>
          <w:tcPr>
            <w:tcW w:w="0" w:type="auto"/>
            <w:tcMar>
              <w:top w:w="15" w:type="dxa"/>
              <w:left w:w="75" w:type="dxa"/>
              <w:bottom w:w="15" w:type="dxa"/>
              <w:right w:w="75" w:type="dxa"/>
            </w:tcMar>
            <w:vAlign w:val="center"/>
            <w:hideMark/>
          </w:tcPr>
          <w:p w14:paraId="722CB928"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(0.249)</w:t>
            </w:r>
          </w:p>
        </w:tc>
        <w:tc>
          <w:tcPr>
            <w:tcW w:w="0" w:type="auto"/>
            <w:tcMar>
              <w:top w:w="15" w:type="dxa"/>
              <w:left w:w="75" w:type="dxa"/>
              <w:bottom w:w="15" w:type="dxa"/>
              <w:right w:w="75" w:type="dxa"/>
            </w:tcMar>
            <w:vAlign w:val="center"/>
            <w:hideMark/>
          </w:tcPr>
          <w:p w14:paraId="38C82619"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(0.523)</w:t>
            </w:r>
          </w:p>
        </w:tc>
      </w:tr>
      <w:tr w:rsidR="00E50004" w:rsidRPr="00782B8E" w14:paraId="62433FFA" w14:textId="77777777" w:rsidTr="00E50004">
        <w:tc>
          <w:tcPr>
            <w:tcW w:w="0" w:type="auto"/>
            <w:tcMar>
              <w:top w:w="15" w:type="dxa"/>
              <w:left w:w="75" w:type="dxa"/>
              <w:bottom w:w="15" w:type="dxa"/>
              <w:right w:w="75" w:type="dxa"/>
            </w:tcMar>
            <w:vAlign w:val="center"/>
            <w:hideMark/>
          </w:tcPr>
          <w:p w14:paraId="186E8F42"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C-D Zoned AND Moratorium</w:t>
            </w:r>
          </w:p>
        </w:tc>
        <w:tc>
          <w:tcPr>
            <w:tcW w:w="0" w:type="auto"/>
            <w:tcMar>
              <w:top w:w="15" w:type="dxa"/>
              <w:left w:w="75" w:type="dxa"/>
              <w:bottom w:w="15" w:type="dxa"/>
              <w:right w:w="75" w:type="dxa"/>
            </w:tcMar>
            <w:vAlign w:val="center"/>
            <w:hideMark/>
          </w:tcPr>
          <w:p w14:paraId="647A8342"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0.120</w:t>
            </w:r>
          </w:p>
        </w:tc>
        <w:tc>
          <w:tcPr>
            <w:tcW w:w="0" w:type="auto"/>
            <w:tcMar>
              <w:top w:w="15" w:type="dxa"/>
              <w:left w:w="75" w:type="dxa"/>
              <w:bottom w:w="15" w:type="dxa"/>
              <w:right w:w="75" w:type="dxa"/>
            </w:tcMar>
            <w:vAlign w:val="center"/>
            <w:hideMark/>
          </w:tcPr>
          <w:p w14:paraId="4B0A623A"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0.063</w:t>
            </w:r>
          </w:p>
        </w:tc>
        <w:tc>
          <w:tcPr>
            <w:tcW w:w="0" w:type="auto"/>
            <w:tcMar>
              <w:top w:w="15" w:type="dxa"/>
              <w:left w:w="75" w:type="dxa"/>
              <w:bottom w:w="15" w:type="dxa"/>
              <w:right w:w="75" w:type="dxa"/>
            </w:tcMar>
            <w:vAlign w:val="center"/>
            <w:hideMark/>
          </w:tcPr>
          <w:p w14:paraId="68673072"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-0.163</w:t>
            </w:r>
          </w:p>
        </w:tc>
        <w:tc>
          <w:tcPr>
            <w:tcW w:w="0" w:type="auto"/>
            <w:tcMar>
              <w:top w:w="15" w:type="dxa"/>
              <w:left w:w="75" w:type="dxa"/>
              <w:bottom w:w="15" w:type="dxa"/>
              <w:right w:w="75" w:type="dxa"/>
            </w:tcMar>
            <w:vAlign w:val="center"/>
            <w:hideMark/>
          </w:tcPr>
          <w:p w14:paraId="59BA7C66"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-0.043</w:t>
            </w:r>
          </w:p>
        </w:tc>
      </w:tr>
      <w:tr w:rsidR="00E50004" w:rsidRPr="00782B8E" w14:paraId="51F0CFD3" w14:textId="77777777" w:rsidTr="00E50004">
        <w:tc>
          <w:tcPr>
            <w:tcW w:w="0" w:type="auto"/>
            <w:tcMar>
              <w:top w:w="15" w:type="dxa"/>
              <w:left w:w="75" w:type="dxa"/>
              <w:bottom w:w="15" w:type="dxa"/>
              <w:right w:w="75" w:type="dxa"/>
            </w:tcMar>
            <w:vAlign w:val="center"/>
            <w:hideMark/>
          </w:tcPr>
          <w:p w14:paraId="48FA3B60"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c>
          <w:tcPr>
            <w:tcW w:w="0" w:type="auto"/>
            <w:tcMar>
              <w:top w:w="15" w:type="dxa"/>
              <w:left w:w="75" w:type="dxa"/>
              <w:bottom w:w="15" w:type="dxa"/>
              <w:right w:w="75" w:type="dxa"/>
            </w:tcMar>
            <w:vAlign w:val="center"/>
            <w:hideMark/>
          </w:tcPr>
          <w:p w14:paraId="42C4BEBF"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(0.370)</w:t>
            </w:r>
          </w:p>
        </w:tc>
        <w:tc>
          <w:tcPr>
            <w:tcW w:w="0" w:type="auto"/>
            <w:tcMar>
              <w:top w:w="15" w:type="dxa"/>
              <w:left w:w="75" w:type="dxa"/>
              <w:bottom w:w="15" w:type="dxa"/>
              <w:right w:w="75" w:type="dxa"/>
            </w:tcMar>
            <w:vAlign w:val="center"/>
            <w:hideMark/>
          </w:tcPr>
          <w:p w14:paraId="10D67C4F"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(0.699)</w:t>
            </w:r>
          </w:p>
        </w:tc>
        <w:tc>
          <w:tcPr>
            <w:tcW w:w="0" w:type="auto"/>
            <w:tcMar>
              <w:top w:w="15" w:type="dxa"/>
              <w:left w:w="75" w:type="dxa"/>
              <w:bottom w:w="15" w:type="dxa"/>
              <w:right w:w="75" w:type="dxa"/>
            </w:tcMar>
            <w:vAlign w:val="center"/>
            <w:hideMark/>
          </w:tcPr>
          <w:p w14:paraId="0F6B8ACA"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(0.304)</w:t>
            </w:r>
          </w:p>
        </w:tc>
        <w:tc>
          <w:tcPr>
            <w:tcW w:w="0" w:type="auto"/>
            <w:tcMar>
              <w:top w:w="15" w:type="dxa"/>
              <w:left w:w="75" w:type="dxa"/>
              <w:bottom w:w="15" w:type="dxa"/>
              <w:right w:w="75" w:type="dxa"/>
            </w:tcMar>
            <w:vAlign w:val="center"/>
            <w:hideMark/>
          </w:tcPr>
          <w:p w14:paraId="2BB821AE"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(0.690)</w:t>
            </w:r>
          </w:p>
        </w:tc>
      </w:tr>
      <w:tr w:rsidR="00E50004" w:rsidRPr="00782B8E" w14:paraId="18E6BD75" w14:textId="77777777" w:rsidTr="00E50004">
        <w:tc>
          <w:tcPr>
            <w:tcW w:w="0" w:type="auto"/>
            <w:tcMar>
              <w:top w:w="15" w:type="dxa"/>
              <w:left w:w="75" w:type="dxa"/>
              <w:bottom w:w="15" w:type="dxa"/>
              <w:right w:w="75" w:type="dxa"/>
            </w:tcMar>
            <w:vAlign w:val="center"/>
            <w:hideMark/>
          </w:tcPr>
          <w:p w14:paraId="1E61B3A9"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Total # of Structures</w:t>
            </w:r>
          </w:p>
        </w:tc>
        <w:tc>
          <w:tcPr>
            <w:tcW w:w="0" w:type="auto"/>
            <w:tcMar>
              <w:top w:w="15" w:type="dxa"/>
              <w:left w:w="75" w:type="dxa"/>
              <w:bottom w:w="15" w:type="dxa"/>
              <w:right w:w="75" w:type="dxa"/>
            </w:tcMar>
            <w:vAlign w:val="center"/>
            <w:hideMark/>
          </w:tcPr>
          <w:p w14:paraId="2536245A"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c>
          <w:tcPr>
            <w:tcW w:w="0" w:type="auto"/>
            <w:tcMar>
              <w:top w:w="15" w:type="dxa"/>
              <w:left w:w="75" w:type="dxa"/>
              <w:bottom w:w="15" w:type="dxa"/>
              <w:right w:w="75" w:type="dxa"/>
            </w:tcMar>
            <w:vAlign w:val="center"/>
            <w:hideMark/>
          </w:tcPr>
          <w:p w14:paraId="291D4EE3"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c>
          <w:tcPr>
            <w:tcW w:w="0" w:type="auto"/>
            <w:tcMar>
              <w:top w:w="15" w:type="dxa"/>
              <w:left w:w="75" w:type="dxa"/>
              <w:bottom w:w="15" w:type="dxa"/>
              <w:right w:w="75" w:type="dxa"/>
            </w:tcMar>
            <w:vAlign w:val="center"/>
            <w:hideMark/>
          </w:tcPr>
          <w:p w14:paraId="64682B29"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0.298</w:t>
            </w:r>
            <w:r w:rsidRPr="00782B8E">
              <w:rPr>
                <w:rFonts w:ascii="Times New Roman" w:eastAsia="Times New Roman" w:hAnsi="Times New Roman" w:cs="Times New Roman"/>
                <w:color w:val="000000"/>
                <w:sz w:val="24"/>
                <w:szCs w:val="24"/>
                <w:vertAlign w:val="superscript"/>
              </w:rPr>
              <w:t>***</w:t>
            </w:r>
          </w:p>
        </w:tc>
        <w:tc>
          <w:tcPr>
            <w:tcW w:w="0" w:type="auto"/>
            <w:tcMar>
              <w:top w:w="15" w:type="dxa"/>
              <w:left w:w="75" w:type="dxa"/>
              <w:bottom w:w="15" w:type="dxa"/>
              <w:right w:w="75" w:type="dxa"/>
            </w:tcMar>
            <w:vAlign w:val="center"/>
            <w:hideMark/>
          </w:tcPr>
          <w:p w14:paraId="0B4CB5CA"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0.258</w:t>
            </w:r>
          </w:p>
        </w:tc>
      </w:tr>
      <w:tr w:rsidR="00E50004" w:rsidRPr="00782B8E" w14:paraId="048DF626" w14:textId="77777777" w:rsidTr="00E50004">
        <w:tc>
          <w:tcPr>
            <w:tcW w:w="0" w:type="auto"/>
            <w:tcMar>
              <w:top w:w="15" w:type="dxa"/>
              <w:left w:w="75" w:type="dxa"/>
              <w:bottom w:w="15" w:type="dxa"/>
              <w:right w:w="75" w:type="dxa"/>
            </w:tcMar>
            <w:vAlign w:val="center"/>
            <w:hideMark/>
          </w:tcPr>
          <w:p w14:paraId="66FEF862"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c>
          <w:tcPr>
            <w:tcW w:w="0" w:type="auto"/>
            <w:tcMar>
              <w:top w:w="15" w:type="dxa"/>
              <w:left w:w="75" w:type="dxa"/>
              <w:bottom w:w="15" w:type="dxa"/>
              <w:right w:w="75" w:type="dxa"/>
            </w:tcMar>
            <w:vAlign w:val="center"/>
            <w:hideMark/>
          </w:tcPr>
          <w:p w14:paraId="5E8BC15C"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c>
          <w:tcPr>
            <w:tcW w:w="0" w:type="auto"/>
            <w:tcMar>
              <w:top w:w="15" w:type="dxa"/>
              <w:left w:w="75" w:type="dxa"/>
              <w:bottom w:w="15" w:type="dxa"/>
              <w:right w:w="75" w:type="dxa"/>
            </w:tcMar>
            <w:vAlign w:val="center"/>
            <w:hideMark/>
          </w:tcPr>
          <w:p w14:paraId="3285C6A2"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c>
          <w:tcPr>
            <w:tcW w:w="0" w:type="auto"/>
            <w:tcMar>
              <w:top w:w="15" w:type="dxa"/>
              <w:left w:w="75" w:type="dxa"/>
              <w:bottom w:w="15" w:type="dxa"/>
              <w:right w:w="75" w:type="dxa"/>
            </w:tcMar>
            <w:vAlign w:val="center"/>
            <w:hideMark/>
          </w:tcPr>
          <w:p w14:paraId="5121F105"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(0.048)</w:t>
            </w:r>
          </w:p>
        </w:tc>
        <w:tc>
          <w:tcPr>
            <w:tcW w:w="0" w:type="auto"/>
            <w:tcMar>
              <w:top w:w="15" w:type="dxa"/>
              <w:left w:w="75" w:type="dxa"/>
              <w:bottom w:w="15" w:type="dxa"/>
              <w:right w:w="75" w:type="dxa"/>
            </w:tcMar>
            <w:vAlign w:val="center"/>
            <w:hideMark/>
          </w:tcPr>
          <w:p w14:paraId="1E282130"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(0.135)</w:t>
            </w:r>
          </w:p>
        </w:tc>
      </w:tr>
      <w:tr w:rsidR="00E50004" w:rsidRPr="00782B8E" w14:paraId="0BB3C1AD" w14:textId="77777777" w:rsidTr="00E50004">
        <w:tc>
          <w:tcPr>
            <w:tcW w:w="0" w:type="auto"/>
            <w:tcMar>
              <w:top w:w="15" w:type="dxa"/>
              <w:left w:w="75" w:type="dxa"/>
              <w:bottom w:w="15" w:type="dxa"/>
              <w:right w:w="75" w:type="dxa"/>
            </w:tcMar>
            <w:vAlign w:val="center"/>
            <w:hideMark/>
          </w:tcPr>
          <w:p w14:paraId="5528BCC3"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Total Square Footage</w:t>
            </w:r>
          </w:p>
        </w:tc>
        <w:tc>
          <w:tcPr>
            <w:tcW w:w="0" w:type="auto"/>
            <w:tcMar>
              <w:top w:w="15" w:type="dxa"/>
              <w:left w:w="75" w:type="dxa"/>
              <w:bottom w:w="15" w:type="dxa"/>
              <w:right w:w="75" w:type="dxa"/>
            </w:tcMar>
            <w:vAlign w:val="center"/>
            <w:hideMark/>
          </w:tcPr>
          <w:p w14:paraId="16DE5E15"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c>
          <w:tcPr>
            <w:tcW w:w="0" w:type="auto"/>
            <w:tcMar>
              <w:top w:w="15" w:type="dxa"/>
              <w:left w:w="75" w:type="dxa"/>
              <w:bottom w:w="15" w:type="dxa"/>
              <w:right w:w="75" w:type="dxa"/>
            </w:tcMar>
            <w:vAlign w:val="center"/>
            <w:hideMark/>
          </w:tcPr>
          <w:p w14:paraId="6BCC0BEA"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c>
          <w:tcPr>
            <w:tcW w:w="0" w:type="auto"/>
            <w:tcMar>
              <w:top w:w="15" w:type="dxa"/>
              <w:left w:w="75" w:type="dxa"/>
              <w:bottom w:w="15" w:type="dxa"/>
              <w:right w:w="75" w:type="dxa"/>
            </w:tcMar>
            <w:vAlign w:val="center"/>
            <w:hideMark/>
          </w:tcPr>
          <w:p w14:paraId="0DF20A5E"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0.000</w:t>
            </w:r>
            <w:r w:rsidRPr="00782B8E">
              <w:rPr>
                <w:rFonts w:ascii="Times New Roman" w:eastAsia="Times New Roman" w:hAnsi="Times New Roman" w:cs="Times New Roman"/>
                <w:color w:val="000000"/>
                <w:sz w:val="24"/>
                <w:szCs w:val="24"/>
                <w:vertAlign w:val="superscript"/>
              </w:rPr>
              <w:t>**</w:t>
            </w:r>
          </w:p>
        </w:tc>
        <w:tc>
          <w:tcPr>
            <w:tcW w:w="0" w:type="auto"/>
            <w:tcMar>
              <w:top w:w="15" w:type="dxa"/>
              <w:left w:w="75" w:type="dxa"/>
              <w:bottom w:w="15" w:type="dxa"/>
              <w:right w:w="75" w:type="dxa"/>
            </w:tcMar>
            <w:vAlign w:val="center"/>
            <w:hideMark/>
          </w:tcPr>
          <w:p w14:paraId="19848374"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0.000</w:t>
            </w:r>
            <w:r w:rsidRPr="00782B8E">
              <w:rPr>
                <w:rFonts w:ascii="Times New Roman" w:eastAsia="Times New Roman" w:hAnsi="Times New Roman" w:cs="Times New Roman"/>
                <w:color w:val="000000"/>
                <w:sz w:val="24"/>
                <w:szCs w:val="24"/>
                <w:vertAlign w:val="superscript"/>
              </w:rPr>
              <w:t>*</w:t>
            </w:r>
          </w:p>
        </w:tc>
      </w:tr>
      <w:tr w:rsidR="00E50004" w:rsidRPr="00782B8E" w14:paraId="7C7C2F26" w14:textId="77777777" w:rsidTr="00E50004">
        <w:tc>
          <w:tcPr>
            <w:tcW w:w="0" w:type="auto"/>
            <w:tcMar>
              <w:top w:w="15" w:type="dxa"/>
              <w:left w:w="75" w:type="dxa"/>
              <w:bottom w:w="15" w:type="dxa"/>
              <w:right w:w="75" w:type="dxa"/>
            </w:tcMar>
            <w:vAlign w:val="center"/>
            <w:hideMark/>
          </w:tcPr>
          <w:p w14:paraId="0A19B6BC"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c>
          <w:tcPr>
            <w:tcW w:w="0" w:type="auto"/>
            <w:tcMar>
              <w:top w:w="15" w:type="dxa"/>
              <w:left w:w="75" w:type="dxa"/>
              <w:bottom w:w="15" w:type="dxa"/>
              <w:right w:w="75" w:type="dxa"/>
            </w:tcMar>
            <w:vAlign w:val="center"/>
            <w:hideMark/>
          </w:tcPr>
          <w:p w14:paraId="1783F635"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c>
          <w:tcPr>
            <w:tcW w:w="0" w:type="auto"/>
            <w:tcMar>
              <w:top w:w="15" w:type="dxa"/>
              <w:left w:w="75" w:type="dxa"/>
              <w:bottom w:w="15" w:type="dxa"/>
              <w:right w:w="75" w:type="dxa"/>
            </w:tcMar>
            <w:vAlign w:val="center"/>
            <w:hideMark/>
          </w:tcPr>
          <w:p w14:paraId="3C8913AA"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c>
          <w:tcPr>
            <w:tcW w:w="0" w:type="auto"/>
            <w:tcMar>
              <w:top w:w="15" w:type="dxa"/>
              <w:left w:w="75" w:type="dxa"/>
              <w:bottom w:w="15" w:type="dxa"/>
              <w:right w:w="75" w:type="dxa"/>
            </w:tcMar>
            <w:vAlign w:val="center"/>
            <w:hideMark/>
          </w:tcPr>
          <w:p w14:paraId="71C43460"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(0.000)</w:t>
            </w:r>
          </w:p>
        </w:tc>
        <w:tc>
          <w:tcPr>
            <w:tcW w:w="0" w:type="auto"/>
            <w:tcMar>
              <w:top w:w="15" w:type="dxa"/>
              <w:left w:w="75" w:type="dxa"/>
              <w:bottom w:w="15" w:type="dxa"/>
              <w:right w:w="75" w:type="dxa"/>
            </w:tcMar>
            <w:vAlign w:val="center"/>
            <w:hideMark/>
          </w:tcPr>
          <w:p w14:paraId="0F1A3BFE"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(0.000)</w:t>
            </w:r>
          </w:p>
        </w:tc>
      </w:tr>
      <w:tr w:rsidR="00E50004" w:rsidRPr="00782B8E" w14:paraId="144DBB53" w14:textId="77777777" w:rsidTr="00E50004">
        <w:tc>
          <w:tcPr>
            <w:tcW w:w="0" w:type="auto"/>
            <w:tcMar>
              <w:top w:w="15" w:type="dxa"/>
              <w:left w:w="75" w:type="dxa"/>
              <w:bottom w:w="15" w:type="dxa"/>
              <w:right w:w="75" w:type="dxa"/>
            </w:tcMar>
            <w:vAlign w:val="center"/>
            <w:hideMark/>
          </w:tcPr>
          <w:p w14:paraId="4329C7A1"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Year Built</w:t>
            </w:r>
          </w:p>
        </w:tc>
        <w:tc>
          <w:tcPr>
            <w:tcW w:w="0" w:type="auto"/>
            <w:tcMar>
              <w:top w:w="15" w:type="dxa"/>
              <w:left w:w="75" w:type="dxa"/>
              <w:bottom w:w="15" w:type="dxa"/>
              <w:right w:w="75" w:type="dxa"/>
            </w:tcMar>
            <w:vAlign w:val="center"/>
            <w:hideMark/>
          </w:tcPr>
          <w:p w14:paraId="34DC4B06"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c>
          <w:tcPr>
            <w:tcW w:w="0" w:type="auto"/>
            <w:tcMar>
              <w:top w:w="15" w:type="dxa"/>
              <w:left w:w="75" w:type="dxa"/>
              <w:bottom w:w="15" w:type="dxa"/>
              <w:right w:w="75" w:type="dxa"/>
            </w:tcMar>
            <w:vAlign w:val="center"/>
            <w:hideMark/>
          </w:tcPr>
          <w:p w14:paraId="0236EF5D"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c>
          <w:tcPr>
            <w:tcW w:w="0" w:type="auto"/>
            <w:tcMar>
              <w:top w:w="15" w:type="dxa"/>
              <w:left w:w="75" w:type="dxa"/>
              <w:bottom w:w="15" w:type="dxa"/>
              <w:right w:w="75" w:type="dxa"/>
            </w:tcMar>
            <w:vAlign w:val="center"/>
            <w:hideMark/>
          </w:tcPr>
          <w:p w14:paraId="10896F85"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0.000</w:t>
            </w:r>
          </w:p>
        </w:tc>
        <w:tc>
          <w:tcPr>
            <w:tcW w:w="0" w:type="auto"/>
            <w:tcMar>
              <w:top w:w="15" w:type="dxa"/>
              <w:left w:w="75" w:type="dxa"/>
              <w:bottom w:w="15" w:type="dxa"/>
              <w:right w:w="75" w:type="dxa"/>
            </w:tcMar>
            <w:vAlign w:val="center"/>
            <w:hideMark/>
          </w:tcPr>
          <w:p w14:paraId="038805A8"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0.000</w:t>
            </w:r>
          </w:p>
        </w:tc>
      </w:tr>
      <w:tr w:rsidR="00E50004" w:rsidRPr="00782B8E" w14:paraId="13CB5241" w14:textId="77777777" w:rsidTr="00E50004">
        <w:tc>
          <w:tcPr>
            <w:tcW w:w="0" w:type="auto"/>
            <w:tcMar>
              <w:top w:w="15" w:type="dxa"/>
              <w:left w:w="75" w:type="dxa"/>
              <w:bottom w:w="15" w:type="dxa"/>
              <w:right w:w="75" w:type="dxa"/>
            </w:tcMar>
            <w:vAlign w:val="center"/>
            <w:hideMark/>
          </w:tcPr>
          <w:p w14:paraId="051828F6"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c>
          <w:tcPr>
            <w:tcW w:w="0" w:type="auto"/>
            <w:tcMar>
              <w:top w:w="15" w:type="dxa"/>
              <w:left w:w="75" w:type="dxa"/>
              <w:bottom w:w="15" w:type="dxa"/>
              <w:right w:w="75" w:type="dxa"/>
            </w:tcMar>
            <w:vAlign w:val="center"/>
            <w:hideMark/>
          </w:tcPr>
          <w:p w14:paraId="0AE815A0"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c>
          <w:tcPr>
            <w:tcW w:w="0" w:type="auto"/>
            <w:tcMar>
              <w:top w:w="15" w:type="dxa"/>
              <w:left w:w="75" w:type="dxa"/>
              <w:bottom w:w="15" w:type="dxa"/>
              <w:right w:w="75" w:type="dxa"/>
            </w:tcMar>
            <w:vAlign w:val="center"/>
            <w:hideMark/>
          </w:tcPr>
          <w:p w14:paraId="04924DB5"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c>
          <w:tcPr>
            <w:tcW w:w="0" w:type="auto"/>
            <w:tcMar>
              <w:top w:w="15" w:type="dxa"/>
              <w:left w:w="75" w:type="dxa"/>
              <w:bottom w:w="15" w:type="dxa"/>
              <w:right w:w="75" w:type="dxa"/>
            </w:tcMar>
            <w:vAlign w:val="center"/>
            <w:hideMark/>
          </w:tcPr>
          <w:p w14:paraId="7BBBBD2A"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(0.002)</w:t>
            </w:r>
          </w:p>
        </w:tc>
        <w:tc>
          <w:tcPr>
            <w:tcW w:w="0" w:type="auto"/>
            <w:tcMar>
              <w:top w:w="15" w:type="dxa"/>
              <w:left w:w="75" w:type="dxa"/>
              <w:bottom w:w="15" w:type="dxa"/>
              <w:right w:w="75" w:type="dxa"/>
            </w:tcMar>
            <w:vAlign w:val="center"/>
            <w:hideMark/>
          </w:tcPr>
          <w:p w14:paraId="6C54FF19"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(0.006)</w:t>
            </w:r>
          </w:p>
        </w:tc>
      </w:tr>
      <w:tr w:rsidR="00E50004" w:rsidRPr="00782B8E" w14:paraId="7B859339" w14:textId="77777777" w:rsidTr="00E50004">
        <w:tc>
          <w:tcPr>
            <w:tcW w:w="0" w:type="auto"/>
            <w:tcBorders>
              <w:top w:val="single" w:sz="6" w:space="0" w:color="000000"/>
            </w:tcBorders>
            <w:tcMar>
              <w:top w:w="15" w:type="dxa"/>
              <w:left w:w="75" w:type="dxa"/>
              <w:bottom w:w="15" w:type="dxa"/>
              <w:right w:w="75" w:type="dxa"/>
            </w:tcMar>
            <w:vAlign w:val="center"/>
            <w:hideMark/>
          </w:tcPr>
          <w:p w14:paraId="7A1F37F0"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R</w:t>
            </w:r>
            <w:r w:rsidRPr="00782B8E">
              <w:rPr>
                <w:rFonts w:ascii="Times New Roman" w:eastAsia="Times New Roman" w:hAnsi="Times New Roman" w:cs="Times New Roman"/>
                <w:color w:val="000000"/>
                <w:sz w:val="24"/>
                <w:szCs w:val="24"/>
                <w:vertAlign w:val="superscript"/>
              </w:rPr>
              <w:t>2</w:t>
            </w:r>
          </w:p>
        </w:tc>
        <w:tc>
          <w:tcPr>
            <w:tcW w:w="0" w:type="auto"/>
            <w:tcBorders>
              <w:top w:val="single" w:sz="6" w:space="0" w:color="000000"/>
            </w:tcBorders>
            <w:tcMar>
              <w:top w:w="15" w:type="dxa"/>
              <w:left w:w="75" w:type="dxa"/>
              <w:bottom w:w="15" w:type="dxa"/>
              <w:right w:w="75" w:type="dxa"/>
            </w:tcMar>
            <w:vAlign w:val="center"/>
            <w:hideMark/>
          </w:tcPr>
          <w:p w14:paraId="1AB1F876"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0.620</w:t>
            </w:r>
          </w:p>
        </w:tc>
        <w:tc>
          <w:tcPr>
            <w:tcW w:w="0" w:type="auto"/>
            <w:tcBorders>
              <w:top w:val="single" w:sz="6" w:space="0" w:color="000000"/>
            </w:tcBorders>
            <w:tcMar>
              <w:top w:w="15" w:type="dxa"/>
              <w:left w:w="75" w:type="dxa"/>
              <w:bottom w:w="15" w:type="dxa"/>
              <w:right w:w="75" w:type="dxa"/>
            </w:tcMar>
            <w:vAlign w:val="center"/>
            <w:hideMark/>
          </w:tcPr>
          <w:p w14:paraId="38958D86"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0.537</w:t>
            </w:r>
          </w:p>
        </w:tc>
        <w:tc>
          <w:tcPr>
            <w:tcW w:w="0" w:type="auto"/>
            <w:tcBorders>
              <w:top w:val="single" w:sz="6" w:space="0" w:color="000000"/>
            </w:tcBorders>
            <w:tcMar>
              <w:top w:w="15" w:type="dxa"/>
              <w:left w:w="75" w:type="dxa"/>
              <w:bottom w:w="15" w:type="dxa"/>
              <w:right w:w="75" w:type="dxa"/>
            </w:tcMar>
            <w:vAlign w:val="center"/>
            <w:hideMark/>
          </w:tcPr>
          <w:p w14:paraId="5C633288"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0.782</w:t>
            </w:r>
          </w:p>
        </w:tc>
        <w:tc>
          <w:tcPr>
            <w:tcW w:w="0" w:type="auto"/>
            <w:tcBorders>
              <w:top w:val="single" w:sz="6" w:space="0" w:color="000000"/>
            </w:tcBorders>
            <w:tcMar>
              <w:top w:w="15" w:type="dxa"/>
              <w:left w:w="75" w:type="dxa"/>
              <w:bottom w:w="15" w:type="dxa"/>
              <w:right w:w="75" w:type="dxa"/>
            </w:tcMar>
            <w:vAlign w:val="center"/>
            <w:hideMark/>
          </w:tcPr>
          <w:p w14:paraId="649677FA"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0.791</w:t>
            </w:r>
          </w:p>
        </w:tc>
      </w:tr>
      <w:tr w:rsidR="00E50004" w:rsidRPr="00782B8E" w14:paraId="6A81767F" w14:textId="77777777" w:rsidTr="00E50004">
        <w:tc>
          <w:tcPr>
            <w:tcW w:w="0" w:type="auto"/>
            <w:tcMar>
              <w:top w:w="15" w:type="dxa"/>
              <w:left w:w="75" w:type="dxa"/>
              <w:bottom w:w="15" w:type="dxa"/>
              <w:right w:w="75" w:type="dxa"/>
            </w:tcMar>
            <w:vAlign w:val="center"/>
            <w:hideMark/>
          </w:tcPr>
          <w:p w14:paraId="4E6DF701"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Adj. R</w:t>
            </w:r>
            <w:r w:rsidRPr="00782B8E">
              <w:rPr>
                <w:rFonts w:ascii="Times New Roman" w:eastAsia="Times New Roman" w:hAnsi="Times New Roman" w:cs="Times New Roman"/>
                <w:color w:val="000000"/>
                <w:sz w:val="24"/>
                <w:szCs w:val="24"/>
                <w:vertAlign w:val="superscript"/>
              </w:rPr>
              <w:t>2</w:t>
            </w:r>
          </w:p>
        </w:tc>
        <w:tc>
          <w:tcPr>
            <w:tcW w:w="0" w:type="auto"/>
            <w:tcMar>
              <w:top w:w="15" w:type="dxa"/>
              <w:left w:w="75" w:type="dxa"/>
              <w:bottom w:w="15" w:type="dxa"/>
              <w:right w:w="75" w:type="dxa"/>
            </w:tcMar>
            <w:vAlign w:val="center"/>
            <w:hideMark/>
          </w:tcPr>
          <w:p w14:paraId="6BA9C098"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0.605</w:t>
            </w:r>
          </w:p>
        </w:tc>
        <w:tc>
          <w:tcPr>
            <w:tcW w:w="0" w:type="auto"/>
            <w:tcMar>
              <w:top w:w="15" w:type="dxa"/>
              <w:left w:w="75" w:type="dxa"/>
              <w:bottom w:w="15" w:type="dxa"/>
              <w:right w:w="75" w:type="dxa"/>
            </w:tcMar>
            <w:vAlign w:val="center"/>
            <w:hideMark/>
          </w:tcPr>
          <w:p w14:paraId="6A4E8240"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0.465</w:t>
            </w:r>
          </w:p>
        </w:tc>
        <w:tc>
          <w:tcPr>
            <w:tcW w:w="0" w:type="auto"/>
            <w:tcMar>
              <w:top w:w="15" w:type="dxa"/>
              <w:left w:w="75" w:type="dxa"/>
              <w:bottom w:w="15" w:type="dxa"/>
              <w:right w:w="75" w:type="dxa"/>
            </w:tcMar>
            <w:vAlign w:val="center"/>
            <w:hideMark/>
          </w:tcPr>
          <w:p w14:paraId="60E7B4FA"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0.766</w:t>
            </w:r>
          </w:p>
        </w:tc>
        <w:tc>
          <w:tcPr>
            <w:tcW w:w="0" w:type="auto"/>
            <w:tcMar>
              <w:top w:w="15" w:type="dxa"/>
              <w:left w:w="75" w:type="dxa"/>
              <w:bottom w:w="15" w:type="dxa"/>
              <w:right w:w="75" w:type="dxa"/>
            </w:tcMar>
            <w:vAlign w:val="center"/>
            <w:hideMark/>
          </w:tcPr>
          <w:p w14:paraId="3416D1F5"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0.692</w:t>
            </w:r>
          </w:p>
        </w:tc>
      </w:tr>
      <w:tr w:rsidR="00E50004" w:rsidRPr="00782B8E" w14:paraId="088B16FD" w14:textId="77777777" w:rsidTr="00E50004">
        <w:tc>
          <w:tcPr>
            <w:tcW w:w="0" w:type="auto"/>
            <w:tcBorders>
              <w:bottom w:val="single" w:sz="12" w:space="0" w:color="000000"/>
            </w:tcBorders>
            <w:tcMar>
              <w:top w:w="15" w:type="dxa"/>
              <w:left w:w="75" w:type="dxa"/>
              <w:bottom w:w="15" w:type="dxa"/>
              <w:right w:w="75" w:type="dxa"/>
            </w:tcMar>
            <w:vAlign w:val="center"/>
            <w:hideMark/>
          </w:tcPr>
          <w:p w14:paraId="03ABE5D2"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Num. obs.</w:t>
            </w:r>
          </w:p>
        </w:tc>
        <w:tc>
          <w:tcPr>
            <w:tcW w:w="0" w:type="auto"/>
            <w:tcBorders>
              <w:bottom w:val="single" w:sz="12" w:space="0" w:color="000000"/>
            </w:tcBorders>
            <w:tcMar>
              <w:top w:w="15" w:type="dxa"/>
              <w:left w:w="75" w:type="dxa"/>
              <w:bottom w:w="15" w:type="dxa"/>
              <w:right w:w="75" w:type="dxa"/>
            </w:tcMar>
            <w:vAlign w:val="center"/>
            <w:hideMark/>
          </w:tcPr>
          <w:p w14:paraId="749C4A2E"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127</w:t>
            </w:r>
          </w:p>
        </w:tc>
        <w:tc>
          <w:tcPr>
            <w:tcW w:w="0" w:type="auto"/>
            <w:tcBorders>
              <w:bottom w:val="single" w:sz="12" w:space="0" w:color="000000"/>
            </w:tcBorders>
            <w:tcMar>
              <w:top w:w="15" w:type="dxa"/>
              <w:left w:w="75" w:type="dxa"/>
              <w:bottom w:w="15" w:type="dxa"/>
              <w:right w:w="75" w:type="dxa"/>
            </w:tcMar>
            <w:vAlign w:val="center"/>
            <w:hideMark/>
          </w:tcPr>
          <w:p w14:paraId="2AD6BCF3"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38</w:t>
            </w:r>
          </w:p>
        </w:tc>
        <w:tc>
          <w:tcPr>
            <w:tcW w:w="0" w:type="auto"/>
            <w:tcBorders>
              <w:bottom w:val="single" w:sz="12" w:space="0" w:color="000000"/>
            </w:tcBorders>
            <w:tcMar>
              <w:top w:w="15" w:type="dxa"/>
              <w:left w:w="75" w:type="dxa"/>
              <w:bottom w:w="15" w:type="dxa"/>
              <w:right w:w="75" w:type="dxa"/>
            </w:tcMar>
            <w:vAlign w:val="center"/>
            <w:hideMark/>
          </w:tcPr>
          <w:p w14:paraId="0B1B8209"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114</w:t>
            </w:r>
          </w:p>
        </w:tc>
        <w:tc>
          <w:tcPr>
            <w:tcW w:w="0" w:type="auto"/>
            <w:tcBorders>
              <w:bottom w:val="single" w:sz="12" w:space="0" w:color="000000"/>
            </w:tcBorders>
            <w:tcMar>
              <w:top w:w="15" w:type="dxa"/>
              <w:left w:w="75" w:type="dxa"/>
              <w:bottom w:w="15" w:type="dxa"/>
              <w:right w:w="75" w:type="dxa"/>
            </w:tcMar>
            <w:vAlign w:val="center"/>
            <w:hideMark/>
          </w:tcPr>
          <w:p w14:paraId="395838E2" w14:textId="77777777" w:rsidR="00E50004" w:rsidRPr="00782B8E" w:rsidRDefault="00E50004" w:rsidP="00E50004">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26</w:t>
            </w:r>
          </w:p>
        </w:tc>
      </w:tr>
      <w:tr w:rsidR="00E50004" w:rsidRPr="00782B8E" w14:paraId="4D72DFD1" w14:textId="77777777" w:rsidTr="00E50004">
        <w:tc>
          <w:tcPr>
            <w:tcW w:w="0" w:type="auto"/>
            <w:gridSpan w:val="5"/>
            <w:tcMar>
              <w:top w:w="15" w:type="dxa"/>
              <w:left w:w="75" w:type="dxa"/>
              <w:bottom w:w="15" w:type="dxa"/>
              <w:right w:w="75" w:type="dxa"/>
            </w:tcMar>
            <w:vAlign w:val="center"/>
            <w:hideMark/>
          </w:tcPr>
          <w:p w14:paraId="5AFD9611" w14:textId="77777777" w:rsidR="00E50004" w:rsidRPr="00782B8E" w:rsidRDefault="00E50004" w:rsidP="00E50004">
            <w:pPr>
              <w:spacing w:after="0" w:line="240" w:lineRule="auto"/>
              <w:rPr>
                <w:rFonts w:ascii="Times New Roman" w:eastAsia="Times New Roman" w:hAnsi="Times New Roman" w:cs="Times New Roman"/>
                <w:color w:val="000000"/>
                <w:sz w:val="19"/>
                <w:szCs w:val="19"/>
              </w:rPr>
            </w:pPr>
            <w:r w:rsidRPr="00782B8E">
              <w:rPr>
                <w:rFonts w:ascii="Times New Roman" w:eastAsia="Times New Roman" w:hAnsi="Times New Roman" w:cs="Times New Roman"/>
                <w:color w:val="000000"/>
                <w:sz w:val="19"/>
                <w:szCs w:val="19"/>
                <w:vertAlign w:val="superscript"/>
              </w:rPr>
              <w:t>***</w:t>
            </w:r>
            <w:r w:rsidRPr="00782B8E">
              <w:rPr>
                <w:rFonts w:ascii="Times New Roman" w:eastAsia="Times New Roman" w:hAnsi="Times New Roman" w:cs="Times New Roman"/>
                <w:color w:val="000000"/>
                <w:sz w:val="19"/>
                <w:szCs w:val="19"/>
              </w:rPr>
              <w:t xml:space="preserve">p &lt; 0.001; </w:t>
            </w:r>
            <w:r w:rsidRPr="00782B8E">
              <w:rPr>
                <w:rFonts w:ascii="Times New Roman" w:eastAsia="Times New Roman" w:hAnsi="Times New Roman" w:cs="Times New Roman"/>
                <w:color w:val="000000"/>
                <w:sz w:val="19"/>
                <w:szCs w:val="19"/>
                <w:vertAlign w:val="superscript"/>
              </w:rPr>
              <w:t>**</w:t>
            </w:r>
            <w:r w:rsidRPr="00782B8E">
              <w:rPr>
                <w:rFonts w:ascii="Times New Roman" w:eastAsia="Times New Roman" w:hAnsi="Times New Roman" w:cs="Times New Roman"/>
                <w:color w:val="000000"/>
                <w:sz w:val="19"/>
                <w:szCs w:val="19"/>
              </w:rPr>
              <w:t xml:space="preserve">p &lt; 0.01; </w:t>
            </w:r>
            <w:r w:rsidRPr="00782B8E">
              <w:rPr>
                <w:rFonts w:ascii="Times New Roman" w:eastAsia="Times New Roman" w:hAnsi="Times New Roman" w:cs="Times New Roman"/>
                <w:color w:val="000000"/>
                <w:sz w:val="19"/>
                <w:szCs w:val="19"/>
                <w:vertAlign w:val="superscript"/>
              </w:rPr>
              <w:t>*</w:t>
            </w:r>
            <w:r w:rsidRPr="00782B8E">
              <w:rPr>
                <w:rFonts w:ascii="Times New Roman" w:eastAsia="Times New Roman" w:hAnsi="Times New Roman" w:cs="Times New Roman"/>
                <w:color w:val="000000"/>
                <w:sz w:val="19"/>
                <w:szCs w:val="19"/>
              </w:rPr>
              <w:t>p &lt; 0.05 --- Data collected from website of Athens Clarke County Board of Tax Assessors</w:t>
            </w:r>
          </w:p>
        </w:tc>
      </w:tr>
    </w:tbl>
    <w:p w14:paraId="52159F34" w14:textId="29BE8FB2" w:rsidR="0050529D" w:rsidRDefault="0050529D" w:rsidP="00E5000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2 contains the results of my analysis of sales of </w:t>
      </w:r>
      <w:r w:rsidR="008905DB">
        <w:rPr>
          <w:rFonts w:ascii="Times New Roman" w:hAnsi="Times New Roman" w:cs="Times New Roman"/>
          <w:sz w:val="24"/>
          <w:szCs w:val="24"/>
        </w:rPr>
        <w:t xml:space="preserve">parcels labeled as commercial. Again, none of the four models report a significant coefficient on the variable of interest. These models continue to </w:t>
      </w:r>
      <w:r w:rsidR="000D14F4">
        <w:rPr>
          <w:rFonts w:ascii="Times New Roman" w:hAnsi="Times New Roman" w:cs="Times New Roman"/>
          <w:sz w:val="24"/>
          <w:szCs w:val="24"/>
        </w:rPr>
        <w:t>explain a fair amount of the variance in sale price.</w:t>
      </w:r>
    </w:p>
    <w:p w14:paraId="387180A3" w14:textId="77777777" w:rsidR="00E50004" w:rsidRDefault="000D14F4" w:rsidP="00E5000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diagnostic plots for the model that does not include housing information looks healthier for the commercial properties than it does for all properties.</w:t>
      </w:r>
      <w:r w:rsidRPr="000D14F4">
        <w:rPr>
          <w:rFonts w:ascii="Times New Roman" w:hAnsi="Times New Roman" w:cs="Times New Roman"/>
          <w:sz w:val="24"/>
          <w:szCs w:val="24"/>
        </w:rPr>
        <w:t xml:space="preserve"> </w:t>
      </w:r>
      <w:r>
        <w:rPr>
          <w:rFonts w:ascii="Times New Roman" w:hAnsi="Times New Roman" w:cs="Times New Roman"/>
          <w:sz w:val="24"/>
          <w:szCs w:val="24"/>
        </w:rPr>
        <w:t xml:space="preserve">There is evidence of some </w:t>
      </w:r>
    </w:p>
    <w:p w14:paraId="2C49D319" w14:textId="1AE7471C" w:rsidR="00E50004" w:rsidRDefault="00E50004" w:rsidP="00E50004">
      <w:pPr>
        <w:spacing w:line="480" w:lineRule="auto"/>
        <w:ind w:firstLine="720"/>
        <w:rPr>
          <w:rFonts w:ascii="Times New Roman" w:hAnsi="Times New Roman" w:cs="Times New Roman"/>
          <w:sz w:val="24"/>
          <w:szCs w:val="24"/>
        </w:rPr>
      </w:pPr>
    </w:p>
    <w:p w14:paraId="44C6A830" w14:textId="6C235FD2" w:rsidR="00FB359F" w:rsidRDefault="00E50004" w:rsidP="00E5000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heteroskedasticity in the </w:t>
      </w:r>
      <w:proofErr w:type="gramStart"/>
      <w:r>
        <w:rPr>
          <w:rFonts w:ascii="Times New Roman" w:hAnsi="Times New Roman" w:cs="Times New Roman"/>
          <w:sz w:val="24"/>
          <w:szCs w:val="24"/>
        </w:rPr>
        <w:t>residuals</w:t>
      </w:r>
      <w:proofErr w:type="gramEnd"/>
      <w:r>
        <w:rPr>
          <w:rFonts w:ascii="Times New Roman" w:hAnsi="Times New Roman" w:cs="Times New Roman"/>
          <w:sz w:val="24"/>
          <w:szCs w:val="24"/>
        </w:rPr>
        <w:t xml:space="preserve"> vs fitted plot, but the residuals appear to be distributed more-</w:t>
      </w:r>
      <w:r w:rsidR="000D14F4">
        <w:rPr>
          <w:rFonts w:ascii="Times New Roman" w:hAnsi="Times New Roman" w:cs="Times New Roman"/>
          <w:sz w:val="24"/>
          <w:szCs w:val="24"/>
        </w:rPr>
        <w:t>or-less normally and there are no impactful outliers. The diagnostics for the model that includes building information largely resembles the diagnostics for the equivalent model fit to sales of all</w:t>
      </w:r>
      <w:r>
        <w:rPr>
          <w:rFonts w:ascii="Times New Roman" w:hAnsi="Times New Roman" w:cs="Times New Roman"/>
          <w:sz w:val="24"/>
          <w:szCs w:val="24"/>
        </w:rPr>
        <w:t xml:space="preserve"> properties</w:t>
      </w:r>
    </w:p>
    <w:p w14:paraId="6E3C3CBE" w14:textId="77777777" w:rsidR="00E50004" w:rsidRDefault="000D14F4" w:rsidP="00E5000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significant outliers in these plots tend to be the same types of large, multi-family, student-oriented housing developments that the ordinance is targeted towards. The</w:t>
      </w:r>
      <w:r w:rsidR="00831309">
        <w:rPr>
          <w:rFonts w:ascii="Times New Roman" w:hAnsi="Times New Roman" w:cs="Times New Roman"/>
          <w:sz w:val="24"/>
          <w:szCs w:val="24"/>
        </w:rPr>
        <w:t xml:space="preserve"> market for these types of properties appears to be significantly different than the market for more reasonably </w:t>
      </w:r>
    </w:p>
    <w:p w14:paraId="4DEDDF55" w14:textId="0C2E7B48" w:rsidR="00831309" w:rsidRDefault="00831309" w:rsidP="00E50004">
      <w:pPr>
        <w:spacing w:line="480" w:lineRule="auto"/>
        <w:ind w:firstLine="720"/>
        <w:rPr>
          <w:rFonts w:ascii="Times New Roman" w:hAnsi="Times New Roman" w:cs="Times New Roman"/>
          <w:sz w:val="24"/>
          <w:szCs w:val="24"/>
        </w:rPr>
      </w:pPr>
      <w:r>
        <w:rPr>
          <w:rFonts w:ascii="Times New Roman" w:hAnsi="Times New Roman" w:cs="Times New Roman"/>
          <w:sz w:val="24"/>
          <w:szCs w:val="24"/>
        </w:rPr>
        <w:t>sized properties. There aren’t enough of them in the study area to effectively fit a model to that niche of the market.</w:t>
      </w:r>
    </w:p>
    <w:p w14:paraId="5A5C549B" w14:textId="2D6F3027" w:rsidR="006408AD" w:rsidRDefault="006408AD" w:rsidP="00E50004">
      <w:pPr>
        <w:spacing w:line="480" w:lineRule="auto"/>
        <w:jc w:val="center"/>
        <w:rPr>
          <w:rFonts w:ascii="Times New Roman" w:hAnsi="Times New Roman" w:cs="Times New Roman"/>
          <w:i/>
          <w:iCs/>
          <w:sz w:val="24"/>
          <w:szCs w:val="24"/>
        </w:rPr>
      </w:pPr>
      <w:r>
        <w:rPr>
          <w:rFonts w:ascii="Times New Roman" w:hAnsi="Times New Roman" w:cs="Times New Roman"/>
          <w:i/>
          <w:iCs/>
          <w:sz w:val="24"/>
          <w:szCs w:val="24"/>
        </w:rPr>
        <w:t>B. Sales of Housing Units</w:t>
      </w:r>
    </w:p>
    <w:p w14:paraId="6C84284B" w14:textId="1E02EFA1" w:rsidR="009B73F5" w:rsidRDefault="00831309" w:rsidP="00E50004">
      <w:pPr>
        <w:spacing w:line="480" w:lineRule="auto"/>
        <w:ind w:firstLine="720"/>
        <w:rPr>
          <w:rFonts w:ascii="Times New Roman" w:hAnsi="Times New Roman" w:cs="Times New Roman"/>
          <w:sz w:val="24"/>
          <w:szCs w:val="24"/>
        </w:rPr>
      </w:pPr>
      <w:r>
        <w:rPr>
          <w:rFonts w:ascii="Times New Roman" w:hAnsi="Times New Roman" w:cs="Times New Roman"/>
          <w:sz w:val="24"/>
          <w:szCs w:val="24"/>
        </w:rPr>
        <w:t>Table 3 reports the results from the three regressions that I ran on residential sales. Again, the coefficients for the variables of interest do not attain statistical significance.</w:t>
      </w:r>
      <w:r w:rsidR="00D11B0D">
        <w:rPr>
          <w:rFonts w:ascii="Times New Roman" w:hAnsi="Times New Roman" w:cs="Times New Roman"/>
          <w:sz w:val="24"/>
          <w:szCs w:val="24"/>
        </w:rPr>
        <w:t xml:space="preserve"> The model that does not include any structure information performs particularly poorly, likely because it is trying to model sales that are mostly of condos or condo-equivalents without any information on the buildings themselves.</w:t>
      </w:r>
    </w:p>
    <w:p w14:paraId="050C5954" w14:textId="77777777" w:rsidR="009B73F5" w:rsidRPr="009B73F5" w:rsidRDefault="009B73F5" w:rsidP="009B73F5">
      <w:pPr>
        <w:spacing w:line="480" w:lineRule="auto"/>
        <w:ind w:firstLine="720"/>
        <w:rPr>
          <w:rFonts w:ascii="Times New Roman" w:hAnsi="Times New Roman" w:cs="Times New Roman"/>
          <w:sz w:val="24"/>
          <w:szCs w:val="24"/>
        </w:rPr>
      </w:pPr>
      <w:r w:rsidRPr="009B73F5">
        <w:rPr>
          <w:rFonts w:ascii="Times New Roman" w:hAnsi="Times New Roman" w:cs="Times New Roman"/>
          <w:sz w:val="24"/>
          <w:szCs w:val="24"/>
        </w:rPr>
        <w:t xml:space="preserve">The diagnostic plot for that model also look strange. While there isn’t significant evidence of nonlinearity or heteroskedasticity, the residuals vs fitted plot shows a strange banding pattern. This is repeated in the scale-location plot. The Q-Q plot continues to show some evidence of left skew. The diagnostic plot for the remaining two models </w:t>
      </w:r>
      <w:proofErr w:type="gramStart"/>
      <w:r w:rsidRPr="009B73F5">
        <w:rPr>
          <w:rFonts w:ascii="Times New Roman" w:hAnsi="Times New Roman" w:cs="Times New Roman"/>
          <w:sz w:val="24"/>
          <w:szCs w:val="24"/>
        </w:rPr>
        <w:t>are</w:t>
      </w:r>
      <w:proofErr w:type="gramEnd"/>
      <w:r w:rsidRPr="009B73F5">
        <w:rPr>
          <w:rFonts w:ascii="Times New Roman" w:hAnsi="Times New Roman" w:cs="Times New Roman"/>
          <w:sz w:val="24"/>
          <w:szCs w:val="24"/>
        </w:rPr>
        <w:t xml:space="preserve"> both similar. There is a nonlinear relationship between the residuals, which appears to be driven by a few highly influential outliers.</w:t>
      </w:r>
    </w:p>
    <w:p w14:paraId="71AFADC8" w14:textId="77777777" w:rsidR="009B73F5" w:rsidRDefault="009B73F5" w:rsidP="00E50004">
      <w:pPr>
        <w:spacing w:line="480" w:lineRule="auto"/>
        <w:ind w:firstLine="720"/>
        <w:rPr>
          <w:rFonts w:ascii="Times New Roman" w:hAnsi="Times New Roman" w:cs="Times New Roman"/>
          <w:sz w:val="24"/>
          <w:szCs w:val="24"/>
        </w:rPr>
      </w:pPr>
    </w:p>
    <w:p w14:paraId="1BBC733F" w14:textId="279E0A16" w:rsidR="009B73F5" w:rsidRDefault="009B73F5" w:rsidP="009B73F5">
      <w:pPr>
        <w:spacing w:line="480" w:lineRule="auto"/>
        <w:ind w:firstLine="720"/>
        <w:rPr>
          <w:rFonts w:ascii="Times New Roman" w:hAnsi="Times New Roman" w:cs="Times New Roman"/>
          <w:sz w:val="24"/>
          <w:szCs w:val="24"/>
        </w:rPr>
      </w:pPr>
    </w:p>
    <w:tbl>
      <w:tblPr>
        <w:tblpPr w:leftFromText="187" w:rightFromText="187" w:vertAnchor="page" w:horzAnchor="margin" w:tblpY="2641"/>
        <w:tblOverlap w:val="never"/>
        <w:tblW w:w="9690" w:type="dxa"/>
        <w:tblBorders>
          <w:top w:val="single" w:sz="12" w:space="0" w:color="000000"/>
        </w:tblBorders>
        <w:tblCellMar>
          <w:top w:w="15" w:type="dxa"/>
          <w:left w:w="15" w:type="dxa"/>
          <w:bottom w:w="15" w:type="dxa"/>
          <w:right w:w="15" w:type="dxa"/>
        </w:tblCellMar>
        <w:tblLook w:val="04A0" w:firstRow="1" w:lastRow="0" w:firstColumn="1" w:lastColumn="0" w:noHBand="0" w:noVBand="1"/>
      </w:tblPr>
      <w:tblGrid>
        <w:gridCol w:w="3007"/>
        <w:gridCol w:w="3331"/>
        <w:gridCol w:w="1928"/>
        <w:gridCol w:w="1424"/>
      </w:tblGrid>
      <w:tr w:rsidR="009B73F5" w:rsidRPr="00782B8E" w14:paraId="7AC97787" w14:textId="77777777" w:rsidTr="009B73F5">
        <w:trPr>
          <w:trHeight w:val="290"/>
          <w:tblHeader/>
        </w:trPr>
        <w:tc>
          <w:tcPr>
            <w:tcW w:w="0" w:type="auto"/>
            <w:gridSpan w:val="4"/>
            <w:tcBorders>
              <w:top w:val="nil"/>
              <w:left w:val="nil"/>
              <w:bottom w:val="nil"/>
              <w:right w:val="nil"/>
            </w:tcBorders>
            <w:tcMar>
              <w:top w:w="15" w:type="dxa"/>
              <w:left w:w="75" w:type="dxa"/>
              <w:bottom w:w="15" w:type="dxa"/>
              <w:right w:w="75" w:type="dxa"/>
            </w:tcMar>
            <w:vAlign w:val="center"/>
            <w:hideMark/>
          </w:tcPr>
          <w:p w14:paraId="4BDD105C" w14:textId="77777777" w:rsidR="009B73F5" w:rsidRPr="00782B8E" w:rsidRDefault="009B73F5" w:rsidP="009B73F5">
            <w:pPr>
              <w:spacing w:after="0" w:line="240" w:lineRule="auto"/>
              <w:jc w:val="center"/>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Table 3 - Residential Parcels</w:t>
            </w:r>
          </w:p>
        </w:tc>
      </w:tr>
      <w:tr w:rsidR="009B73F5" w:rsidRPr="00782B8E" w14:paraId="2621BB53" w14:textId="77777777" w:rsidTr="009B73F5">
        <w:trPr>
          <w:trHeight w:val="597"/>
          <w:tblHeader/>
        </w:trPr>
        <w:tc>
          <w:tcPr>
            <w:tcW w:w="0" w:type="auto"/>
            <w:tcMar>
              <w:top w:w="15" w:type="dxa"/>
              <w:left w:w="75" w:type="dxa"/>
              <w:bottom w:w="15" w:type="dxa"/>
              <w:right w:w="75" w:type="dxa"/>
            </w:tcMar>
            <w:vAlign w:val="center"/>
            <w:hideMark/>
          </w:tcPr>
          <w:p w14:paraId="1DFB7BA4" w14:textId="77777777" w:rsidR="009B73F5" w:rsidRPr="00782B8E" w:rsidRDefault="009B73F5" w:rsidP="009B73F5">
            <w:pPr>
              <w:spacing w:after="0" w:line="240" w:lineRule="auto"/>
              <w:jc w:val="center"/>
              <w:rPr>
                <w:rFonts w:ascii="Times New Roman" w:eastAsia="Times New Roman" w:hAnsi="Times New Roman" w:cs="Times New Roman"/>
                <w:b/>
                <w:bCs/>
                <w:color w:val="000000"/>
                <w:sz w:val="24"/>
                <w:szCs w:val="24"/>
              </w:rPr>
            </w:pPr>
            <w:r w:rsidRPr="00782B8E">
              <w:rPr>
                <w:rFonts w:ascii="Times New Roman" w:eastAsia="Times New Roman" w:hAnsi="Times New Roman" w:cs="Times New Roman"/>
                <w:b/>
                <w:bCs/>
                <w:color w:val="000000"/>
                <w:sz w:val="24"/>
                <w:szCs w:val="24"/>
              </w:rPr>
              <w:t> </w:t>
            </w:r>
          </w:p>
        </w:tc>
        <w:tc>
          <w:tcPr>
            <w:tcW w:w="0" w:type="auto"/>
            <w:tcBorders>
              <w:bottom w:val="single" w:sz="6" w:space="0" w:color="000000"/>
            </w:tcBorders>
            <w:tcMar>
              <w:top w:w="15" w:type="dxa"/>
              <w:left w:w="75" w:type="dxa"/>
              <w:bottom w:w="15" w:type="dxa"/>
              <w:right w:w="75" w:type="dxa"/>
            </w:tcMar>
            <w:vAlign w:val="center"/>
            <w:hideMark/>
          </w:tcPr>
          <w:p w14:paraId="53C31752" w14:textId="77777777" w:rsidR="009B73F5" w:rsidRPr="00782B8E" w:rsidRDefault="009B73F5" w:rsidP="009B73F5">
            <w:pPr>
              <w:spacing w:after="0" w:line="240" w:lineRule="auto"/>
              <w:jc w:val="center"/>
              <w:rPr>
                <w:rFonts w:ascii="Times New Roman" w:eastAsia="Times New Roman" w:hAnsi="Times New Roman" w:cs="Times New Roman"/>
                <w:b/>
                <w:bCs/>
                <w:color w:val="000000"/>
                <w:sz w:val="24"/>
                <w:szCs w:val="24"/>
              </w:rPr>
            </w:pPr>
            <w:r w:rsidRPr="00782B8E">
              <w:rPr>
                <w:rFonts w:ascii="Times New Roman" w:eastAsia="Times New Roman" w:hAnsi="Times New Roman" w:cs="Times New Roman"/>
                <w:b/>
                <w:bCs/>
                <w:color w:val="000000"/>
                <w:sz w:val="24"/>
                <w:szCs w:val="24"/>
              </w:rPr>
              <w:t>Without Structure Information</w:t>
            </w:r>
          </w:p>
        </w:tc>
        <w:tc>
          <w:tcPr>
            <w:tcW w:w="0" w:type="auto"/>
            <w:gridSpan w:val="2"/>
            <w:tcBorders>
              <w:bottom w:val="single" w:sz="6" w:space="0" w:color="000000"/>
            </w:tcBorders>
            <w:tcMar>
              <w:top w:w="15" w:type="dxa"/>
              <w:left w:w="75" w:type="dxa"/>
              <w:bottom w:w="15" w:type="dxa"/>
              <w:right w:w="75" w:type="dxa"/>
            </w:tcMar>
            <w:vAlign w:val="center"/>
            <w:hideMark/>
          </w:tcPr>
          <w:p w14:paraId="7E628F55" w14:textId="77777777" w:rsidR="009B73F5" w:rsidRPr="00782B8E" w:rsidRDefault="009B73F5" w:rsidP="009B73F5">
            <w:pPr>
              <w:spacing w:after="0" w:line="240" w:lineRule="auto"/>
              <w:jc w:val="center"/>
              <w:rPr>
                <w:rFonts w:ascii="Times New Roman" w:eastAsia="Times New Roman" w:hAnsi="Times New Roman" w:cs="Times New Roman"/>
                <w:b/>
                <w:bCs/>
                <w:color w:val="000000"/>
                <w:sz w:val="24"/>
                <w:szCs w:val="24"/>
              </w:rPr>
            </w:pPr>
            <w:r w:rsidRPr="00782B8E">
              <w:rPr>
                <w:rFonts w:ascii="Times New Roman" w:eastAsia="Times New Roman" w:hAnsi="Times New Roman" w:cs="Times New Roman"/>
                <w:b/>
                <w:bCs/>
                <w:color w:val="000000"/>
                <w:sz w:val="24"/>
                <w:szCs w:val="24"/>
              </w:rPr>
              <w:t>Includes Structure Information</w:t>
            </w:r>
          </w:p>
        </w:tc>
      </w:tr>
      <w:tr w:rsidR="009B73F5" w:rsidRPr="00782B8E" w14:paraId="5DAD6FC8" w14:textId="77777777" w:rsidTr="009B73F5">
        <w:trPr>
          <w:trHeight w:val="306"/>
          <w:tblHeader/>
        </w:trPr>
        <w:tc>
          <w:tcPr>
            <w:tcW w:w="0" w:type="auto"/>
            <w:tcMar>
              <w:top w:w="15" w:type="dxa"/>
              <w:left w:w="75" w:type="dxa"/>
              <w:bottom w:w="15" w:type="dxa"/>
              <w:right w:w="75" w:type="dxa"/>
            </w:tcMar>
            <w:vAlign w:val="center"/>
            <w:hideMark/>
          </w:tcPr>
          <w:p w14:paraId="771C13F9" w14:textId="77777777" w:rsidR="009B73F5" w:rsidRPr="00782B8E" w:rsidRDefault="009B73F5" w:rsidP="009B73F5">
            <w:pPr>
              <w:spacing w:after="0" w:line="240" w:lineRule="auto"/>
              <w:jc w:val="center"/>
              <w:rPr>
                <w:rFonts w:ascii="Times New Roman" w:eastAsia="Times New Roman" w:hAnsi="Times New Roman" w:cs="Times New Roman"/>
                <w:b/>
                <w:bCs/>
                <w:color w:val="000000"/>
                <w:sz w:val="24"/>
                <w:szCs w:val="24"/>
              </w:rPr>
            </w:pPr>
            <w:r w:rsidRPr="00782B8E">
              <w:rPr>
                <w:rFonts w:ascii="Times New Roman" w:eastAsia="Times New Roman" w:hAnsi="Times New Roman" w:cs="Times New Roman"/>
                <w:b/>
                <w:bCs/>
                <w:color w:val="000000"/>
                <w:sz w:val="24"/>
                <w:szCs w:val="24"/>
              </w:rPr>
              <w:t> </w:t>
            </w:r>
          </w:p>
        </w:tc>
        <w:tc>
          <w:tcPr>
            <w:tcW w:w="0" w:type="auto"/>
            <w:tcMar>
              <w:top w:w="15" w:type="dxa"/>
              <w:left w:w="75" w:type="dxa"/>
              <w:bottom w:w="15" w:type="dxa"/>
              <w:right w:w="75" w:type="dxa"/>
            </w:tcMar>
            <w:vAlign w:val="center"/>
            <w:hideMark/>
          </w:tcPr>
          <w:p w14:paraId="0B3739D6" w14:textId="77777777" w:rsidR="009B73F5" w:rsidRPr="00782B8E" w:rsidRDefault="009B73F5" w:rsidP="009B73F5">
            <w:pPr>
              <w:spacing w:after="0" w:line="240" w:lineRule="auto"/>
              <w:jc w:val="center"/>
              <w:rPr>
                <w:rFonts w:ascii="Times New Roman" w:eastAsia="Times New Roman" w:hAnsi="Times New Roman" w:cs="Times New Roman"/>
                <w:b/>
                <w:bCs/>
                <w:color w:val="000000"/>
                <w:sz w:val="24"/>
                <w:szCs w:val="24"/>
              </w:rPr>
            </w:pPr>
            <w:r w:rsidRPr="00782B8E">
              <w:rPr>
                <w:rFonts w:ascii="Times New Roman" w:eastAsia="Times New Roman" w:hAnsi="Times New Roman" w:cs="Times New Roman"/>
                <w:b/>
                <w:bCs/>
                <w:color w:val="000000"/>
                <w:sz w:val="24"/>
                <w:szCs w:val="24"/>
              </w:rPr>
              <w:t>All Parcels</w:t>
            </w:r>
          </w:p>
        </w:tc>
        <w:tc>
          <w:tcPr>
            <w:tcW w:w="0" w:type="auto"/>
            <w:tcMar>
              <w:top w:w="15" w:type="dxa"/>
              <w:left w:w="75" w:type="dxa"/>
              <w:bottom w:w="15" w:type="dxa"/>
              <w:right w:w="75" w:type="dxa"/>
            </w:tcMar>
            <w:vAlign w:val="center"/>
            <w:hideMark/>
          </w:tcPr>
          <w:p w14:paraId="60B27C50" w14:textId="77777777" w:rsidR="009B73F5" w:rsidRPr="00782B8E" w:rsidRDefault="009B73F5" w:rsidP="009B73F5">
            <w:pPr>
              <w:spacing w:after="0" w:line="240" w:lineRule="auto"/>
              <w:jc w:val="center"/>
              <w:rPr>
                <w:rFonts w:ascii="Times New Roman" w:eastAsia="Times New Roman" w:hAnsi="Times New Roman" w:cs="Times New Roman"/>
                <w:b/>
                <w:bCs/>
                <w:color w:val="000000"/>
                <w:sz w:val="24"/>
                <w:szCs w:val="24"/>
              </w:rPr>
            </w:pPr>
            <w:r w:rsidRPr="00782B8E">
              <w:rPr>
                <w:rFonts w:ascii="Times New Roman" w:eastAsia="Times New Roman" w:hAnsi="Times New Roman" w:cs="Times New Roman"/>
                <w:b/>
                <w:bCs/>
                <w:color w:val="000000"/>
                <w:sz w:val="24"/>
                <w:szCs w:val="24"/>
              </w:rPr>
              <w:t>All Parcels</w:t>
            </w:r>
          </w:p>
        </w:tc>
        <w:tc>
          <w:tcPr>
            <w:tcW w:w="0" w:type="auto"/>
            <w:tcMar>
              <w:top w:w="15" w:type="dxa"/>
              <w:left w:w="75" w:type="dxa"/>
              <w:bottom w:w="15" w:type="dxa"/>
              <w:right w:w="75" w:type="dxa"/>
            </w:tcMar>
            <w:vAlign w:val="center"/>
            <w:hideMark/>
          </w:tcPr>
          <w:p w14:paraId="3A580465" w14:textId="77777777" w:rsidR="009B73F5" w:rsidRPr="00782B8E" w:rsidRDefault="009B73F5" w:rsidP="009B73F5">
            <w:pPr>
              <w:spacing w:after="0" w:line="240" w:lineRule="auto"/>
              <w:jc w:val="center"/>
              <w:rPr>
                <w:rFonts w:ascii="Times New Roman" w:eastAsia="Times New Roman" w:hAnsi="Times New Roman" w:cs="Times New Roman"/>
                <w:b/>
                <w:bCs/>
                <w:color w:val="000000"/>
                <w:sz w:val="24"/>
                <w:szCs w:val="24"/>
              </w:rPr>
            </w:pPr>
            <w:r w:rsidRPr="00782B8E">
              <w:rPr>
                <w:rFonts w:ascii="Times New Roman" w:eastAsia="Times New Roman" w:hAnsi="Times New Roman" w:cs="Times New Roman"/>
                <w:b/>
                <w:bCs/>
                <w:color w:val="000000"/>
                <w:sz w:val="24"/>
                <w:szCs w:val="24"/>
              </w:rPr>
              <w:t>Condos</w:t>
            </w:r>
          </w:p>
        </w:tc>
      </w:tr>
      <w:tr w:rsidR="009B73F5" w:rsidRPr="00782B8E" w14:paraId="260265D9" w14:textId="77777777" w:rsidTr="009B73F5">
        <w:trPr>
          <w:trHeight w:val="290"/>
        </w:trPr>
        <w:tc>
          <w:tcPr>
            <w:tcW w:w="0" w:type="auto"/>
            <w:tcBorders>
              <w:top w:val="single" w:sz="6" w:space="0" w:color="000000"/>
            </w:tcBorders>
            <w:tcMar>
              <w:top w:w="15" w:type="dxa"/>
              <w:left w:w="75" w:type="dxa"/>
              <w:bottom w:w="15" w:type="dxa"/>
              <w:right w:w="75" w:type="dxa"/>
            </w:tcMar>
            <w:vAlign w:val="center"/>
            <w:hideMark/>
          </w:tcPr>
          <w:p w14:paraId="61A6245F"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(Intercept)</w:t>
            </w:r>
          </w:p>
        </w:tc>
        <w:tc>
          <w:tcPr>
            <w:tcW w:w="0" w:type="auto"/>
            <w:tcBorders>
              <w:top w:val="single" w:sz="6" w:space="0" w:color="000000"/>
            </w:tcBorders>
            <w:tcMar>
              <w:top w:w="15" w:type="dxa"/>
              <w:left w:w="75" w:type="dxa"/>
              <w:bottom w:w="15" w:type="dxa"/>
              <w:right w:w="75" w:type="dxa"/>
            </w:tcMar>
            <w:vAlign w:val="center"/>
            <w:hideMark/>
          </w:tcPr>
          <w:p w14:paraId="3DCE2CC0"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12.082</w:t>
            </w:r>
            <w:r w:rsidRPr="00782B8E">
              <w:rPr>
                <w:rFonts w:ascii="Times New Roman" w:eastAsia="Times New Roman" w:hAnsi="Times New Roman" w:cs="Times New Roman"/>
                <w:color w:val="000000"/>
                <w:sz w:val="24"/>
                <w:szCs w:val="24"/>
                <w:vertAlign w:val="superscript"/>
              </w:rPr>
              <w:t>***</w:t>
            </w:r>
          </w:p>
        </w:tc>
        <w:tc>
          <w:tcPr>
            <w:tcW w:w="0" w:type="auto"/>
            <w:tcBorders>
              <w:top w:val="single" w:sz="6" w:space="0" w:color="000000"/>
            </w:tcBorders>
            <w:tcMar>
              <w:top w:w="15" w:type="dxa"/>
              <w:left w:w="75" w:type="dxa"/>
              <w:bottom w:w="15" w:type="dxa"/>
              <w:right w:w="75" w:type="dxa"/>
            </w:tcMar>
            <w:vAlign w:val="center"/>
            <w:hideMark/>
          </w:tcPr>
          <w:p w14:paraId="29978C3B"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6.952</w:t>
            </w:r>
            <w:r w:rsidRPr="00782B8E">
              <w:rPr>
                <w:rFonts w:ascii="Times New Roman" w:eastAsia="Times New Roman" w:hAnsi="Times New Roman" w:cs="Times New Roman"/>
                <w:color w:val="000000"/>
                <w:sz w:val="24"/>
                <w:szCs w:val="24"/>
                <w:vertAlign w:val="superscript"/>
              </w:rPr>
              <w:t>***</w:t>
            </w:r>
          </w:p>
        </w:tc>
        <w:tc>
          <w:tcPr>
            <w:tcW w:w="0" w:type="auto"/>
            <w:tcBorders>
              <w:top w:val="single" w:sz="6" w:space="0" w:color="000000"/>
            </w:tcBorders>
            <w:tcMar>
              <w:top w:w="15" w:type="dxa"/>
              <w:left w:w="75" w:type="dxa"/>
              <w:bottom w:w="15" w:type="dxa"/>
              <w:right w:w="75" w:type="dxa"/>
            </w:tcMar>
            <w:vAlign w:val="center"/>
            <w:hideMark/>
          </w:tcPr>
          <w:p w14:paraId="35EB7C0A"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2.238</w:t>
            </w:r>
          </w:p>
        </w:tc>
      </w:tr>
      <w:tr w:rsidR="009B73F5" w:rsidRPr="00782B8E" w14:paraId="6B56108E" w14:textId="77777777" w:rsidTr="009B73F5">
        <w:trPr>
          <w:trHeight w:val="290"/>
        </w:trPr>
        <w:tc>
          <w:tcPr>
            <w:tcW w:w="0" w:type="auto"/>
            <w:tcMar>
              <w:top w:w="15" w:type="dxa"/>
              <w:left w:w="75" w:type="dxa"/>
              <w:bottom w:w="15" w:type="dxa"/>
              <w:right w:w="75" w:type="dxa"/>
            </w:tcMar>
            <w:vAlign w:val="center"/>
            <w:hideMark/>
          </w:tcPr>
          <w:p w14:paraId="450A03FB"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c>
          <w:tcPr>
            <w:tcW w:w="0" w:type="auto"/>
            <w:tcMar>
              <w:top w:w="15" w:type="dxa"/>
              <w:left w:w="75" w:type="dxa"/>
              <w:bottom w:w="15" w:type="dxa"/>
              <w:right w:w="75" w:type="dxa"/>
            </w:tcMar>
            <w:vAlign w:val="center"/>
            <w:hideMark/>
          </w:tcPr>
          <w:p w14:paraId="2C479F55"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(0.296)</w:t>
            </w:r>
          </w:p>
        </w:tc>
        <w:tc>
          <w:tcPr>
            <w:tcW w:w="0" w:type="auto"/>
            <w:tcMar>
              <w:top w:w="15" w:type="dxa"/>
              <w:left w:w="75" w:type="dxa"/>
              <w:bottom w:w="15" w:type="dxa"/>
              <w:right w:w="75" w:type="dxa"/>
            </w:tcMar>
            <w:vAlign w:val="center"/>
            <w:hideMark/>
          </w:tcPr>
          <w:p w14:paraId="52B84FFA"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(1.180)</w:t>
            </w:r>
          </w:p>
        </w:tc>
        <w:tc>
          <w:tcPr>
            <w:tcW w:w="0" w:type="auto"/>
            <w:tcMar>
              <w:top w:w="15" w:type="dxa"/>
              <w:left w:w="75" w:type="dxa"/>
              <w:bottom w:w="15" w:type="dxa"/>
              <w:right w:w="75" w:type="dxa"/>
            </w:tcMar>
            <w:vAlign w:val="center"/>
            <w:hideMark/>
          </w:tcPr>
          <w:p w14:paraId="03E10A55"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(1.280)</w:t>
            </w:r>
          </w:p>
        </w:tc>
      </w:tr>
      <w:tr w:rsidR="009B73F5" w:rsidRPr="00782B8E" w14:paraId="436221E7" w14:textId="77777777" w:rsidTr="009B73F5">
        <w:trPr>
          <w:trHeight w:val="306"/>
        </w:trPr>
        <w:tc>
          <w:tcPr>
            <w:tcW w:w="0" w:type="auto"/>
            <w:tcMar>
              <w:top w:w="15" w:type="dxa"/>
              <w:left w:w="75" w:type="dxa"/>
              <w:bottom w:w="15" w:type="dxa"/>
              <w:right w:w="75" w:type="dxa"/>
            </w:tcMar>
            <w:vAlign w:val="center"/>
            <w:hideMark/>
          </w:tcPr>
          <w:p w14:paraId="5FC601D5"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proofErr w:type="gramStart"/>
            <w:r w:rsidRPr="00782B8E">
              <w:rPr>
                <w:rFonts w:ascii="Times New Roman" w:eastAsia="Times New Roman" w:hAnsi="Times New Roman" w:cs="Times New Roman"/>
                <w:color w:val="000000"/>
                <w:sz w:val="24"/>
                <w:szCs w:val="24"/>
              </w:rPr>
              <w:t>ln(</w:t>
            </w:r>
            <w:proofErr w:type="gramEnd"/>
            <w:r w:rsidRPr="00782B8E">
              <w:rPr>
                <w:rFonts w:ascii="Times New Roman" w:eastAsia="Times New Roman" w:hAnsi="Times New Roman" w:cs="Times New Roman"/>
                <w:color w:val="000000"/>
                <w:sz w:val="24"/>
                <w:szCs w:val="24"/>
              </w:rPr>
              <w:t>Acres)</w:t>
            </w:r>
          </w:p>
        </w:tc>
        <w:tc>
          <w:tcPr>
            <w:tcW w:w="0" w:type="auto"/>
            <w:tcMar>
              <w:top w:w="15" w:type="dxa"/>
              <w:left w:w="75" w:type="dxa"/>
              <w:bottom w:w="15" w:type="dxa"/>
              <w:right w:w="75" w:type="dxa"/>
            </w:tcMar>
            <w:vAlign w:val="center"/>
            <w:hideMark/>
          </w:tcPr>
          <w:p w14:paraId="4A413819"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0.053</w:t>
            </w:r>
          </w:p>
        </w:tc>
        <w:tc>
          <w:tcPr>
            <w:tcW w:w="0" w:type="auto"/>
            <w:tcMar>
              <w:top w:w="15" w:type="dxa"/>
              <w:left w:w="75" w:type="dxa"/>
              <w:bottom w:w="15" w:type="dxa"/>
              <w:right w:w="75" w:type="dxa"/>
            </w:tcMar>
            <w:vAlign w:val="center"/>
            <w:hideMark/>
          </w:tcPr>
          <w:p w14:paraId="4311EA41"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0.076</w:t>
            </w:r>
            <w:r w:rsidRPr="00782B8E">
              <w:rPr>
                <w:rFonts w:ascii="Times New Roman" w:eastAsia="Times New Roman" w:hAnsi="Times New Roman" w:cs="Times New Roman"/>
                <w:color w:val="000000"/>
                <w:sz w:val="24"/>
                <w:szCs w:val="24"/>
                <w:vertAlign w:val="superscript"/>
              </w:rPr>
              <w:t>***</w:t>
            </w:r>
          </w:p>
        </w:tc>
        <w:tc>
          <w:tcPr>
            <w:tcW w:w="0" w:type="auto"/>
            <w:tcMar>
              <w:top w:w="15" w:type="dxa"/>
              <w:left w:w="75" w:type="dxa"/>
              <w:bottom w:w="15" w:type="dxa"/>
              <w:right w:w="75" w:type="dxa"/>
            </w:tcMar>
            <w:vAlign w:val="center"/>
            <w:hideMark/>
          </w:tcPr>
          <w:p w14:paraId="21548AEB"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r>
      <w:tr w:rsidR="009B73F5" w:rsidRPr="00782B8E" w14:paraId="0D51867C" w14:textId="77777777" w:rsidTr="009B73F5">
        <w:trPr>
          <w:trHeight w:val="290"/>
        </w:trPr>
        <w:tc>
          <w:tcPr>
            <w:tcW w:w="0" w:type="auto"/>
            <w:tcMar>
              <w:top w:w="15" w:type="dxa"/>
              <w:left w:w="75" w:type="dxa"/>
              <w:bottom w:w="15" w:type="dxa"/>
              <w:right w:w="75" w:type="dxa"/>
            </w:tcMar>
            <w:vAlign w:val="center"/>
            <w:hideMark/>
          </w:tcPr>
          <w:p w14:paraId="26BB6E2A"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c>
          <w:tcPr>
            <w:tcW w:w="0" w:type="auto"/>
            <w:tcMar>
              <w:top w:w="15" w:type="dxa"/>
              <w:left w:w="75" w:type="dxa"/>
              <w:bottom w:w="15" w:type="dxa"/>
              <w:right w:w="75" w:type="dxa"/>
            </w:tcMar>
            <w:vAlign w:val="center"/>
            <w:hideMark/>
          </w:tcPr>
          <w:p w14:paraId="7F7E1387"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(0.032)</w:t>
            </w:r>
          </w:p>
        </w:tc>
        <w:tc>
          <w:tcPr>
            <w:tcW w:w="0" w:type="auto"/>
            <w:tcMar>
              <w:top w:w="15" w:type="dxa"/>
              <w:left w:w="75" w:type="dxa"/>
              <w:bottom w:w="15" w:type="dxa"/>
              <w:right w:w="75" w:type="dxa"/>
            </w:tcMar>
            <w:vAlign w:val="center"/>
            <w:hideMark/>
          </w:tcPr>
          <w:p w14:paraId="22C00CD1"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(0.021)</w:t>
            </w:r>
          </w:p>
        </w:tc>
        <w:tc>
          <w:tcPr>
            <w:tcW w:w="0" w:type="auto"/>
            <w:tcMar>
              <w:top w:w="15" w:type="dxa"/>
              <w:left w:w="75" w:type="dxa"/>
              <w:bottom w:w="15" w:type="dxa"/>
              <w:right w:w="75" w:type="dxa"/>
            </w:tcMar>
            <w:vAlign w:val="center"/>
            <w:hideMark/>
          </w:tcPr>
          <w:p w14:paraId="3CB8819F"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r>
      <w:tr w:rsidR="009B73F5" w:rsidRPr="00782B8E" w14:paraId="5455FDB8" w14:textId="77777777" w:rsidTr="009B73F5">
        <w:trPr>
          <w:trHeight w:val="306"/>
        </w:trPr>
        <w:tc>
          <w:tcPr>
            <w:tcW w:w="0" w:type="auto"/>
            <w:tcMar>
              <w:top w:w="15" w:type="dxa"/>
              <w:left w:w="75" w:type="dxa"/>
              <w:bottom w:w="15" w:type="dxa"/>
              <w:right w:w="75" w:type="dxa"/>
            </w:tcMar>
            <w:vAlign w:val="center"/>
            <w:hideMark/>
          </w:tcPr>
          <w:p w14:paraId="0BA0EEBC"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C-D Zoned</w:t>
            </w:r>
          </w:p>
        </w:tc>
        <w:tc>
          <w:tcPr>
            <w:tcW w:w="0" w:type="auto"/>
            <w:tcMar>
              <w:top w:w="15" w:type="dxa"/>
              <w:left w:w="75" w:type="dxa"/>
              <w:bottom w:w="15" w:type="dxa"/>
              <w:right w:w="75" w:type="dxa"/>
            </w:tcMar>
            <w:vAlign w:val="center"/>
            <w:hideMark/>
          </w:tcPr>
          <w:p w14:paraId="37F351CD"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0.281</w:t>
            </w:r>
          </w:p>
        </w:tc>
        <w:tc>
          <w:tcPr>
            <w:tcW w:w="0" w:type="auto"/>
            <w:tcMar>
              <w:top w:w="15" w:type="dxa"/>
              <w:left w:w="75" w:type="dxa"/>
              <w:bottom w:w="15" w:type="dxa"/>
              <w:right w:w="75" w:type="dxa"/>
            </w:tcMar>
            <w:vAlign w:val="center"/>
            <w:hideMark/>
          </w:tcPr>
          <w:p w14:paraId="0C960576"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0.601</w:t>
            </w:r>
            <w:r w:rsidRPr="00782B8E">
              <w:rPr>
                <w:rFonts w:ascii="Times New Roman" w:eastAsia="Times New Roman" w:hAnsi="Times New Roman" w:cs="Times New Roman"/>
                <w:color w:val="000000"/>
                <w:sz w:val="24"/>
                <w:szCs w:val="24"/>
                <w:vertAlign w:val="superscript"/>
              </w:rPr>
              <w:t>***</w:t>
            </w:r>
          </w:p>
        </w:tc>
        <w:tc>
          <w:tcPr>
            <w:tcW w:w="0" w:type="auto"/>
            <w:tcMar>
              <w:top w:w="15" w:type="dxa"/>
              <w:left w:w="75" w:type="dxa"/>
              <w:bottom w:w="15" w:type="dxa"/>
              <w:right w:w="75" w:type="dxa"/>
            </w:tcMar>
            <w:vAlign w:val="center"/>
            <w:hideMark/>
          </w:tcPr>
          <w:p w14:paraId="725C2720"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0.994</w:t>
            </w:r>
            <w:r w:rsidRPr="00782B8E">
              <w:rPr>
                <w:rFonts w:ascii="Times New Roman" w:eastAsia="Times New Roman" w:hAnsi="Times New Roman" w:cs="Times New Roman"/>
                <w:color w:val="000000"/>
                <w:sz w:val="24"/>
                <w:szCs w:val="24"/>
                <w:vertAlign w:val="superscript"/>
              </w:rPr>
              <w:t>***</w:t>
            </w:r>
          </w:p>
        </w:tc>
      </w:tr>
      <w:tr w:rsidR="009B73F5" w:rsidRPr="00782B8E" w14:paraId="39208254" w14:textId="77777777" w:rsidTr="009B73F5">
        <w:trPr>
          <w:trHeight w:val="290"/>
        </w:trPr>
        <w:tc>
          <w:tcPr>
            <w:tcW w:w="0" w:type="auto"/>
            <w:tcMar>
              <w:top w:w="15" w:type="dxa"/>
              <w:left w:w="75" w:type="dxa"/>
              <w:bottom w:w="15" w:type="dxa"/>
              <w:right w:w="75" w:type="dxa"/>
            </w:tcMar>
            <w:vAlign w:val="center"/>
            <w:hideMark/>
          </w:tcPr>
          <w:p w14:paraId="01F368DE"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c>
          <w:tcPr>
            <w:tcW w:w="0" w:type="auto"/>
            <w:tcMar>
              <w:top w:w="15" w:type="dxa"/>
              <w:left w:w="75" w:type="dxa"/>
              <w:bottom w:w="15" w:type="dxa"/>
              <w:right w:w="75" w:type="dxa"/>
            </w:tcMar>
            <w:vAlign w:val="center"/>
            <w:hideMark/>
          </w:tcPr>
          <w:p w14:paraId="720ACB23"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(0.181)</w:t>
            </w:r>
          </w:p>
        </w:tc>
        <w:tc>
          <w:tcPr>
            <w:tcW w:w="0" w:type="auto"/>
            <w:tcMar>
              <w:top w:w="15" w:type="dxa"/>
              <w:left w:w="75" w:type="dxa"/>
              <w:bottom w:w="15" w:type="dxa"/>
              <w:right w:w="75" w:type="dxa"/>
            </w:tcMar>
            <w:vAlign w:val="center"/>
            <w:hideMark/>
          </w:tcPr>
          <w:p w14:paraId="231FEA4A"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(0.112)</w:t>
            </w:r>
          </w:p>
        </w:tc>
        <w:tc>
          <w:tcPr>
            <w:tcW w:w="0" w:type="auto"/>
            <w:tcMar>
              <w:top w:w="15" w:type="dxa"/>
              <w:left w:w="75" w:type="dxa"/>
              <w:bottom w:w="15" w:type="dxa"/>
              <w:right w:w="75" w:type="dxa"/>
            </w:tcMar>
            <w:vAlign w:val="center"/>
            <w:hideMark/>
          </w:tcPr>
          <w:p w14:paraId="1A6BEAEF"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(0.084)</w:t>
            </w:r>
          </w:p>
        </w:tc>
      </w:tr>
      <w:tr w:rsidR="009B73F5" w:rsidRPr="00782B8E" w14:paraId="7B42FC65" w14:textId="77777777" w:rsidTr="009B73F5">
        <w:trPr>
          <w:trHeight w:val="290"/>
        </w:trPr>
        <w:tc>
          <w:tcPr>
            <w:tcW w:w="0" w:type="auto"/>
            <w:tcMar>
              <w:top w:w="15" w:type="dxa"/>
              <w:left w:w="75" w:type="dxa"/>
              <w:bottom w:w="15" w:type="dxa"/>
              <w:right w:w="75" w:type="dxa"/>
            </w:tcMar>
            <w:vAlign w:val="center"/>
            <w:hideMark/>
          </w:tcPr>
          <w:p w14:paraId="2F34B080"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Distance to Arch</w:t>
            </w:r>
          </w:p>
        </w:tc>
        <w:tc>
          <w:tcPr>
            <w:tcW w:w="0" w:type="auto"/>
            <w:tcMar>
              <w:top w:w="15" w:type="dxa"/>
              <w:left w:w="75" w:type="dxa"/>
              <w:bottom w:w="15" w:type="dxa"/>
              <w:right w:w="75" w:type="dxa"/>
            </w:tcMar>
            <w:vAlign w:val="center"/>
            <w:hideMark/>
          </w:tcPr>
          <w:p w14:paraId="1363EC21"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0.000</w:t>
            </w:r>
          </w:p>
        </w:tc>
        <w:tc>
          <w:tcPr>
            <w:tcW w:w="0" w:type="auto"/>
            <w:tcMar>
              <w:top w:w="15" w:type="dxa"/>
              <w:left w:w="75" w:type="dxa"/>
              <w:bottom w:w="15" w:type="dxa"/>
              <w:right w:w="75" w:type="dxa"/>
            </w:tcMar>
            <w:vAlign w:val="center"/>
            <w:hideMark/>
          </w:tcPr>
          <w:p w14:paraId="7B66685B"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0.000</w:t>
            </w:r>
          </w:p>
        </w:tc>
        <w:tc>
          <w:tcPr>
            <w:tcW w:w="0" w:type="auto"/>
            <w:tcMar>
              <w:top w:w="15" w:type="dxa"/>
              <w:left w:w="75" w:type="dxa"/>
              <w:bottom w:w="15" w:type="dxa"/>
              <w:right w:w="75" w:type="dxa"/>
            </w:tcMar>
            <w:vAlign w:val="center"/>
            <w:hideMark/>
          </w:tcPr>
          <w:p w14:paraId="22BE5802"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0.000</w:t>
            </w:r>
            <w:r w:rsidRPr="00782B8E">
              <w:rPr>
                <w:rFonts w:ascii="Times New Roman" w:eastAsia="Times New Roman" w:hAnsi="Times New Roman" w:cs="Times New Roman"/>
                <w:color w:val="000000"/>
                <w:sz w:val="24"/>
                <w:szCs w:val="24"/>
                <w:vertAlign w:val="superscript"/>
              </w:rPr>
              <w:t>**</w:t>
            </w:r>
          </w:p>
        </w:tc>
      </w:tr>
      <w:tr w:rsidR="009B73F5" w:rsidRPr="00782B8E" w14:paraId="6CF1304F" w14:textId="77777777" w:rsidTr="009B73F5">
        <w:trPr>
          <w:trHeight w:val="306"/>
        </w:trPr>
        <w:tc>
          <w:tcPr>
            <w:tcW w:w="0" w:type="auto"/>
            <w:tcMar>
              <w:top w:w="15" w:type="dxa"/>
              <w:left w:w="75" w:type="dxa"/>
              <w:bottom w:w="15" w:type="dxa"/>
              <w:right w:w="75" w:type="dxa"/>
            </w:tcMar>
            <w:vAlign w:val="center"/>
            <w:hideMark/>
          </w:tcPr>
          <w:p w14:paraId="53D9AD52"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c>
          <w:tcPr>
            <w:tcW w:w="0" w:type="auto"/>
            <w:tcMar>
              <w:top w:w="15" w:type="dxa"/>
              <w:left w:w="75" w:type="dxa"/>
              <w:bottom w:w="15" w:type="dxa"/>
              <w:right w:w="75" w:type="dxa"/>
            </w:tcMar>
            <w:vAlign w:val="center"/>
            <w:hideMark/>
          </w:tcPr>
          <w:p w14:paraId="60DAFBBA"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(0.000)</w:t>
            </w:r>
          </w:p>
        </w:tc>
        <w:tc>
          <w:tcPr>
            <w:tcW w:w="0" w:type="auto"/>
            <w:tcMar>
              <w:top w:w="15" w:type="dxa"/>
              <w:left w:w="75" w:type="dxa"/>
              <w:bottom w:w="15" w:type="dxa"/>
              <w:right w:w="75" w:type="dxa"/>
            </w:tcMar>
            <w:vAlign w:val="center"/>
            <w:hideMark/>
          </w:tcPr>
          <w:p w14:paraId="4BF7FFB6"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(0.000)</w:t>
            </w:r>
          </w:p>
        </w:tc>
        <w:tc>
          <w:tcPr>
            <w:tcW w:w="0" w:type="auto"/>
            <w:tcMar>
              <w:top w:w="15" w:type="dxa"/>
              <w:left w:w="75" w:type="dxa"/>
              <w:bottom w:w="15" w:type="dxa"/>
              <w:right w:w="75" w:type="dxa"/>
            </w:tcMar>
            <w:vAlign w:val="center"/>
            <w:hideMark/>
          </w:tcPr>
          <w:p w14:paraId="0419CD9A"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(0.000)</w:t>
            </w:r>
          </w:p>
        </w:tc>
      </w:tr>
      <w:tr w:rsidR="009B73F5" w:rsidRPr="00782B8E" w14:paraId="3D1C7233" w14:textId="77777777" w:rsidTr="009B73F5">
        <w:trPr>
          <w:trHeight w:val="290"/>
        </w:trPr>
        <w:tc>
          <w:tcPr>
            <w:tcW w:w="0" w:type="auto"/>
            <w:tcMar>
              <w:top w:w="15" w:type="dxa"/>
              <w:left w:w="75" w:type="dxa"/>
              <w:bottom w:w="15" w:type="dxa"/>
              <w:right w:w="75" w:type="dxa"/>
            </w:tcMar>
            <w:vAlign w:val="center"/>
            <w:hideMark/>
          </w:tcPr>
          <w:p w14:paraId="7BD73CB5"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Moratorium</w:t>
            </w:r>
          </w:p>
        </w:tc>
        <w:tc>
          <w:tcPr>
            <w:tcW w:w="0" w:type="auto"/>
            <w:tcMar>
              <w:top w:w="15" w:type="dxa"/>
              <w:left w:w="75" w:type="dxa"/>
              <w:bottom w:w="15" w:type="dxa"/>
              <w:right w:w="75" w:type="dxa"/>
            </w:tcMar>
            <w:vAlign w:val="center"/>
            <w:hideMark/>
          </w:tcPr>
          <w:p w14:paraId="0B40EF42"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0.201</w:t>
            </w:r>
          </w:p>
        </w:tc>
        <w:tc>
          <w:tcPr>
            <w:tcW w:w="0" w:type="auto"/>
            <w:tcMar>
              <w:top w:w="15" w:type="dxa"/>
              <w:left w:w="75" w:type="dxa"/>
              <w:bottom w:w="15" w:type="dxa"/>
              <w:right w:w="75" w:type="dxa"/>
            </w:tcMar>
            <w:vAlign w:val="center"/>
            <w:hideMark/>
          </w:tcPr>
          <w:p w14:paraId="5527620F"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0.264</w:t>
            </w:r>
            <w:r w:rsidRPr="00782B8E">
              <w:rPr>
                <w:rFonts w:ascii="Times New Roman" w:eastAsia="Times New Roman" w:hAnsi="Times New Roman" w:cs="Times New Roman"/>
                <w:color w:val="000000"/>
                <w:sz w:val="24"/>
                <w:szCs w:val="24"/>
                <w:vertAlign w:val="superscript"/>
              </w:rPr>
              <w:t>***</w:t>
            </w:r>
          </w:p>
        </w:tc>
        <w:tc>
          <w:tcPr>
            <w:tcW w:w="0" w:type="auto"/>
            <w:tcMar>
              <w:top w:w="15" w:type="dxa"/>
              <w:left w:w="75" w:type="dxa"/>
              <w:bottom w:w="15" w:type="dxa"/>
              <w:right w:w="75" w:type="dxa"/>
            </w:tcMar>
            <w:vAlign w:val="center"/>
            <w:hideMark/>
          </w:tcPr>
          <w:p w14:paraId="62E9C44C"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-0.106</w:t>
            </w:r>
          </w:p>
        </w:tc>
      </w:tr>
      <w:tr w:rsidR="009B73F5" w:rsidRPr="00782B8E" w14:paraId="772A0D88" w14:textId="77777777" w:rsidTr="009B73F5">
        <w:trPr>
          <w:trHeight w:val="306"/>
        </w:trPr>
        <w:tc>
          <w:tcPr>
            <w:tcW w:w="0" w:type="auto"/>
            <w:tcMar>
              <w:top w:w="15" w:type="dxa"/>
              <w:left w:w="75" w:type="dxa"/>
              <w:bottom w:w="15" w:type="dxa"/>
              <w:right w:w="75" w:type="dxa"/>
            </w:tcMar>
            <w:vAlign w:val="center"/>
            <w:hideMark/>
          </w:tcPr>
          <w:p w14:paraId="0755D929"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c>
          <w:tcPr>
            <w:tcW w:w="0" w:type="auto"/>
            <w:tcMar>
              <w:top w:w="15" w:type="dxa"/>
              <w:left w:w="75" w:type="dxa"/>
              <w:bottom w:w="15" w:type="dxa"/>
              <w:right w:w="75" w:type="dxa"/>
            </w:tcMar>
            <w:vAlign w:val="center"/>
            <w:hideMark/>
          </w:tcPr>
          <w:p w14:paraId="0378AA14"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(0.102)</w:t>
            </w:r>
          </w:p>
        </w:tc>
        <w:tc>
          <w:tcPr>
            <w:tcW w:w="0" w:type="auto"/>
            <w:tcMar>
              <w:top w:w="15" w:type="dxa"/>
              <w:left w:w="75" w:type="dxa"/>
              <w:bottom w:w="15" w:type="dxa"/>
              <w:right w:w="75" w:type="dxa"/>
            </w:tcMar>
            <w:vAlign w:val="center"/>
            <w:hideMark/>
          </w:tcPr>
          <w:p w14:paraId="47216CE0"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(0.065)</w:t>
            </w:r>
          </w:p>
        </w:tc>
        <w:tc>
          <w:tcPr>
            <w:tcW w:w="0" w:type="auto"/>
            <w:tcMar>
              <w:top w:w="15" w:type="dxa"/>
              <w:left w:w="75" w:type="dxa"/>
              <w:bottom w:w="15" w:type="dxa"/>
              <w:right w:w="75" w:type="dxa"/>
            </w:tcMar>
            <w:vAlign w:val="center"/>
            <w:hideMark/>
          </w:tcPr>
          <w:p w14:paraId="685A9C46"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(0.071)</w:t>
            </w:r>
          </w:p>
        </w:tc>
      </w:tr>
      <w:tr w:rsidR="009B73F5" w:rsidRPr="00782B8E" w14:paraId="0993C646" w14:textId="77777777" w:rsidTr="009B73F5">
        <w:trPr>
          <w:trHeight w:val="581"/>
        </w:trPr>
        <w:tc>
          <w:tcPr>
            <w:tcW w:w="0" w:type="auto"/>
            <w:tcMar>
              <w:top w:w="15" w:type="dxa"/>
              <w:left w:w="75" w:type="dxa"/>
              <w:bottom w:w="15" w:type="dxa"/>
              <w:right w:w="75" w:type="dxa"/>
            </w:tcMar>
            <w:vAlign w:val="center"/>
            <w:hideMark/>
          </w:tcPr>
          <w:p w14:paraId="23560E06"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C-D Zoned AND Moratorium</w:t>
            </w:r>
          </w:p>
        </w:tc>
        <w:tc>
          <w:tcPr>
            <w:tcW w:w="0" w:type="auto"/>
            <w:tcMar>
              <w:top w:w="15" w:type="dxa"/>
              <w:left w:w="75" w:type="dxa"/>
              <w:bottom w:w="15" w:type="dxa"/>
              <w:right w:w="75" w:type="dxa"/>
            </w:tcMar>
            <w:vAlign w:val="center"/>
            <w:hideMark/>
          </w:tcPr>
          <w:p w14:paraId="3764BA25"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0.091</w:t>
            </w:r>
          </w:p>
        </w:tc>
        <w:tc>
          <w:tcPr>
            <w:tcW w:w="0" w:type="auto"/>
            <w:tcMar>
              <w:top w:w="15" w:type="dxa"/>
              <w:left w:w="75" w:type="dxa"/>
              <w:bottom w:w="15" w:type="dxa"/>
              <w:right w:w="75" w:type="dxa"/>
            </w:tcMar>
            <w:vAlign w:val="center"/>
            <w:hideMark/>
          </w:tcPr>
          <w:p w14:paraId="2E45FF99"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0.052</w:t>
            </w:r>
          </w:p>
        </w:tc>
        <w:tc>
          <w:tcPr>
            <w:tcW w:w="0" w:type="auto"/>
            <w:tcMar>
              <w:top w:w="15" w:type="dxa"/>
              <w:left w:w="75" w:type="dxa"/>
              <w:bottom w:w="15" w:type="dxa"/>
              <w:right w:w="75" w:type="dxa"/>
            </w:tcMar>
            <w:vAlign w:val="center"/>
            <w:hideMark/>
          </w:tcPr>
          <w:p w14:paraId="4E6B6879"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r>
      <w:tr w:rsidR="009B73F5" w:rsidRPr="00782B8E" w14:paraId="74C8A8C6" w14:textId="77777777" w:rsidTr="009B73F5">
        <w:trPr>
          <w:trHeight w:val="306"/>
        </w:trPr>
        <w:tc>
          <w:tcPr>
            <w:tcW w:w="0" w:type="auto"/>
            <w:tcMar>
              <w:top w:w="15" w:type="dxa"/>
              <w:left w:w="75" w:type="dxa"/>
              <w:bottom w:w="15" w:type="dxa"/>
              <w:right w:w="75" w:type="dxa"/>
            </w:tcMar>
            <w:vAlign w:val="center"/>
            <w:hideMark/>
          </w:tcPr>
          <w:p w14:paraId="052A1684"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c>
          <w:tcPr>
            <w:tcW w:w="0" w:type="auto"/>
            <w:tcMar>
              <w:top w:w="15" w:type="dxa"/>
              <w:left w:w="75" w:type="dxa"/>
              <w:bottom w:w="15" w:type="dxa"/>
              <w:right w:w="75" w:type="dxa"/>
            </w:tcMar>
            <w:vAlign w:val="center"/>
            <w:hideMark/>
          </w:tcPr>
          <w:p w14:paraId="3AAE8A70"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(0.147)</w:t>
            </w:r>
          </w:p>
        </w:tc>
        <w:tc>
          <w:tcPr>
            <w:tcW w:w="0" w:type="auto"/>
            <w:tcMar>
              <w:top w:w="15" w:type="dxa"/>
              <w:left w:w="75" w:type="dxa"/>
              <w:bottom w:w="15" w:type="dxa"/>
              <w:right w:w="75" w:type="dxa"/>
            </w:tcMar>
            <w:vAlign w:val="center"/>
            <w:hideMark/>
          </w:tcPr>
          <w:p w14:paraId="5501C546"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(0.087)</w:t>
            </w:r>
          </w:p>
        </w:tc>
        <w:tc>
          <w:tcPr>
            <w:tcW w:w="0" w:type="auto"/>
            <w:tcMar>
              <w:top w:w="15" w:type="dxa"/>
              <w:left w:w="75" w:type="dxa"/>
              <w:bottom w:w="15" w:type="dxa"/>
              <w:right w:w="75" w:type="dxa"/>
            </w:tcMar>
            <w:vAlign w:val="center"/>
            <w:hideMark/>
          </w:tcPr>
          <w:p w14:paraId="3FF9FF6C"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r>
      <w:tr w:rsidR="009B73F5" w:rsidRPr="00782B8E" w14:paraId="367616DC" w14:textId="77777777" w:rsidTr="009B73F5">
        <w:trPr>
          <w:trHeight w:val="290"/>
        </w:trPr>
        <w:tc>
          <w:tcPr>
            <w:tcW w:w="0" w:type="auto"/>
            <w:tcMar>
              <w:top w:w="15" w:type="dxa"/>
              <w:left w:w="75" w:type="dxa"/>
              <w:bottom w:w="15" w:type="dxa"/>
              <w:right w:w="75" w:type="dxa"/>
            </w:tcMar>
            <w:vAlign w:val="center"/>
            <w:hideMark/>
          </w:tcPr>
          <w:p w14:paraId="50FFAC44"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Total # of Structures</w:t>
            </w:r>
          </w:p>
        </w:tc>
        <w:tc>
          <w:tcPr>
            <w:tcW w:w="0" w:type="auto"/>
            <w:tcMar>
              <w:top w:w="15" w:type="dxa"/>
              <w:left w:w="75" w:type="dxa"/>
              <w:bottom w:w="15" w:type="dxa"/>
              <w:right w:w="75" w:type="dxa"/>
            </w:tcMar>
            <w:vAlign w:val="center"/>
            <w:hideMark/>
          </w:tcPr>
          <w:p w14:paraId="7B807BC0"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c>
          <w:tcPr>
            <w:tcW w:w="0" w:type="auto"/>
            <w:tcMar>
              <w:top w:w="15" w:type="dxa"/>
              <w:left w:w="75" w:type="dxa"/>
              <w:bottom w:w="15" w:type="dxa"/>
              <w:right w:w="75" w:type="dxa"/>
            </w:tcMar>
            <w:vAlign w:val="center"/>
            <w:hideMark/>
          </w:tcPr>
          <w:p w14:paraId="0B1866CB"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-0.387</w:t>
            </w:r>
            <w:r w:rsidRPr="00782B8E">
              <w:rPr>
                <w:rFonts w:ascii="Times New Roman" w:eastAsia="Times New Roman" w:hAnsi="Times New Roman" w:cs="Times New Roman"/>
                <w:color w:val="000000"/>
                <w:sz w:val="24"/>
                <w:szCs w:val="24"/>
                <w:vertAlign w:val="superscript"/>
              </w:rPr>
              <w:t>**</w:t>
            </w:r>
          </w:p>
        </w:tc>
        <w:tc>
          <w:tcPr>
            <w:tcW w:w="0" w:type="auto"/>
            <w:tcMar>
              <w:top w:w="15" w:type="dxa"/>
              <w:left w:w="75" w:type="dxa"/>
              <w:bottom w:w="15" w:type="dxa"/>
              <w:right w:w="75" w:type="dxa"/>
            </w:tcMar>
            <w:vAlign w:val="center"/>
            <w:hideMark/>
          </w:tcPr>
          <w:p w14:paraId="422C3EE8"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r>
      <w:tr w:rsidR="009B73F5" w:rsidRPr="00782B8E" w14:paraId="689FE743" w14:textId="77777777" w:rsidTr="009B73F5">
        <w:trPr>
          <w:trHeight w:val="306"/>
        </w:trPr>
        <w:tc>
          <w:tcPr>
            <w:tcW w:w="0" w:type="auto"/>
            <w:tcMar>
              <w:top w:w="15" w:type="dxa"/>
              <w:left w:w="75" w:type="dxa"/>
              <w:bottom w:w="15" w:type="dxa"/>
              <w:right w:w="75" w:type="dxa"/>
            </w:tcMar>
            <w:vAlign w:val="center"/>
            <w:hideMark/>
          </w:tcPr>
          <w:p w14:paraId="6B57C1D2"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c>
          <w:tcPr>
            <w:tcW w:w="0" w:type="auto"/>
            <w:tcMar>
              <w:top w:w="15" w:type="dxa"/>
              <w:left w:w="75" w:type="dxa"/>
              <w:bottom w:w="15" w:type="dxa"/>
              <w:right w:w="75" w:type="dxa"/>
            </w:tcMar>
            <w:vAlign w:val="center"/>
            <w:hideMark/>
          </w:tcPr>
          <w:p w14:paraId="20B39592"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c>
          <w:tcPr>
            <w:tcW w:w="0" w:type="auto"/>
            <w:tcMar>
              <w:top w:w="15" w:type="dxa"/>
              <w:left w:w="75" w:type="dxa"/>
              <w:bottom w:w="15" w:type="dxa"/>
              <w:right w:w="75" w:type="dxa"/>
            </w:tcMar>
            <w:vAlign w:val="center"/>
            <w:hideMark/>
          </w:tcPr>
          <w:p w14:paraId="247DB451"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(0.139)</w:t>
            </w:r>
          </w:p>
        </w:tc>
        <w:tc>
          <w:tcPr>
            <w:tcW w:w="0" w:type="auto"/>
            <w:tcMar>
              <w:top w:w="15" w:type="dxa"/>
              <w:left w:w="75" w:type="dxa"/>
              <w:bottom w:w="15" w:type="dxa"/>
              <w:right w:w="75" w:type="dxa"/>
            </w:tcMar>
            <w:vAlign w:val="center"/>
            <w:hideMark/>
          </w:tcPr>
          <w:p w14:paraId="057B5CB3"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r>
      <w:tr w:rsidR="009B73F5" w:rsidRPr="00782B8E" w14:paraId="5848FE77" w14:textId="77777777" w:rsidTr="009B73F5">
        <w:trPr>
          <w:trHeight w:val="290"/>
        </w:trPr>
        <w:tc>
          <w:tcPr>
            <w:tcW w:w="0" w:type="auto"/>
            <w:tcMar>
              <w:top w:w="15" w:type="dxa"/>
              <w:left w:w="75" w:type="dxa"/>
              <w:bottom w:w="15" w:type="dxa"/>
              <w:right w:w="75" w:type="dxa"/>
            </w:tcMar>
            <w:vAlign w:val="center"/>
            <w:hideMark/>
          </w:tcPr>
          <w:p w14:paraId="5977E3EF"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Total Square Footage</w:t>
            </w:r>
          </w:p>
        </w:tc>
        <w:tc>
          <w:tcPr>
            <w:tcW w:w="0" w:type="auto"/>
            <w:tcMar>
              <w:top w:w="15" w:type="dxa"/>
              <w:left w:w="75" w:type="dxa"/>
              <w:bottom w:w="15" w:type="dxa"/>
              <w:right w:w="75" w:type="dxa"/>
            </w:tcMar>
            <w:vAlign w:val="center"/>
            <w:hideMark/>
          </w:tcPr>
          <w:p w14:paraId="6770258F"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c>
          <w:tcPr>
            <w:tcW w:w="0" w:type="auto"/>
            <w:tcMar>
              <w:top w:w="15" w:type="dxa"/>
              <w:left w:w="75" w:type="dxa"/>
              <w:bottom w:w="15" w:type="dxa"/>
              <w:right w:w="75" w:type="dxa"/>
            </w:tcMar>
            <w:vAlign w:val="center"/>
            <w:hideMark/>
          </w:tcPr>
          <w:p w14:paraId="545DC1B4"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0.001</w:t>
            </w:r>
            <w:r w:rsidRPr="00782B8E">
              <w:rPr>
                <w:rFonts w:ascii="Times New Roman" w:eastAsia="Times New Roman" w:hAnsi="Times New Roman" w:cs="Times New Roman"/>
                <w:color w:val="000000"/>
                <w:sz w:val="24"/>
                <w:szCs w:val="24"/>
                <w:vertAlign w:val="superscript"/>
              </w:rPr>
              <w:t>***</w:t>
            </w:r>
          </w:p>
        </w:tc>
        <w:tc>
          <w:tcPr>
            <w:tcW w:w="0" w:type="auto"/>
            <w:tcMar>
              <w:top w:w="15" w:type="dxa"/>
              <w:left w:w="75" w:type="dxa"/>
              <w:bottom w:w="15" w:type="dxa"/>
              <w:right w:w="75" w:type="dxa"/>
            </w:tcMar>
            <w:vAlign w:val="center"/>
            <w:hideMark/>
          </w:tcPr>
          <w:p w14:paraId="2BDCFFAB"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0.001</w:t>
            </w:r>
            <w:r w:rsidRPr="00782B8E">
              <w:rPr>
                <w:rFonts w:ascii="Times New Roman" w:eastAsia="Times New Roman" w:hAnsi="Times New Roman" w:cs="Times New Roman"/>
                <w:color w:val="000000"/>
                <w:sz w:val="24"/>
                <w:szCs w:val="24"/>
                <w:vertAlign w:val="superscript"/>
              </w:rPr>
              <w:t>***</w:t>
            </w:r>
          </w:p>
        </w:tc>
      </w:tr>
      <w:tr w:rsidR="009B73F5" w:rsidRPr="00782B8E" w14:paraId="54F00DD3" w14:textId="77777777" w:rsidTr="009B73F5">
        <w:trPr>
          <w:trHeight w:val="290"/>
        </w:trPr>
        <w:tc>
          <w:tcPr>
            <w:tcW w:w="0" w:type="auto"/>
            <w:tcMar>
              <w:top w:w="15" w:type="dxa"/>
              <w:left w:w="75" w:type="dxa"/>
              <w:bottom w:w="15" w:type="dxa"/>
              <w:right w:w="75" w:type="dxa"/>
            </w:tcMar>
            <w:vAlign w:val="center"/>
            <w:hideMark/>
          </w:tcPr>
          <w:p w14:paraId="0356EFAE"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c>
          <w:tcPr>
            <w:tcW w:w="0" w:type="auto"/>
            <w:tcMar>
              <w:top w:w="15" w:type="dxa"/>
              <w:left w:w="75" w:type="dxa"/>
              <w:bottom w:w="15" w:type="dxa"/>
              <w:right w:w="75" w:type="dxa"/>
            </w:tcMar>
            <w:vAlign w:val="center"/>
            <w:hideMark/>
          </w:tcPr>
          <w:p w14:paraId="39358E86"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c>
          <w:tcPr>
            <w:tcW w:w="0" w:type="auto"/>
            <w:tcMar>
              <w:top w:w="15" w:type="dxa"/>
              <w:left w:w="75" w:type="dxa"/>
              <w:bottom w:w="15" w:type="dxa"/>
              <w:right w:w="75" w:type="dxa"/>
            </w:tcMar>
            <w:vAlign w:val="center"/>
            <w:hideMark/>
          </w:tcPr>
          <w:p w14:paraId="56A979E1"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(0.000)</w:t>
            </w:r>
          </w:p>
        </w:tc>
        <w:tc>
          <w:tcPr>
            <w:tcW w:w="0" w:type="auto"/>
            <w:tcMar>
              <w:top w:w="15" w:type="dxa"/>
              <w:left w:w="75" w:type="dxa"/>
              <w:bottom w:w="15" w:type="dxa"/>
              <w:right w:w="75" w:type="dxa"/>
            </w:tcMar>
            <w:vAlign w:val="center"/>
            <w:hideMark/>
          </w:tcPr>
          <w:p w14:paraId="3EB5865A"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(0.000)</w:t>
            </w:r>
          </w:p>
        </w:tc>
      </w:tr>
      <w:tr w:rsidR="009B73F5" w:rsidRPr="00782B8E" w14:paraId="328B2C3D" w14:textId="77777777" w:rsidTr="009B73F5">
        <w:trPr>
          <w:trHeight w:val="306"/>
        </w:trPr>
        <w:tc>
          <w:tcPr>
            <w:tcW w:w="0" w:type="auto"/>
            <w:tcMar>
              <w:top w:w="15" w:type="dxa"/>
              <w:left w:w="75" w:type="dxa"/>
              <w:bottom w:w="15" w:type="dxa"/>
              <w:right w:w="75" w:type="dxa"/>
            </w:tcMar>
            <w:vAlign w:val="center"/>
            <w:hideMark/>
          </w:tcPr>
          <w:p w14:paraId="184F3D68"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Year Built</w:t>
            </w:r>
          </w:p>
        </w:tc>
        <w:tc>
          <w:tcPr>
            <w:tcW w:w="0" w:type="auto"/>
            <w:tcMar>
              <w:top w:w="15" w:type="dxa"/>
              <w:left w:w="75" w:type="dxa"/>
              <w:bottom w:w="15" w:type="dxa"/>
              <w:right w:w="75" w:type="dxa"/>
            </w:tcMar>
            <w:vAlign w:val="center"/>
            <w:hideMark/>
          </w:tcPr>
          <w:p w14:paraId="32F38BE2"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c>
          <w:tcPr>
            <w:tcW w:w="0" w:type="auto"/>
            <w:tcMar>
              <w:top w:w="15" w:type="dxa"/>
              <w:left w:w="75" w:type="dxa"/>
              <w:bottom w:w="15" w:type="dxa"/>
              <w:right w:w="75" w:type="dxa"/>
            </w:tcMar>
            <w:vAlign w:val="center"/>
            <w:hideMark/>
          </w:tcPr>
          <w:p w14:paraId="444A336B"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0.002</w:t>
            </w:r>
            <w:r w:rsidRPr="00782B8E">
              <w:rPr>
                <w:rFonts w:ascii="Times New Roman" w:eastAsia="Times New Roman" w:hAnsi="Times New Roman" w:cs="Times New Roman"/>
                <w:color w:val="000000"/>
                <w:sz w:val="24"/>
                <w:szCs w:val="24"/>
                <w:vertAlign w:val="superscript"/>
              </w:rPr>
              <w:t>***</w:t>
            </w:r>
          </w:p>
        </w:tc>
        <w:tc>
          <w:tcPr>
            <w:tcW w:w="0" w:type="auto"/>
            <w:tcMar>
              <w:top w:w="15" w:type="dxa"/>
              <w:left w:w="75" w:type="dxa"/>
              <w:bottom w:w="15" w:type="dxa"/>
              <w:right w:w="75" w:type="dxa"/>
            </w:tcMar>
            <w:vAlign w:val="center"/>
            <w:hideMark/>
          </w:tcPr>
          <w:p w14:paraId="6DA3734C"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0.001</w:t>
            </w:r>
            <w:r w:rsidRPr="00782B8E">
              <w:rPr>
                <w:rFonts w:ascii="Times New Roman" w:eastAsia="Times New Roman" w:hAnsi="Times New Roman" w:cs="Times New Roman"/>
                <w:color w:val="000000"/>
                <w:sz w:val="24"/>
                <w:szCs w:val="24"/>
                <w:vertAlign w:val="superscript"/>
              </w:rPr>
              <w:t>*</w:t>
            </w:r>
          </w:p>
        </w:tc>
      </w:tr>
      <w:tr w:rsidR="009B73F5" w:rsidRPr="00782B8E" w14:paraId="31DEDD66" w14:textId="77777777" w:rsidTr="009B73F5">
        <w:trPr>
          <w:trHeight w:val="290"/>
        </w:trPr>
        <w:tc>
          <w:tcPr>
            <w:tcW w:w="0" w:type="auto"/>
            <w:tcMar>
              <w:top w:w="15" w:type="dxa"/>
              <w:left w:w="75" w:type="dxa"/>
              <w:bottom w:w="15" w:type="dxa"/>
              <w:right w:w="75" w:type="dxa"/>
            </w:tcMar>
            <w:vAlign w:val="center"/>
            <w:hideMark/>
          </w:tcPr>
          <w:p w14:paraId="202CDCEE"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c>
          <w:tcPr>
            <w:tcW w:w="0" w:type="auto"/>
            <w:tcMar>
              <w:top w:w="15" w:type="dxa"/>
              <w:left w:w="75" w:type="dxa"/>
              <w:bottom w:w="15" w:type="dxa"/>
              <w:right w:w="75" w:type="dxa"/>
            </w:tcMar>
            <w:vAlign w:val="center"/>
            <w:hideMark/>
          </w:tcPr>
          <w:p w14:paraId="742455D9"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 </w:t>
            </w:r>
          </w:p>
        </w:tc>
        <w:tc>
          <w:tcPr>
            <w:tcW w:w="0" w:type="auto"/>
            <w:tcMar>
              <w:top w:w="15" w:type="dxa"/>
              <w:left w:w="75" w:type="dxa"/>
              <w:bottom w:w="15" w:type="dxa"/>
              <w:right w:w="75" w:type="dxa"/>
            </w:tcMar>
            <w:vAlign w:val="center"/>
            <w:hideMark/>
          </w:tcPr>
          <w:p w14:paraId="30FE594C"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(0.001)</w:t>
            </w:r>
          </w:p>
        </w:tc>
        <w:tc>
          <w:tcPr>
            <w:tcW w:w="0" w:type="auto"/>
            <w:tcMar>
              <w:top w:w="15" w:type="dxa"/>
              <w:left w:w="75" w:type="dxa"/>
              <w:bottom w:w="15" w:type="dxa"/>
              <w:right w:w="75" w:type="dxa"/>
            </w:tcMar>
            <w:vAlign w:val="center"/>
            <w:hideMark/>
          </w:tcPr>
          <w:p w14:paraId="28B48F01"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(0.001)</w:t>
            </w:r>
          </w:p>
        </w:tc>
      </w:tr>
      <w:tr w:rsidR="009B73F5" w:rsidRPr="00782B8E" w14:paraId="78773E5E" w14:textId="77777777" w:rsidTr="009B73F5">
        <w:trPr>
          <w:trHeight w:val="290"/>
        </w:trPr>
        <w:tc>
          <w:tcPr>
            <w:tcW w:w="0" w:type="auto"/>
            <w:tcBorders>
              <w:top w:val="single" w:sz="6" w:space="0" w:color="000000"/>
            </w:tcBorders>
            <w:tcMar>
              <w:top w:w="15" w:type="dxa"/>
              <w:left w:w="75" w:type="dxa"/>
              <w:bottom w:w="15" w:type="dxa"/>
              <w:right w:w="75" w:type="dxa"/>
            </w:tcMar>
            <w:vAlign w:val="center"/>
            <w:hideMark/>
          </w:tcPr>
          <w:p w14:paraId="4DE06932"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R</w:t>
            </w:r>
            <w:r w:rsidRPr="00782B8E">
              <w:rPr>
                <w:rFonts w:ascii="Times New Roman" w:eastAsia="Times New Roman" w:hAnsi="Times New Roman" w:cs="Times New Roman"/>
                <w:color w:val="000000"/>
                <w:sz w:val="24"/>
                <w:szCs w:val="24"/>
                <w:vertAlign w:val="superscript"/>
              </w:rPr>
              <w:t>2</w:t>
            </w:r>
          </w:p>
        </w:tc>
        <w:tc>
          <w:tcPr>
            <w:tcW w:w="0" w:type="auto"/>
            <w:tcBorders>
              <w:top w:val="single" w:sz="6" w:space="0" w:color="000000"/>
            </w:tcBorders>
            <w:tcMar>
              <w:top w:w="15" w:type="dxa"/>
              <w:left w:w="75" w:type="dxa"/>
              <w:bottom w:w="15" w:type="dxa"/>
              <w:right w:w="75" w:type="dxa"/>
            </w:tcMar>
            <w:vAlign w:val="center"/>
            <w:hideMark/>
          </w:tcPr>
          <w:p w14:paraId="35308685"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0.074</w:t>
            </w:r>
          </w:p>
        </w:tc>
        <w:tc>
          <w:tcPr>
            <w:tcW w:w="0" w:type="auto"/>
            <w:tcBorders>
              <w:top w:val="single" w:sz="6" w:space="0" w:color="000000"/>
            </w:tcBorders>
            <w:tcMar>
              <w:top w:w="15" w:type="dxa"/>
              <w:left w:w="75" w:type="dxa"/>
              <w:bottom w:w="15" w:type="dxa"/>
              <w:right w:w="75" w:type="dxa"/>
            </w:tcMar>
            <w:vAlign w:val="center"/>
            <w:hideMark/>
          </w:tcPr>
          <w:p w14:paraId="21A5709D"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0.529</w:t>
            </w:r>
          </w:p>
        </w:tc>
        <w:tc>
          <w:tcPr>
            <w:tcW w:w="0" w:type="auto"/>
            <w:tcBorders>
              <w:top w:val="single" w:sz="6" w:space="0" w:color="000000"/>
            </w:tcBorders>
            <w:tcMar>
              <w:top w:w="15" w:type="dxa"/>
              <w:left w:w="75" w:type="dxa"/>
              <w:bottom w:w="15" w:type="dxa"/>
              <w:right w:w="75" w:type="dxa"/>
            </w:tcMar>
            <w:vAlign w:val="center"/>
            <w:hideMark/>
          </w:tcPr>
          <w:p w14:paraId="62DDF7C5"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0.607</w:t>
            </w:r>
          </w:p>
        </w:tc>
      </w:tr>
      <w:tr w:rsidR="009B73F5" w:rsidRPr="00782B8E" w14:paraId="7C09DAC8" w14:textId="77777777" w:rsidTr="009B73F5">
        <w:trPr>
          <w:trHeight w:val="306"/>
        </w:trPr>
        <w:tc>
          <w:tcPr>
            <w:tcW w:w="0" w:type="auto"/>
            <w:tcMar>
              <w:top w:w="15" w:type="dxa"/>
              <w:left w:w="75" w:type="dxa"/>
              <w:bottom w:w="15" w:type="dxa"/>
              <w:right w:w="75" w:type="dxa"/>
            </w:tcMar>
            <w:vAlign w:val="center"/>
            <w:hideMark/>
          </w:tcPr>
          <w:p w14:paraId="11A09B61"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Adj. R</w:t>
            </w:r>
            <w:r w:rsidRPr="00782B8E">
              <w:rPr>
                <w:rFonts w:ascii="Times New Roman" w:eastAsia="Times New Roman" w:hAnsi="Times New Roman" w:cs="Times New Roman"/>
                <w:color w:val="000000"/>
                <w:sz w:val="24"/>
                <w:szCs w:val="24"/>
                <w:vertAlign w:val="superscript"/>
              </w:rPr>
              <w:t>2</w:t>
            </w:r>
          </w:p>
        </w:tc>
        <w:tc>
          <w:tcPr>
            <w:tcW w:w="0" w:type="auto"/>
            <w:tcMar>
              <w:top w:w="15" w:type="dxa"/>
              <w:left w:w="75" w:type="dxa"/>
              <w:bottom w:w="15" w:type="dxa"/>
              <w:right w:w="75" w:type="dxa"/>
            </w:tcMar>
            <w:vAlign w:val="center"/>
            <w:hideMark/>
          </w:tcPr>
          <w:p w14:paraId="59759C32"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0.062</w:t>
            </w:r>
          </w:p>
        </w:tc>
        <w:tc>
          <w:tcPr>
            <w:tcW w:w="0" w:type="auto"/>
            <w:tcMar>
              <w:top w:w="15" w:type="dxa"/>
              <w:left w:w="75" w:type="dxa"/>
              <w:bottom w:w="15" w:type="dxa"/>
              <w:right w:w="75" w:type="dxa"/>
            </w:tcMar>
            <w:vAlign w:val="center"/>
            <w:hideMark/>
          </w:tcPr>
          <w:p w14:paraId="0FF620B4"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0.518</w:t>
            </w:r>
          </w:p>
        </w:tc>
        <w:tc>
          <w:tcPr>
            <w:tcW w:w="0" w:type="auto"/>
            <w:tcMar>
              <w:top w:w="15" w:type="dxa"/>
              <w:left w:w="75" w:type="dxa"/>
              <w:bottom w:w="15" w:type="dxa"/>
              <w:right w:w="75" w:type="dxa"/>
            </w:tcMar>
            <w:vAlign w:val="center"/>
            <w:hideMark/>
          </w:tcPr>
          <w:p w14:paraId="70515A80"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0.598</w:t>
            </w:r>
          </w:p>
        </w:tc>
      </w:tr>
      <w:tr w:rsidR="009B73F5" w:rsidRPr="00782B8E" w14:paraId="0D9AD63E" w14:textId="77777777" w:rsidTr="009B73F5">
        <w:trPr>
          <w:trHeight w:val="290"/>
        </w:trPr>
        <w:tc>
          <w:tcPr>
            <w:tcW w:w="0" w:type="auto"/>
            <w:tcBorders>
              <w:bottom w:val="single" w:sz="12" w:space="0" w:color="000000"/>
            </w:tcBorders>
            <w:tcMar>
              <w:top w:w="15" w:type="dxa"/>
              <w:left w:w="75" w:type="dxa"/>
              <w:bottom w:w="15" w:type="dxa"/>
              <w:right w:w="75" w:type="dxa"/>
            </w:tcMar>
            <w:vAlign w:val="center"/>
            <w:hideMark/>
          </w:tcPr>
          <w:p w14:paraId="211B1548"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Num. obs.</w:t>
            </w:r>
          </w:p>
        </w:tc>
        <w:tc>
          <w:tcPr>
            <w:tcW w:w="0" w:type="auto"/>
            <w:tcBorders>
              <w:bottom w:val="single" w:sz="12" w:space="0" w:color="000000"/>
            </w:tcBorders>
            <w:tcMar>
              <w:top w:w="15" w:type="dxa"/>
              <w:left w:w="75" w:type="dxa"/>
              <w:bottom w:w="15" w:type="dxa"/>
              <w:right w:w="75" w:type="dxa"/>
            </w:tcMar>
            <w:vAlign w:val="center"/>
            <w:hideMark/>
          </w:tcPr>
          <w:p w14:paraId="270C30EB"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394</w:t>
            </w:r>
          </w:p>
        </w:tc>
        <w:tc>
          <w:tcPr>
            <w:tcW w:w="0" w:type="auto"/>
            <w:tcBorders>
              <w:bottom w:val="single" w:sz="12" w:space="0" w:color="000000"/>
            </w:tcBorders>
            <w:tcMar>
              <w:top w:w="15" w:type="dxa"/>
              <w:left w:w="75" w:type="dxa"/>
              <w:bottom w:w="15" w:type="dxa"/>
              <w:right w:w="75" w:type="dxa"/>
            </w:tcMar>
            <w:vAlign w:val="center"/>
            <w:hideMark/>
          </w:tcPr>
          <w:p w14:paraId="19BD5EF8"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353</w:t>
            </w:r>
          </w:p>
        </w:tc>
        <w:tc>
          <w:tcPr>
            <w:tcW w:w="0" w:type="auto"/>
            <w:tcBorders>
              <w:bottom w:val="single" w:sz="12" w:space="0" w:color="000000"/>
            </w:tcBorders>
            <w:tcMar>
              <w:top w:w="15" w:type="dxa"/>
              <w:left w:w="75" w:type="dxa"/>
              <w:bottom w:w="15" w:type="dxa"/>
              <w:right w:w="75" w:type="dxa"/>
            </w:tcMar>
            <w:vAlign w:val="center"/>
            <w:hideMark/>
          </w:tcPr>
          <w:p w14:paraId="10F12165" w14:textId="77777777" w:rsidR="009B73F5" w:rsidRPr="00782B8E" w:rsidRDefault="009B73F5" w:rsidP="009B73F5">
            <w:pPr>
              <w:spacing w:after="0" w:line="240" w:lineRule="auto"/>
              <w:rPr>
                <w:rFonts w:ascii="Times New Roman" w:eastAsia="Times New Roman" w:hAnsi="Times New Roman" w:cs="Times New Roman"/>
                <w:color w:val="000000"/>
                <w:sz w:val="24"/>
                <w:szCs w:val="24"/>
              </w:rPr>
            </w:pPr>
            <w:r w:rsidRPr="00782B8E">
              <w:rPr>
                <w:rFonts w:ascii="Times New Roman" w:eastAsia="Times New Roman" w:hAnsi="Times New Roman" w:cs="Times New Roman"/>
                <w:color w:val="000000"/>
                <w:sz w:val="24"/>
                <w:szCs w:val="24"/>
              </w:rPr>
              <w:t>277</w:t>
            </w:r>
          </w:p>
        </w:tc>
      </w:tr>
      <w:tr w:rsidR="009B73F5" w:rsidRPr="00782B8E" w14:paraId="5FA70E27" w14:textId="77777777" w:rsidTr="009B73F5">
        <w:trPr>
          <w:trHeight w:val="242"/>
        </w:trPr>
        <w:tc>
          <w:tcPr>
            <w:tcW w:w="0" w:type="auto"/>
            <w:gridSpan w:val="4"/>
            <w:tcMar>
              <w:top w:w="15" w:type="dxa"/>
              <w:left w:w="75" w:type="dxa"/>
              <w:bottom w:w="15" w:type="dxa"/>
              <w:right w:w="75" w:type="dxa"/>
            </w:tcMar>
            <w:vAlign w:val="center"/>
            <w:hideMark/>
          </w:tcPr>
          <w:p w14:paraId="0819C4FF" w14:textId="77777777" w:rsidR="009B73F5" w:rsidRPr="00782B8E" w:rsidRDefault="009B73F5" w:rsidP="009B73F5">
            <w:pPr>
              <w:spacing w:after="0" w:line="240" w:lineRule="auto"/>
              <w:rPr>
                <w:rFonts w:ascii="Times New Roman" w:eastAsia="Times New Roman" w:hAnsi="Times New Roman" w:cs="Times New Roman"/>
                <w:color w:val="000000"/>
                <w:sz w:val="19"/>
                <w:szCs w:val="19"/>
              </w:rPr>
            </w:pPr>
            <w:r w:rsidRPr="00782B8E">
              <w:rPr>
                <w:rFonts w:ascii="Times New Roman" w:eastAsia="Times New Roman" w:hAnsi="Times New Roman" w:cs="Times New Roman"/>
                <w:color w:val="000000"/>
                <w:sz w:val="19"/>
                <w:szCs w:val="19"/>
                <w:vertAlign w:val="superscript"/>
              </w:rPr>
              <w:t>***</w:t>
            </w:r>
            <w:r w:rsidRPr="00782B8E">
              <w:rPr>
                <w:rFonts w:ascii="Times New Roman" w:eastAsia="Times New Roman" w:hAnsi="Times New Roman" w:cs="Times New Roman"/>
                <w:color w:val="000000"/>
                <w:sz w:val="19"/>
                <w:szCs w:val="19"/>
              </w:rPr>
              <w:t xml:space="preserve">p &lt; 0.001; </w:t>
            </w:r>
            <w:r w:rsidRPr="00782B8E">
              <w:rPr>
                <w:rFonts w:ascii="Times New Roman" w:eastAsia="Times New Roman" w:hAnsi="Times New Roman" w:cs="Times New Roman"/>
                <w:color w:val="000000"/>
                <w:sz w:val="19"/>
                <w:szCs w:val="19"/>
                <w:vertAlign w:val="superscript"/>
              </w:rPr>
              <w:t>**</w:t>
            </w:r>
            <w:r w:rsidRPr="00782B8E">
              <w:rPr>
                <w:rFonts w:ascii="Times New Roman" w:eastAsia="Times New Roman" w:hAnsi="Times New Roman" w:cs="Times New Roman"/>
                <w:color w:val="000000"/>
                <w:sz w:val="19"/>
                <w:szCs w:val="19"/>
              </w:rPr>
              <w:t xml:space="preserve">p &lt; 0.01; </w:t>
            </w:r>
            <w:r w:rsidRPr="00782B8E">
              <w:rPr>
                <w:rFonts w:ascii="Times New Roman" w:eastAsia="Times New Roman" w:hAnsi="Times New Roman" w:cs="Times New Roman"/>
                <w:color w:val="000000"/>
                <w:sz w:val="19"/>
                <w:szCs w:val="19"/>
                <w:vertAlign w:val="superscript"/>
              </w:rPr>
              <w:t>*</w:t>
            </w:r>
            <w:r w:rsidRPr="00782B8E">
              <w:rPr>
                <w:rFonts w:ascii="Times New Roman" w:eastAsia="Times New Roman" w:hAnsi="Times New Roman" w:cs="Times New Roman"/>
                <w:color w:val="000000"/>
                <w:sz w:val="19"/>
                <w:szCs w:val="19"/>
              </w:rPr>
              <w:t>p &lt; 0.05 --- Data collected from website of Athens Clarke County Board of Tax Assessors</w:t>
            </w:r>
          </w:p>
        </w:tc>
      </w:tr>
    </w:tbl>
    <w:p w14:paraId="74F5AB6E" w14:textId="77777777" w:rsidR="009B73F5" w:rsidRDefault="009B73F5" w:rsidP="009B73F5">
      <w:pPr>
        <w:spacing w:line="480" w:lineRule="auto"/>
        <w:ind w:firstLine="720"/>
        <w:rPr>
          <w:rFonts w:ascii="Times New Roman" w:hAnsi="Times New Roman" w:cs="Times New Roman"/>
          <w:sz w:val="24"/>
          <w:szCs w:val="24"/>
        </w:rPr>
      </w:pPr>
    </w:p>
    <w:p w14:paraId="44129CE2" w14:textId="085E712A" w:rsidR="000E5D4A" w:rsidRDefault="000E5D4A" w:rsidP="00E5000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V. Discussion</w:t>
      </w:r>
    </w:p>
    <w:p w14:paraId="24B31E9C" w14:textId="48E2D812" w:rsidR="009740E7" w:rsidRDefault="00C46BFC" w:rsidP="00E50004">
      <w:pPr>
        <w:spacing w:line="480" w:lineRule="auto"/>
        <w:rPr>
          <w:rFonts w:ascii="Times New Roman" w:hAnsi="Times New Roman" w:cs="Times New Roman"/>
          <w:sz w:val="24"/>
          <w:szCs w:val="24"/>
        </w:rPr>
      </w:pPr>
      <w:r>
        <w:rPr>
          <w:rFonts w:ascii="Times New Roman" w:hAnsi="Times New Roman" w:cs="Times New Roman"/>
          <w:sz w:val="24"/>
          <w:szCs w:val="24"/>
        </w:rPr>
        <w:tab/>
      </w:r>
      <w:r w:rsidR="00FB359F">
        <w:rPr>
          <w:rFonts w:ascii="Times New Roman" w:hAnsi="Times New Roman" w:cs="Times New Roman"/>
          <w:sz w:val="24"/>
          <w:szCs w:val="24"/>
        </w:rPr>
        <w:t>None of the analysis that I have conducted has produced compelling evidence in support of my hypoth</w:t>
      </w:r>
      <w:r w:rsidR="00E42AF8">
        <w:rPr>
          <w:rFonts w:ascii="Times New Roman" w:hAnsi="Times New Roman" w:cs="Times New Roman"/>
          <w:sz w:val="24"/>
          <w:szCs w:val="24"/>
        </w:rPr>
        <w:t xml:space="preserve">esis. Even if it is correct, though, I’m not sure if I would be able to show convincing evidence in favor of it when looking at this isolated case. While </w:t>
      </w:r>
      <w:proofErr w:type="spellStart"/>
      <w:r w:rsidR="00E42AF8">
        <w:rPr>
          <w:rFonts w:ascii="Times New Roman" w:hAnsi="Times New Roman" w:cs="Times New Roman"/>
          <w:sz w:val="24"/>
          <w:szCs w:val="24"/>
        </w:rPr>
        <w:t>Glaeser</w:t>
      </w:r>
      <w:proofErr w:type="spellEnd"/>
      <w:r w:rsidR="00E42AF8">
        <w:rPr>
          <w:rFonts w:ascii="Times New Roman" w:hAnsi="Times New Roman" w:cs="Times New Roman"/>
          <w:sz w:val="24"/>
          <w:szCs w:val="24"/>
        </w:rPr>
        <w:t xml:space="preserve"> (2009) and Lin (2020) find evidence that increased land use regulation leads to higher housing costs in the </w:t>
      </w:r>
      <w:r w:rsidR="00E42AF8">
        <w:rPr>
          <w:rFonts w:ascii="Times New Roman" w:hAnsi="Times New Roman" w:cs="Times New Roman"/>
          <w:sz w:val="24"/>
          <w:szCs w:val="24"/>
        </w:rPr>
        <w:lastRenderedPageBreak/>
        <w:t>long run,</w:t>
      </w:r>
      <w:r w:rsidR="00F17772">
        <w:rPr>
          <w:rFonts w:ascii="Times New Roman" w:hAnsi="Times New Roman" w:cs="Times New Roman"/>
          <w:sz w:val="24"/>
          <w:szCs w:val="24"/>
        </w:rPr>
        <w:t xml:space="preserve"> they looked at dozens of policies across an entire metropolitan area. Additionally, </w:t>
      </w:r>
      <w:r w:rsidR="001D58AF">
        <w:rPr>
          <w:rFonts w:ascii="Times New Roman" w:hAnsi="Times New Roman" w:cs="Times New Roman"/>
          <w:sz w:val="24"/>
          <w:szCs w:val="24"/>
        </w:rPr>
        <w:t>both</w:t>
      </w:r>
      <w:r w:rsidR="00F17772">
        <w:rPr>
          <w:rFonts w:ascii="Times New Roman" w:hAnsi="Times New Roman" w:cs="Times New Roman"/>
          <w:sz w:val="24"/>
          <w:szCs w:val="24"/>
        </w:rPr>
        <w:t xml:space="preserve"> note that local land use policies tend not to have very st</w:t>
      </w:r>
      <w:r w:rsidR="009740E7">
        <w:rPr>
          <w:rFonts w:ascii="Times New Roman" w:hAnsi="Times New Roman" w:cs="Times New Roman"/>
          <w:sz w:val="24"/>
          <w:szCs w:val="24"/>
        </w:rPr>
        <w:t xml:space="preserve">rong effects on local housing costs. The change that the Athens-Clarke Commission imposed was targeted on such a small area that even a </w:t>
      </w:r>
      <w:r w:rsidR="008F7DE6">
        <w:rPr>
          <w:rFonts w:ascii="Times New Roman" w:hAnsi="Times New Roman" w:cs="Times New Roman"/>
          <w:sz w:val="24"/>
          <w:szCs w:val="24"/>
        </w:rPr>
        <w:t>somewhat</w:t>
      </w:r>
      <w:r w:rsidR="009740E7">
        <w:rPr>
          <w:rFonts w:ascii="Times New Roman" w:hAnsi="Times New Roman" w:cs="Times New Roman"/>
          <w:sz w:val="24"/>
          <w:szCs w:val="24"/>
        </w:rPr>
        <w:t xml:space="preserve"> drastic regulation may not </w:t>
      </w:r>
      <w:r w:rsidR="008F7DE6">
        <w:rPr>
          <w:rFonts w:ascii="Times New Roman" w:hAnsi="Times New Roman" w:cs="Times New Roman"/>
          <w:sz w:val="24"/>
          <w:szCs w:val="24"/>
        </w:rPr>
        <w:t>have shown</w:t>
      </w:r>
      <w:r w:rsidR="009740E7">
        <w:rPr>
          <w:rFonts w:ascii="Times New Roman" w:hAnsi="Times New Roman" w:cs="Times New Roman"/>
          <w:sz w:val="24"/>
          <w:szCs w:val="24"/>
        </w:rPr>
        <w:t xml:space="preserve"> much immediate impact on local housing </w:t>
      </w:r>
      <w:r w:rsidR="00E50004">
        <w:rPr>
          <w:rFonts w:ascii="Times New Roman" w:hAnsi="Times New Roman" w:cs="Times New Roman"/>
          <w:sz w:val="24"/>
          <w:szCs w:val="24"/>
        </w:rPr>
        <w:t xml:space="preserve">or land </w:t>
      </w:r>
      <w:r w:rsidR="009740E7">
        <w:rPr>
          <w:rFonts w:ascii="Times New Roman" w:hAnsi="Times New Roman" w:cs="Times New Roman"/>
          <w:sz w:val="24"/>
          <w:szCs w:val="24"/>
        </w:rPr>
        <w:t>prices.</w:t>
      </w:r>
    </w:p>
    <w:p w14:paraId="7C54FB37" w14:textId="1961F752" w:rsidR="008F7DE6" w:rsidRDefault="008F7DE6" w:rsidP="00E5000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policy was not only largely targeted at the small area of downtown Athens, but it was also targeted specifically at managing the growth of student housing developments. This also limits the immediate impact that it can have on housing prices. </w:t>
      </w:r>
      <w:r w:rsidR="004F344F">
        <w:rPr>
          <w:rFonts w:ascii="Times New Roman" w:hAnsi="Times New Roman" w:cs="Times New Roman"/>
          <w:sz w:val="24"/>
          <w:szCs w:val="24"/>
        </w:rPr>
        <w:t>If policymakers wish to shape housing growth patterns, enacting policies that are tightly tailored to their co</w:t>
      </w:r>
      <w:r w:rsidR="001D58AF">
        <w:rPr>
          <w:rFonts w:ascii="Times New Roman" w:hAnsi="Times New Roman" w:cs="Times New Roman"/>
          <w:sz w:val="24"/>
          <w:szCs w:val="24"/>
        </w:rPr>
        <w:t>ncerns likely will minimize the spillover costs. It won’t eliminate them, though. Even if the costs are small enough to be barely noticeable, they can add up.</w:t>
      </w:r>
    </w:p>
    <w:p w14:paraId="6A1AFDFD" w14:textId="0BE2A7E6" w:rsidR="00FC0194" w:rsidRDefault="001D58AF" w:rsidP="00E50004">
      <w:pPr>
        <w:spacing w:line="480" w:lineRule="auto"/>
        <w:rPr>
          <w:rFonts w:ascii="Times New Roman" w:hAnsi="Times New Roman" w:cs="Times New Roman"/>
          <w:sz w:val="24"/>
          <w:szCs w:val="24"/>
        </w:rPr>
      </w:pPr>
      <w:r>
        <w:rPr>
          <w:rFonts w:ascii="Times New Roman" w:hAnsi="Times New Roman" w:cs="Times New Roman"/>
          <w:sz w:val="24"/>
          <w:szCs w:val="24"/>
        </w:rPr>
        <w:tab/>
      </w:r>
      <w:r w:rsidR="00B44709">
        <w:rPr>
          <w:rFonts w:ascii="Times New Roman" w:hAnsi="Times New Roman" w:cs="Times New Roman"/>
          <w:sz w:val="24"/>
          <w:szCs w:val="24"/>
        </w:rPr>
        <w:t>Future work</w:t>
      </w:r>
      <w:r>
        <w:rPr>
          <w:rFonts w:ascii="Times New Roman" w:hAnsi="Times New Roman" w:cs="Times New Roman"/>
          <w:sz w:val="24"/>
          <w:szCs w:val="24"/>
        </w:rPr>
        <w:t xml:space="preserve"> </w:t>
      </w:r>
      <w:r w:rsidR="00B44709">
        <w:rPr>
          <w:rFonts w:ascii="Times New Roman" w:hAnsi="Times New Roman" w:cs="Times New Roman"/>
          <w:sz w:val="24"/>
          <w:szCs w:val="24"/>
        </w:rPr>
        <w:t>should</w:t>
      </w:r>
      <w:r>
        <w:rPr>
          <w:rFonts w:ascii="Times New Roman" w:hAnsi="Times New Roman" w:cs="Times New Roman"/>
          <w:sz w:val="24"/>
          <w:szCs w:val="24"/>
        </w:rPr>
        <w:t xml:space="preserve"> be directed towards finding better </w:t>
      </w:r>
      <w:r w:rsidR="00B44709">
        <w:rPr>
          <w:rFonts w:ascii="Times New Roman" w:hAnsi="Times New Roman" w:cs="Times New Roman"/>
          <w:sz w:val="24"/>
          <w:szCs w:val="24"/>
        </w:rPr>
        <w:t>methods of detecting</w:t>
      </w:r>
      <w:r w:rsidR="00FC0194">
        <w:rPr>
          <w:rFonts w:ascii="Times New Roman" w:hAnsi="Times New Roman" w:cs="Times New Roman"/>
          <w:sz w:val="24"/>
          <w:szCs w:val="24"/>
        </w:rPr>
        <w:t xml:space="preserve"> and measuring</w:t>
      </w:r>
      <w:r w:rsidR="00B44709">
        <w:rPr>
          <w:rFonts w:ascii="Times New Roman" w:hAnsi="Times New Roman" w:cs="Times New Roman"/>
          <w:sz w:val="24"/>
          <w:szCs w:val="24"/>
        </w:rPr>
        <w:t xml:space="preserve"> the costs of small-scale land use regulation. Lin (2020) shows that it is possible to better measure the spillover effects of local regulations. Extending this methodology to housing markets smaller than that of Greater Los Angeles is an important step to take. Expanding access to high-quality housing data will play a</w:t>
      </w:r>
      <w:r w:rsidR="00B1145A">
        <w:rPr>
          <w:rFonts w:ascii="Times New Roman" w:hAnsi="Times New Roman" w:cs="Times New Roman"/>
          <w:sz w:val="24"/>
          <w:szCs w:val="24"/>
        </w:rPr>
        <w:t xml:space="preserve">n integral role in this process. A disproportionate number of the data quality issues that I experienced in my analysis involved very large, high-leverage sales. Additionally, there is no nonproprietary, high-quality, high-resolution database of rental properties. </w:t>
      </w:r>
      <w:r w:rsidR="004440CA">
        <w:rPr>
          <w:rFonts w:ascii="Times New Roman" w:hAnsi="Times New Roman" w:cs="Times New Roman"/>
          <w:sz w:val="24"/>
          <w:szCs w:val="24"/>
        </w:rPr>
        <w:t>Additional research on the rental housing market will become increasingly necessary as many Americans feel</w:t>
      </w:r>
      <w:r w:rsidR="00FC0194">
        <w:rPr>
          <w:rFonts w:ascii="Times New Roman" w:hAnsi="Times New Roman" w:cs="Times New Roman"/>
          <w:sz w:val="24"/>
          <w:szCs w:val="24"/>
        </w:rPr>
        <w:t xml:space="preserve"> that homeownership is becoming an increasingly distant dream. Even if homeownership wasn’t a concern for many people, there are certain types of housing markets that are dominated by rental properties, such as college towns.</w:t>
      </w:r>
    </w:p>
    <w:p w14:paraId="114FDE93" w14:textId="77777777" w:rsidR="00FC0194" w:rsidRDefault="00FC0194">
      <w:pPr>
        <w:rPr>
          <w:rFonts w:ascii="Times New Roman" w:hAnsi="Times New Roman" w:cs="Times New Roman"/>
          <w:sz w:val="24"/>
          <w:szCs w:val="24"/>
        </w:rPr>
      </w:pPr>
      <w:r>
        <w:rPr>
          <w:rFonts w:ascii="Times New Roman" w:hAnsi="Times New Roman" w:cs="Times New Roman"/>
          <w:sz w:val="24"/>
          <w:szCs w:val="24"/>
        </w:rPr>
        <w:br w:type="page"/>
      </w:r>
    </w:p>
    <w:p w14:paraId="288EB897" w14:textId="77777777" w:rsidR="00193489" w:rsidRPr="00A855EA" w:rsidRDefault="00193489" w:rsidP="00E50004">
      <w:pPr>
        <w:spacing w:line="480" w:lineRule="auto"/>
        <w:rPr>
          <w:rFonts w:ascii="Times New Roman" w:hAnsi="Times New Roman" w:cs="Times New Roman"/>
          <w:sz w:val="24"/>
          <w:szCs w:val="24"/>
        </w:rPr>
      </w:pPr>
      <w:r w:rsidRPr="00A855EA">
        <w:rPr>
          <w:rFonts w:ascii="Times New Roman" w:hAnsi="Times New Roman" w:cs="Times New Roman"/>
          <w:sz w:val="24"/>
          <w:szCs w:val="24"/>
        </w:rPr>
        <w:lastRenderedPageBreak/>
        <w:t>Preliminary Reference List:</w:t>
      </w:r>
    </w:p>
    <w:p w14:paraId="064C3EFE" w14:textId="77777777" w:rsidR="00193489" w:rsidRPr="00A855EA" w:rsidRDefault="00193489" w:rsidP="00E50004">
      <w:pPr>
        <w:spacing w:after="0" w:line="480" w:lineRule="auto"/>
        <w:ind w:hanging="480"/>
        <w:rPr>
          <w:rFonts w:ascii="Times New Roman" w:eastAsia="Times New Roman" w:hAnsi="Times New Roman" w:cs="Times New Roman"/>
          <w:sz w:val="24"/>
          <w:szCs w:val="24"/>
        </w:rPr>
      </w:pPr>
      <w:proofErr w:type="spellStart"/>
      <w:r w:rsidRPr="00A855EA">
        <w:rPr>
          <w:rFonts w:ascii="Times New Roman" w:eastAsia="Times New Roman" w:hAnsi="Times New Roman" w:cs="Times New Roman"/>
          <w:sz w:val="24"/>
          <w:szCs w:val="24"/>
        </w:rPr>
        <w:t>Glaeser</w:t>
      </w:r>
      <w:proofErr w:type="spellEnd"/>
      <w:r w:rsidRPr="00A855EA">
        <w:rPr>
          <w:rFonts w:ascii="Times New Roman" w:eastAsia="Times New Roman" w:hAnsi="Times New Roman" w:cs="Times New Roman"/>
          <w:sz w:val="24"/>
          <w:szCs w:val="24"/>
        </w:rPr>
        <w:t xml:space="preserve">, Edward L., and Bryce A. Ward. 2009. “The Causes and Consequences of Land Use Regulation: Evidence from Greater Boston.” </w:t>
      </w:r>
      <w:r w:rsidRPr="00A855EA">
        <w:rPr>
          <w:rFonts w:ascii="Times New Roman" w:eastAsia="Times New Roman" w:hAnsi="Times New Roman" w:cs="Times New Roman"/>
          <w:i/>
          <w:iCs/>
          <w:sz w:val="24"/>
          <w:szCs w:val="24"/>
        </w:rPr>
        <w:t>Journal of Urban Economics</w:t>
      </w:r>
      <w:r w:rsidRPr="00A855EA">
        <w:rPr>
          <w:rFonts w:ascii="Times New Roman" w:eastAsia="Times New Roman" w:hAnsi="Times New Roman" w:cs="Times New Roman"/>
          <w:sz w:val="24"/>
          <w:szCs w:val="24"/>
        </w:rPr>
        <w:t xml:space="preserve"> 65 (3): 265–78. </w:t>
      </w:r>
      <w:hyperlink r:id="rId14" w:history="1">
        <w:r w:rsidRPr="00A855EA">
          <w:rPr>
            <w:rFonts w:ascii="Times New Roman" w:eastAsia="Times New Roman" w:hAnsi="Times New Roman" w:cs="Times New Roman"/>
            <w:color w:val="0000FF"/>
            <w:sz w:val="24"/>
            <w:szCs w:val="24"/>
            <w:u w:val="single"/>
          </w:rPr>
          <w:t>https://doi.org/10.1016/j.jue.2008.06.003</w:t>
        </w:r>
      </w:hyperlink>
      <w:r w:rsidRPr="00A855EA">
        <w:rPr>
          <w:rFonts w:ascii="Times New Roman" w:eastAsia="Times New Roman" w:hAnsi="Times New Roman" w:cs="Times New Roman"/>
          <w:sz w:val="24"/>
          <w:szCs w:val="24"/>
        </w:rPr>
        <w:t>.</w:t>
      </w:r>
    </w:p>
    <w:p w14:paraId="36194A59" w14:textId="77777777" w:rsidR="00193489" w:rsidRPr="00A855EA" w:rsidRDefault="00193489" w:rsidP="00E50004">
      <w:pPr>
        <w:spacing w:after="0" w:line="480" w:lineRule="auto"/>
        <w:ind w:hanging="480"/>
        <w:rPr>
          <w:rFonts w:ascii="Times New Roman" w:eastAsia="Times New Roman" w:hAnsi="Times New Roman" w:cs="Times New Roman"/>
          <w:sz w:val="24"/>
          <w:szCs w:val="24"/>
        </w:rPr>
      </w:pPr>
      <w:proofErr w:type="spellStart"/>
      <w:r w:rsidRPr="00A855EA">
        <w:rPr>
          <w:rFonts w:ascii="Times New Roman" w:eastAsia="Times New Roman" w:hAnsi="Times New Roman" w:cs="Times New Roman"/>
          <w:sz w:val="24"/>
          <w:szCs w:val="24"/>
        </w:rPr>
        <w:t>Gyourko</w:t>
      </w:r>
      <w:proofErr w:type="spellEnd"/>
      <w:r w:rsidRPr="00A855EA">
        <w:rPr>
          <w:rFonts w:ascii="Times New Roman" w:eastAsia="Times New Roman" w:hAnsi="Times New Roman" w:cs="Times New Roman"/>
          <w:sz w:val="24"/>
          <w:szCs w:val="24"/>
        </w:rPr>
        <w:t xml:space="preserve">, Joseph, Jonathan Hartley, and Jacob </w:t>
      </w:r>
      <w:proofErr w:type="spellStart"/>
      <w:r w:rsidRPr="00A855EA">
        <w:rPr>
          <w:rFonts w:ascii="Times New Roman" w:eastAsia="Times New Roman" w:hAnsi="Times New Roman" w:cs="Times New Roman"/>
          <w:sz w:val="24"/>
          <w:szCs w:val="24"/>
        </w:rPr>
        <w:t>Krimmel</w:t>
      </w:r>
      <w:proofErr w:type="spellEnd"/>
      <w:r w:rsidRPr="00A855EA">
        <w:rPr>
          <w:rFonts w:ascii="Times New Roman" w:eastAsia="Times New Roman" w:hAnsi="Times New Roman" w:cs="Times New Roman"/>
          <w:sz w:val="24"/>
          <w:szCs w:val="24"/>
        </w:rPr>
        <w:t xml:space="preserve">. 2019. “The Local Residential Land Use Regulatory Environment Across U.S. Housing Markets: Evidence from a New Wharton Index.” Working Paper 26573. National Bureau of Economic Research. </w:t>
      </w:r>
      <w:hyperlink r:id="rId15" w:history="1">
        <w:r w:rsidRPr="00A855EA">
          <w:rPr>
            <w:rFonts w:ascii="Times New Roman" w:eastAsia="Times New Roman" w:hAnsi="Times New Roman" w:cs="Times New Roman"/>
            <w:color w:val="0000FF"/>
            <w:sz w:val="24"/>
            <w:szCs w:val="24"/>
            <w:u w:val="single"/>
          </w:rPr>
          <w:t>https://nber.org/papers/w26573</w:t>
        </w:r>
      </w:hyperlink>
      <w:r w:rsidRPr="00A855EA">
        <w:rPr>
          <w:rFonts w:ascii="Times New Roman" w:eastAsia="Times New Roman" w:hAnsi="Times New Roman" w:cs="Times New Roman"/>
          <w:sz w:val="24"/>
          <w:szCs w:val="24"/>
        </w:rPr>
        <w:t>.</w:t>
      </w:r>
    </w:p>
    <w:p w14:paraId="03461B64" w14:textId="77777777" w:rsidR="00193489" w:rsidRPr="00A855EA" w:rsidRDefault="00193489" w:rsidP="00E50004">
      <w:pPr>
        <w:spacing w:after="0" w:line="480" w:lineRule="auto"/>
        <w:ind w:hanging="480"/>
        <w:rPr>
          <w:rFonts w:ascii="Times New Roman" w:eastAsia="Times New Roman" w:hAnsi="Times New Roman" w:cs="Times New Roman"/>
          <w:sz w:val="24"/>
          <w:szCs w:val="24"/>
        </w:rPr>
      </w:pPr>
      <w:proofErr w:type="spellStart"/>
      <w:r w:rsidRPr="00A855EA">
        <w:rPr>
          <w:rFonts w:ascii="Times New Roman" w:eastAsia="Times New Roman" w:hAnsi="Times New Roman" w:cs="Times New Roman"/>
          <w:sz w:val="24"/>
          <w:szCs w:val="24"/>
        </w:rPr>
        <w:t>Gyourko</w:t>
      </w:r>
      <w:proofErr w:type="spellEnd"/>
      <w:r w:rsidRPr="00A855EA">
        <w:rPr>
          <w:rFonts w:ascii="Times New Roman" w:eastAsia="Times New Roman" w:hAnsi="Times New Roman" w:cs="Times New Roman"/>
          <w:sz w:val="24"/>
          <w:szCs w:val="24"/>
        </w:rPr>
        <w:t xml:space="preserve">, Joseph, and Jacob </w:t>
      </w:r>
      <w:proofErr w:type="spellStart"/>
      <w:r w:rsidRPr="00A855EA">
        <w:rPr>
          <w:rFonts w:ascii="Times New Roman" w:eastAsia="Times New Roman" w:hAnsi="Times New Roman" w:cs="Times New Roman"/>
          <w:sz w:val="24"/>
          <w:szCs w:val="24"/>
        </w:rPr>
        <w:t>Krimmel</w:t>
      </w:r>
      <w:proofErr w:type="spellEnd"/>
      <w:r w:rsidRPr="00A855EA">
        <w:rPr>
          <w:rFonts w:ascii="Times New Roman" w:eastAsia="Times New Roman" w:hAnsi="Times New Roman" w:cs="Times New Roman"/>
          <w:sz w:val="24"/>
          <w:szCs w:val="24"/>
        </w:rPr>
        <w:t xml:space="preserve">. 2021. “The Impact of Local Residential Land Use Restrictions on Land Values Across and Within Single Family Housing Markets.” Working Paper 28993. Working Paper Series. National Bureau of Economic Research. </w:t>
      </w:r>
      <w:hyperlink r:id="rId16" w:history="1">
        <w:r w:rsidRPr="00A855EA">
          <w:rPr>
            <w:rFonts w:ascii="Times New Roman" w:eastAsia="Times New Roman" w:hAnsi="Times New Roman" w:cs="Times New Roman"/>
            <w:color w:val="0000FF"/>
            <w:sz w:val="24"/>
            <w:szCs w:val="24"/>
            <w:u w:val="single"/>
          </w:rPr>
          <w:t>https://doi.org/10.3386/w28993</w:t>
        </w:r>
      </w:hyperlink>
      <w:r w:rsidRPr="00A855EA">
        <w:rPr>
          <w:rFonts w:ascii="Times New Roman" w:eastAsia="Times New Roman" w:hAnsi="Times New Roman" w:cs="Times New Roman"/>
          <w:sz w:val="24"/>
          <w:szCs w:val="24"/>
        </w:rPr>
        <w:t>.</w:t>
      </w:r>
    </w:p>
    <w:p w14:paraId="339583C0" w14:textId="77777777" w:rsidR="00193489" w:rsidRPr="00A855EA" w:rsidRDefault="00193489" w:rsidP="00E50004">
      <w:pPr>
        <w:spacing w:after="0" w:line="480" w:lineRule="auto"/>
        <w:ind w:hanging="480"/>
        <w:rPr>
          <w:rFonts w:ascii="Times New Roman" w:eastAsia="Times New Roman" w:hAnsi="Times New Roman" w:cs="Times New Roman"/>
          <w:sz w:val="24"/>
          <w:szCs w:val="24"/>
        </w:rPr>
      </w:pPr>
      <w:proofErr w:type="spellStart"/>
      <w:r w:rsidRPr="00A855EA">
        <w:rPr>
          <w:rFonts w:ascii="Times New Roman" w:eastAsia="Times New Roman" w:hAnsi="Times New Roman" w:cs="Times New Roman"/>
          <w:sz w:val="24"/>
          <w:szCs w:val="24"/>
        </w:rPr>
        <w:t>Kashian</w:t>
      </w:r>
      <w:proofErr w:type="spellEnd"/>
      <w:r w:rsidRPr="00A855EA">
        <w:rPr>
          <w:rFonts w:ascii="Times New Roman" w:eastAsia="Times New Roman" w:hAnsi="Times New Roman" w:cs="Times New Roman"/>
          <w:sz w:val="24"/>
          <w:szCs w:val="24"/>
        </w:rPr>
        <w:t xml:space="preserve">, Russ, Ronald Tittle, and Summer Cliff. 2020. “The Impact of Density Rezoning in a Small College Town.” </w:t>
      </w:r>
      <w:r w:rsidRPr="00A855EA">
        <w:rPr>
          <w:rFonts w:ascii="Times New Roman" w:eastAsia="Times New Roman" w:hAnsi="Times New Roman" w:cs="Times New Roman"/>
          <w:i/>
          <w:iCs/>
          <w:sz w:val="24"/>
          <w:szCs w:val="24"/>
        </w:rPr>
        <w:t>The Journal of Real Estate Finance and Economics</w:t>
      </w:r>
      <w:r w:rsidRPr="00A855EA">
        <w:rPr>
          <w:rFonts w:ascii="Times New Roman" w:eastAsia="Times New Roman" w:hAnsi="Times New Roman" w:cs="Times New Roman"/>
          <w:sz w:val="24"/>
          <w:szCs w:val="24"/>
        </w:rPr>
        <w:t xml:space="preserve"> 61 (2): 275–87. </w:t>
      </w:r>
      <w:hyperlink r:id="rId17" w:history="1">
        <w:r w:rsidRPr="00A855EA">
          <w:rPr>
            <w:rFonts w:ascii="Times New Roman" w:eastAsia="Times New Roman" w:hAnsi="Times New Roman" w:cs="Times New Roman"/>
            <w:color w:val="0000FF"/>
            <w:sz w:val="24"/>
            <w:szCs w:val="24"/>
            <w:u w:val="single"/>
          </w:rPr>
          <w:t>https://doi.org/10.1007/s11146-019-09738-4</w:t>
        </w:r>
      </w:hyperlink>
      <w:r w:rsidRPr="00A855EA">
        <w:rPr>
          <w:rFonts w:ascii="Times New Roman" w:eastAsia="Times New Roman" w:hAnsi="Times New Roman" w:cs="Times New Roman"/>
          <w:sz w:val="24"/>
          <w:szCs w:val="24"/>
        </w:rPr>
        <w:t>.</w:t>
      </w:r>
    </w:p>
    <w:p w14:paraId="09EC2DFA" w14:textId="77777777" w:rsidR="00193489" w:rsidRPr="00A855EA" w:rsidRDefault="00193489" w:rsidP="00E50004">
      <w:pPr>
        <w:spacing w:after="0" w:line="480" w:lineRule="auto"/>
        <w:ind w:hanging="480"/>
        <w:rPr>
          <w:rFonts w:ascii="Times New Roman" w:eastAsia="Times New Roman" w:hAnsi="Times New Roman" w:cs="Times New Roman"/>
          <w:sz w:val="24"/>
          <w:szCs w:val="24"/>
        </w:rPr>
      </w:pPr>
      <w:proofErr w:type="spellStart"/>
      <w:r w:rsidRPr="00A855EA">
        <w:rPr>
          <w:rFonts w:ascii="Times New Roman" w:eastAsia="Times New Roman" w:hAnsi="Times New Roman" w:cs="Times New Roman"/>
          <w:sz w:val="24"/>
          <w:szCs w:val="24"/>
        </w:rPr>
        <w:t>Langelett</w:t>
      </w:r>
      <w:proofErr w:type="spellEnd"/>
      <w:r w:rsidRPr="00A855EA">
        <w:rPr>
          <w:rFonts w:ascii="Times New Roman" w:eastAsia="Times New Roman" w:hAnsi="Times New Roman" w:cs="Times New Roman"/>
          <w:sz w:val="24"/>
          <w:szCs w:val="24"/>
        </w:rPr>
        <w:t xml:space="preserve">, George, </w:t>
      </w:r>
      <w:proofErr w:type="spellStart"/>
      <w:r w:rsidRPr="00A855EA">
        <w:rPr>
          <w:rFonts w:ascii="Times New Roman" w:eastAsia="Times New Roman" w:hAnsi="Times New Roman" w:cs="Times New Roman"/>
          <w:sz w:val="24"/>
          <w:szCs w:val="24"/>
        </w:rPr>
        <w:t>Kuo</w:t>
      </w:r>
      <w:proofErr w:type="spellEnd"/>
      <w:r w:rsidRPr="00A855EA">
        <w:rPr>
          <w:rFonts w:ascii="Times New Roman" w:eastAsia="Times New Roman" w:hAnsi="Times New Roman" w:cs="Times New Roman"/>
          <w:sz w:val="24"/>
          <w:szCs w:val="24"/>
        </w:rPr>
        <w:t xml:space="preserve">-Liang Chang, Ekaterina </w:t>
      </w:r>
      <w:proofErr w:type="spellStart"/>
      <w:r w:rsidRPr="00A855EA">
        <w:rPr>
          <w:rFonts w:ascii="Times New Roman" w:eastAsia="Times New Roman" w:hAnsi="Times New Roman" w:cs="Times New Roman"/>
          <w:sz w:val="24"/>
          <w:szCs w:val="24"/>
        </w:rPr>
        <w:t>Koromyslova</w:t>
      </w:r>
      <w:proofErr w:type="spellEnd"/>
      <w:r w:rsidRPr="00A855EA">
        <w:rPr>
          <w:rFonts w:ascii="Times New Roman" w:eastAsia="Times New Roman" w:hAnsi="Times New Roman" w:cs="Times New Roman"/>
          <w:sz w:val="24"/>
          <w:szCs w:val="24"/>
        </w:rPr>
        <w:t xml:space="preserve">, and Charles Appiah. 2013a. “Rent Gradient of a College Town.” </w:t>
      </w:r>
      <w:r w:rsidRPr="00A855EA">
        <w:rPr>
          <w:rFonts w:ascii="Times New Roman" w:eastAsia="Times New Roman" w:hAnsi="Times New Roman" w:cs="Times New Roman"/>
          <w:i/>
          <w:iCs/>
          <w:sz w:val="24"/>
          <w:szCs w:val="24"/>
        </w:rPr>
        <w:t>Economics Staff Paper Series</w:t>
      </w:r>
      <w:r w:rsidRPr="00A855EA">
        <w:rPr>
          <w:rFonts w:ascii="Times New Roman" w:eastAsia="Times New Roman" w:hAnsi="Times New Roman" w:cs="Times New Roman"/>
          <w:sz w:val="24"/>
          <w:szCs w:val="24"/>
        </w:rPr>
        <w:t xml:space="preserve">, Economics Staff Paper Series, 2013 (1). </w:t>
      </w:r>
      <w:hyperlink r:id="rId18" w:history="1">
        <w:r w:rsidRPr="00A855EA">
          <w:rPr>
            <w:rFonts w:ascii="Times New Roman" w:eastAsia="Times New Roman" w:hAnsi="Times New Roman" w:cs="Times New Roman"/>
            <w:color w:val="0000FF"/>
            <w:sz w:val="24"/>
            <w:szCs w:val="24"/>
            <w:u w:val="single"/>
          </w:rPr>
          <w:t>https://openprairie.sdstate.edu/econ_staffpaper/202</w:t>
        </w:r>
      </w:hyperlink>
      <w:r w:rsidRPr="00A855EA">
        <w:rPr>
          <w:rFonts w:ascii="Times New Roman" w:eastAsia="Times New Roman" w:hAnsi="Times New Roman" w:cs="Times New Roman"/>
          <w:sz w:val="24"/>
          <w:szCs w:val="24"/>
        </w:rPr>
        <w:t>.</w:t>
      </w:r>
    </w:p>
    <w:p w14:paraId="44AC9667" w14:textId="77777777" w:rsidR="00193489" w:rsidRPr="00A855EA" w:rsidRDefault="00193489" w:rsidP="00E50004">
      <w:pPr>
        <w:spacing w:after="0" w:line="480" w:lineRule="auto"/>
        <w:ind w:hanging="480"/>
        <w:rPr>
          <w:rFonts w:ascii="Times New Roman" w:eastAsia="Times New Roman" w:hAnsi="Times New Roman" w:cs="Times New Roman"/>
          <w:sz w:val="24"/>
          <w:szCs w:val="24"/>
        </w:rPr>
      </w:pPr>
      <w:r w:rsidRPr="00A855EA">
        <w:rPr>
          <w:rFonts w:ascii="Times New Roman" w:eastAsia="Times New Roman" w:hAnsi="Times New Roman" w:cs="Times New Roman"/>
          <w:sz w:val="24"/>
          <w:szCs w:val="24"/>
        </w:rPr>
        <w:t xml:space="preserve">———. 2013b. “Rent Gradient of a College Town.” In </w:t>
      </w:r>
      <w:r w:rsidRPr="00A855EA">
        <w:rPr>
          <w:rFonts w:ascii="Times New Roman" w:eastAsia="Times New Roman" w:hAnsi="Times New Roman" w:cs="Times New Roman"/>
          <w:i/>
          <w:iCs/>
          <w:sz w:val="24"/>
          <w:szCs w:val="24"/>
        </w:rPr>
        <w:t>Economics Staff Paper Series</w:t>
      </w:r>
      <w:r w:rsidRPr="00A855EA">
        <w:rPr>
          <w:rFonts w:ascii="Times New Roman" w:eastAsia="Times New Roman" w:hAnsi="Times New Roman" w:cs="Times New Roman"/>
          <w:sz w:val="24"/>
          <w:szCs w:val="24"/>
        </w:rPr>
        <w:t>, Paper 202:17.</w:t>
      </w:r>
    </w:p>
    <w:p w14:paraId="2C12CB4E" w14:textId="77777777" w:rsidR="00193489" w:rsidRDefault="00193489" w:rsidP="00E50004">
      <w:pPr>
        <w:spacing w:after="0" w:line="480" w:lineRule="auto"/>
        <w:ind w:hanging="480"/>
        <w:rPr>
          <w:rFonts w:ascii="Times New Roman" w:eastAsia="Times New Roman" w:hAnsi="Times New Roman" w:cs="Times New Roman"/>
          <w:sz w:val="24"/>
          <w:szCs w:val="24"/>
        </w:rPr>
      </w:pPr>
      <w:r w:rsidRPr="00A855EA">
        <w:rPr>
          <w:rFonts w:ascii="Times New Roman" w:eastAsia="Times New Roman" w:hAnsi="Times New Roman" w:cs="Times New Roman"/>
          <w:sz w:val="24"/>
          <w:szCs w:val="24"/>
        </w:rPr>
        <w:t xml:space="preserve">Mast, Evan. 2019. “The Effect of New Market-Rate Housing Construction on the Low-Income Housing Market.” SSRN Scholarly Paper ID 3426103. Rochester, NY: Social Science Research Network. </w:t>
      </w:r>
      <w:hyperlink r:id="rId19" w:history="1">
        <w:r w:rsidRPr="00A855EA">
          <w:rPr>
            <w:rFonts w:ascii="Times New Roman" w:eastAsia="Times New Roman" w:hAnsi="Times New Roman" w:cs="Times New Roman"/>
            <w:color w:val="0000FF"/>
            <w:sz w:val="24"/>
            <w:szCs w:val="24"/>
            <w:u w:val="single"/>
          </w:rPr>
          <w:t>https://doi.org/10.2139/ssrn.3426103</w:t>
        </w:r>
      </w:hyperlink>
      <w:r w:rsidRPr="00A855EA">
        <w:rPr>
          <w:rFonts w:ascii="Times New Roman" w:eastAsia="Times New Roman" w:hAnsi="Times New Roman" w:cs="Times New Roman"/>
          <w:sz w:val="24"/>
          <w:szCs w:val="24"/>
        </w:rPr>
        <w:t>.</w:t>
      </w:r>
    </w:p>
    <w:p w14:paraId="680E39AA" w14:textId="77777777" w:rsidR="00193489" w:rsidRPr="00A855EA" w:rsidRDefault="00193489" w:rsidP="00E50004">
      <w:pPr>
        <w:spacing w:after="0" w:line="480" w:lineRule="auto"/>
        <w:ind w:hanging="480"/>
        <w:rPr>
          <w:rFonts w:ascii="Times New Roman" w:eastAsia="Times New Roman" w:hAnsi="Times New Roman" w:cs="Times New Roman"/>
          <w:sz w:val="24"/>
          <w:szCs w:val="24"/>
        </w:rPr>
      </w:pPr>
      <w:r w:rsidRPr="006D5638">
        <w:rPr>
          <w:rFonts w:ascii="Times New Roman" w:eastAsia="Times New Roman" w:hAnsi="Times New Roman" w:cs="Times New Roman"/>
          <w:i/>
          <w:iCs/>
          <w:sz w:val="24"/>
          <w:szCs w:val="24"/>
        </w:rPr>
        <w:t>Ordinance of Multifamily Dwellings</w:t>
      </w:r>
      <w:r w:rsidRPr="006D5638">
        <w:rPr>
          <w:rFonts w:ascii="Times New Roman" w:eastAsia="Times New Roman" w:hAnsi="Times New Roman" w:cs="Times New Roman"/>
          <w:sz w:val="24"/>
          <w:szCs w:val="24"/>
        </w:rPr>
        <w:t xml:space="preserve">. 2018. </w:t>
      </w:r>
      <w:hyperlink r:id="rId20" w:history="1">
        <w:r w:rsidRPr="006D5638">
          <w:rPr>
            <w:rFonts w:ascii="Times New Roman" w:eastAsia="Times New Roman" w:hAnsi="Times New Roman" w:cs="Times New Roman"/>
            <w:color w:val="0000FF"/>
            <w:sz w:val="24"/>
            <w:szCs w:val="24"/>
            <w:u w:val="single"/>
          </w:rPr>
          <w:t>https://library.municode.com/ga/athens-clarke_county/ordinances/code_of_ordinances?nodeId=931039</w:t>
        </w:r>
      </w:hyperlink>
      <w:r w:rsidRPr="006D5638">
        <w:rPr>
          <w:rFonts w:ascii="Times New Roman" w:eastAsia="Times New Roman" w:hAnsi="Times New Roman" w:cs="Times New Roman"/>
          <w:sz w:val="24"/>
          <w:szCs w:val="24"/>
        </w:rPr>
        <w:t>.</w:t>
      </w:r>
    </w:p>
    <w:p w14:paraId="04C70FCB" w14:textId="77777777" w:rsidR="00193489" w:rsidRPr="00A855EA" w:rsidRDefault="00193489" w:rsidP="00E50004">
      <w:pPr>
        <w:spacing w:after="0" w:line="480" w:lineRule="auto"/>
        <w:ind w:hanging="480"/>
        <w:rPr>
          <w:rFonts w:ascii="Times New Roman" w:eastAsia="Times New Roman" w:hAnsi="Times New Roman" w:cs="Times New Roman"/>
          <w:sz w:val="24"/>
          <w:szCs w:val="24"/>
        </w:rPr>
      </w:pPr>
      <w:r w:rsidRPr="00A855EA">
        <w:rPr>
          <w:rFonts w:ascii="Times New Roman" w:eastAsia="Times New Roman" w:hAnsi="Times New Roman" w:cs="Times New Roman"/>
          <w:sz w:val="24"/>
          <w:szCs w:val="24"/>
        </w:rPr>
        <w:lastRenderedPageBreak/>
        <w:t xml:space="preserve">Rosser Team. 2017. “Athens Downtown Health and Safety Study - Report.” Rosser. </w:t>
      </w:r>
      <w:hyperlink r:id="rId21" w:history="1">
        <w:r w:rsidRPr="00A855EA">
          <w:rPr>
            <w:rFonts w:ascii="Times New Roman" w:eastAsia="Times New Roman" w:hAnsi="Times New Roman" w:cs="Times New Roman"/>
            <w:color w:val="0000FF"/>
            <w:sz w:val="24"/>
            <w:szCs w:val="24"/>
            <w:u w:val="single"/>
          </w:rPr>
          <w:t>https://www.accgov.com/DocumentCenter/View/71466/Athens-Downtown-Health-and-Safety-Study---Final?bidId=</w:t>
        </w:r>
      </w:hyperlink>
      <w:r w:rsidRPr="00A855EA">
        <w:rPr>
          <w:rFonts w:ascii="Times New Roman" w:eastAsia="Times New Roman" w:hAnsi="Times New Roman" w:cs="Times New Roman"/>
          <w:sz w:val="24"/>
          <w:szCs w:val="24"/>
        </w:rPr>
        <w:t>.</w:t>
      </w:r>
    </w:p>
    <w:p w14:paraId="63B59AD6" w14:textId="77777777" w:rsidR="00193489" w:rsidRPr="00A855EA" w:rsidRDefault="00193489" w:rsidP="00E50004">
      <w:pPr>
        <w:spacing w:after="0" w:line="480" w:lineRule="auto"/>
        <w:ind w:hanging="480"/>
        <w:rPr>
          <w:rFonts w:ascii="Times New Roman" w:eastAsia="Times New Roman" w:hAnsi="Times New Roman" w:cs="Times New Roman"/>
          <w:sz w:val="24"/>
          <w:szCs w:val="24"/>
        </w:rPr>
      </w:pPr>
      <w:r w:rsidRPr="006D5638">
        <w:rPr>
          <w:rFonts w:ascii="Times New Roman" w:eastAsia="Times New Roman" w:hAnsi="Times New Roman" w:cs="Times New Roman"/>
          <w:sz w:val="24"/>
          <w:szCs w:val="24"/>
        </w:rPr>
        <w:t xml:space="preserve">Thompson, Jim. 2017. “Athens-Clarke Commissioners Approve Moratoria on Most New Downtown Bars, Apartments.” Athens Banner-Herald. February 7, 2017. </w:t>
      </w:r>
      <w:hyperlink r:id="rId22" w:history="1">
        <w:r w:rsidRPr="006D5638">
          <w:rPr>
            <w:rFonts w:ascii="Times New Roman" w:eastAsia="Times New Roman" w:hAnsi="Times New Roman" w:cs="Times New Roman"/>
            <w:color w:val="0000FF"/>
            <w:sz w:val="24"/>
            <w:szCs w:val="24"/>
            <w:u w:val="single"/>
          </w:rPr>
          <w:t>https://www.onlineathens.com/local-news/2017-02-07/athens-clarke-commissioners-approve-moratoria-most-new-downtown-bars</w:t>
        </w:r>
      </w:hyperlink>
      <w:r w:rsidRPr="006D5638">
        <w:rPr>
          <w:rFonts w:ascii="Times New Roman" w:eastAsia="Times New Roman" w:hAnsi="Times New Roman" w:cs="Times New Roman"/>
          <w:sz w:val="24"/>
          <w:szCs w:val="24"/>
        </w:rPr>
        <w:t>.</w:t>
      </w:r>
    </w:p>
    <w:p w14:paraId="4901F782" w14:textId="084543CA" w:rsidR="00193489" w:rsidRDefault="00193489" w:rsidP="00E50004">
      <w:pPr>
        <w:spacing w:after="0" w:line="480" w:lineRule="auto"/>
        <w:ind w:hanging="480"/>
        <w:rPr>
          <w:rFonts w:ascii="Times New Roman" w:eastAsia="Times New Roman" w:hAnsi="Times New Roman" w:cs="Times New Roman"/>
          <w:sz w:val="24"/>
          <w:szCs w:val="24"/>
        </w:rPr>
      </w:pPr>
      <w:r w:rsidRPr="00A855EA">
        <w:rPr>
          <w:rFonts w:ascii="Times New Roman" w:eastAsia="Times New Roman" w:hAnsi="Times New Roman" w:cs="Times New Roman"/>
          <w:sz w:val="24"/>
          <w:szCs w:val="24"/>
        </w:rPr>
        <w:t xml:space="preserve">Ward, Bryce. 2016. “Curse of the College Town.” </w:t>
      </w:r>
      <w:r w:rsidRPr="00A855EA">
        <w:rPr>
          <w:rFonts w:ascii="Times New Roman" w:eastAsia="Times New Roman" w:hAnsi="Times New Roman" w:cs="Times New Roman"/>
          <w:i/>
          <w:iCs/>
          <w:sz w:val="24"/>
          <w:szCs w:val="24"/>
        </w:rPr>
        <w:t>Montana Business Quarterly</w:t>
      </w:r>
      <w:r w:rsidRPr="00A855EA">
        <w:rPr>
          <w:rFonts w:ascii="Times New Roman" w:eastAsia="Times New Roman" w:hAnsi="Times New Roman" w:cs="Times New Roman"/>
          <w:sz w:val="24"/>
          <w:szCs w:val="24"/>
        </w:rPr>
        <w:t xml:space="preserve"> 54 (2): 16–19.</w:t>
      </w:r>
    </w:p>
    <w:p w14:paraId="64464405" w14:textId="76AC5106" w:rsidR="00C05BD7" w:rsidRDefault="00C05BD7" w:rsidP="00E50004">
      <w:pPr>
        <w:spacing w:after="0" w:line="480" w:lineRule="auto"/>
        <w:ind w:hanging="480"/>
        <w:rPr>
          <w:rFonts w:ascii="Times New Roman" w:eastAsia="Times New Roman" w:hAnsi="Times New Roman" w:cs="Times New Roman"/>
          <w:sz w:val="24"/>
          <w:szCs w:val="24"/>
        </w:rPr>
      </w:pPr>
    </w:p>
    <w:p w14:paraId="4BAD51E2" w14:textId="532B2AEF" w:rsidR="00C05BD7" w:rsidRDefault="00C05BD7" w:rsidP="00E50004">
      <w:pPr>
        <w:spacing w:after="0" w:line="480" w:lineRule="auto"/>
        <w:ind w:hanging="480"/>
        <w:rPr>
          <w:rFonts w:ascii="Times New Roman" w:eastAsia="Times New Roman" w:hAnsi="Times New Roman" w:cs="Times New Roman"/>
          <w:sz w:val="24"/>
          <w:szCs w:val="24"/>
        </w:rPr>
      </w:pPr>
    </w:p>
    <w:p w14:paraId="3A1AF8E1" w14:textId="77777777" w:rsidR="00C05BD7" w:rsidRDefault="00C05BD7" w:rsidP="00E50004">
      <w:pPr>
        <w:spacing w:after="0" w:line="480" w:lineRule="auto"/>
        <w:ind w:hanging="480"/>
        <w:rPr>
          <w:rFonts w:ascii="Times New Roman" w:eastAsia="Times New Roman" w:hAnsi="Times New Roman" w:cs="Times New Roman"/>
          <w:sz w:val="24"/>
          <w:szCs w:val="24"/>
        </w:rPr>
      </w:pPr>
    </w:p>
    <w:p w14:paraId="6B81020D" w14:textId="77777777" w:rsidR="00193489" w:rsidRDefault="00193489" w:rsidP="00E50004">
      <w:pPr>
        <w:spacing w:after="0" w:line="480" w:lineRule="auto"/>
        <w:ind w:hanging="480"/>
        <w:rPr>
          <w:rFonts w:ascii="Times New Roman" w:eastAsia="Times New Roman" w:hAnsi="Times New Roman" w:cs="Times New Roman"/>
          <w:sz w:val="24"/>
          <w:szCs w:val="24"/>
        </w:rPr>
      </w:pPr>
    </w:p>
    <w:p w14:paraId="546F9838" w14:textId="77777777" w:rsidR="00782B8E" w:rsidRPr="00782B8E" w:rsidRDefault="00782B8E" w:rsidP="00E50004">
      <w:pPr>
        <w:spacing w:after="0" w:line="480" w:lineRule="auto"/>
        <w:rPr>
          <w:rFonts w:ascii="Times New Roman" w:eastAsia="Times New Roman" w:hAnsi="Times New Roman" w:cs="Times New Roman"/>
          <w:sz w:val="24"/>
          <w:szCs w:val="24"/>
        </w:rPr>
      </w:pPr>
    </w:p>
    <w:p w14:paraId="582F798E" w14:textId="77777777" w:rsidR="00782B8E" w:rsidRPr="00782B8E" w:rsidRDefault="00782B8E" w:rsidP="00E50004">
      <w:pPr>
        <w:spacing w:after="0" w:line="480" w:lineRule="auto"/>
        <w:rPr>
          <w:rFonts w:ascii="Times New Roman" w:eastAsia="Times New Roman" w:hAnsi="Times New Roman" w:cs="Times New Roman"/>
          <w:sz w:val="24"/>
          <w:szCs w:val="24"/>
        </w:rPr>
      </w:pPr>
      <w:r w:rsidRPr="00782B8E">
        <w:rPr>
          <w:rFonts w:ascii="Times New Roman" w:eastAsia="Times New Roman" w:hAnsi="Times New Roman" w:cs="Times New Roman"/>
          <w:sz w:val="24"/>
          <w:szCs w:val="24"/>
        </w:rPr>
        <w:br w:type="page"/>
      </w:r>
    </w:p>
    <w:p w14:paraId="444ED10B" w14:textId="3919B820" w:rsidR="00C46BFC" w:rsidRDefault="00B6110D" w:rsidP="00E50004">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1: Regression Diagnostic Plots</w:t>
      </w:r>
    </w:p>
    <w:p w14:paraId="4D697809" w14:textId="2AB9887B" w:rsidR="00831309" w:rsidRDefault="00E42AF8" w:rsidP="00E50004">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49DD1662" wp14:editId="77B8B4BA">
            <wp:simplePos x="0" y="0"/>
            <wp:positionH relativeFrom="column">
              <wp:posOffset>685800</wp:posOffset>
            </wp:positionH>
            <wp:positionV relativeFrom="paragraph">
              <wp:posOffset>90170</wp:posOffset>
            </wp:positionV>
            <wp:extent cx="4242435" cy="3535045"/>
            <wp:effectExtent l="0" t="0" r="5715"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42435" cy="3535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1EA3C0" w14:textId="0A7CCCA1" w:rsidR="00831309" w:rsidRDefault="00831309" w:rsidP="00E50004">
      <w:pPr>
        <w:spacing w:line="480" w:lineRule="auto"/>
        <w:jc w:val="center"/>
        <w:rPr>
          <w:rFonts w:ascii="Times New Roman" w:hAnsi="Times New Roman" w:cs="Times New Roman"/>
          <w:sz w:val="24"/>
          <w:szCs w:val="24"/>
        </w:rPr>
      </w:pPr>
    </w:p>
    <w:p w14:paraId="70C2E1BA" w14:textId="7F5A80F8" w:rsidR="00831309" w:rsidRDefault="00831309" w:rsidP="00E50004">
      <w:pPr>
        <w:spacing w:line="480" w:lineRule="auto"/>
        <w:jc w:val="center"/>
        <w:rPr>
          <w:rFonts w:ascii="Times New Roman" w:hAnsi="Times New Roman" w:cs="Times New Roman"/>
          <w:sz w:val="24"/>
          <w:szCs w:val="24"/>
        </w:rPr>
      </w:pPr>
    </w:p>
    <w:p w14:paraId="4E12B995" w14:textId="3F665CF9" w:rsidR="00831309" w:rsidRDefault="00831309" w:rsidP="00E50004">
      <w:pPr>
        <w:spacing w:line="480" w:lineRule="auto"/>
        <w:jc w:val="center"/>
        <w:rPr>
          <w:rFonts w:ascii="Times New Roman" w:hAnsi="Times New Roman" w:cs="Times New Roman"/>
          <w:sz w:val="24"/>
          <w:szCs w:val="24"/>
        </w:rPr>
      </w:pPr>
    </w:p>
    <w:p w14:paraId="5509A01C" w14:textId="6D504256" w:rsidR="00831309" w:rsidRDefault="00831309" w:rsidP="00E50004">
      <w:pPr>
        <w:spacing w:line="480" w:lineRule="auto"/>
        <w:jc w:val="center"/>
        <w:rPr>
          <w:rFonts w:ascii="Times New Roman" w:hAnsi="Times New Roman" w:cs="Times New Roman"/>
          <w:sz w:val="24"/>
          <w:szCs w:val="24"/>
        </w:rPr>
      </w:pPr>
    </w:p>
    <w:p w14:paraId="3B0DDA39" w14:textId="1D7995A6" w:rsidR="00831309" w:rsidRDefault="00831309" w:rsidP="00E50004">
      <w:pPr>
        <w:spacing w:line="480" w:lineRule="auto"/>
        <w:jc w:val="center"/>
        <w:rPr>
          <w:rFonts w:ascii="Times New Roman" w:hAnsi="Times New Roman" w:cs="Times New Roman"/>
          <w:sz w:val="24"/>
          <w:szCs w:val="24"/>
        </w:rPr>
      </w:pPr>
    </w:p>
    <w:p w14:paraId="5C6ECC15" w14:textId="2198261C" w:rsidR="00831309" w:rsidRDefault="00831309" w:rsidP="00E50004">
      <w:pPr>
        <w:spacing w:line="480" w:lineRule="auto"/>
        <w:jc w:val="center"/>
        <w:rPr>
          <w:rFonts w:ascii="Times New Roman" w:hAnsi="Times New Roman" w:cs="Times New Roman"/>
          <w:sz w:val="24"/>
          <w:szCs w:val="24"/>
        </w:rPr>
      </w:pPr>
    </w:p>
    <w:p w14:paraId="64FAC9E6" w14:textId="04207292" w:rsidR="00831309" w:rsidRDefault="00831309" w:rsidP="00E50004">
      <w:pPr>
        <w:spacing w:line="480" w:lineRule="auto"/>
        <w:jc w:val="center"/>
        <w:rPr>
          <w:rFonts w:ascii="Times New Roman" w:hAnsi="Times New Roman" w:cs="Times New Roman"/>
          <w:sz w:val="24"/>
          <w:szCs w:val="24"/>
        </w:rPr>
      </w:pPr>
    </w:p>
    <w:p w14:paraId="6BD801BC" w14:textId="66857378" w:rsidR="00831309" w:rsidRDefault="00E42AF8" w:rsidP="00E50004">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16A205AF" wp14:editId="426FB0C7">
            <wp:simplePos x="0" y="0"/>
            <wp:positionH relativeFrom="column">
              <wp:posOffset>628650</wp:posOffset>
            </wp:positionH>
            <wp:positionV relativeFrom="paragraph">
              <wp:posOffset>293370</wp:posOffset>
            </wp:positionV>
            <wp:extent cx="4297680" cy="3581400"/>
            <wp:effectExtent l="0" t="0" r="7620" b="0"/>
            <wp:wrapSquare wrapText="bothSides"/>
            <wp:docPr id="6" name="Picture 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with medium confidenc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297680" cy="3581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A29FE3" w14:textId="34DCACC5" w:rsidR="00831309" w:rsidRDefault="00831309" w:rsidP="00E50004">
      <w:pPr>
        <w:spacing w:line="480" w:lineRule="auto"/>
        <w:jc w:val="center"/>
        <w:rPr>
          <w:rFonts w:ascii="Times New Roman" w:hAnsi="Times New Roman" w:cs="Times New Roman"/>
          <w:sz w:val="24"/>
          <w:szCs w:val="24"/>
        </w:rPr>
      </w:pPr>
    </w:p>
    <w:p w14:paraId="10DCCB39" w14:textId="016D1264" w:rsidR="00831309" w:rsidRDefault="00831309" w:rsidP="00E50004">
      <w:pPr>
        <w:spacing w:line="480" w:lineRule="auto"/>
        <w:jc w:val="center"/>
        <w:rPr>
          <w:rFonts w:ascii="Times New Roman" w:hAnsi="Times New Roman" w:cs="Times New Roman"/>
          <w:sz w:val="24"/>
          <w:szCs w:val="24"/>
        </w:rPr>
      </w:pPr>
    </w:p>
    <w:p w14:paraId="50674125" w14:textId="243B18D6" w:rsidR="00831309" w:rsidRDefault="00831309" w:rsidP="00E50004">
      <w:pPr>
        <w:spacing w:line="480" w:lineRule="auto"/>
        <w:jc w:val="center"/>
        <w:rPr>
          <w:rFonts w:ascii="Times New Roman" w:hAnsi="Times New Roman" w:cs="Times New Roman"/>
          <w:sz w:val="24"/>
          <w:szCs w:val="24"/>
        </w:rPr>
      </w:pPr>
    </w:p>
    <w:p w14:paraId="0A349A5E" w14:textId="1F12CCB6" w:rsidR="00831309" w:rsidRDefault="00831309" w:rsidP="00E50004">
      <w:pPr>
        <w:spacing w:line="480" w:lineRule="auto"/>
        <w:jc w:val="center"/>
        <w:rPr>
          <w:rFonts w:ascii="Times New Roman" w:hAnsi="Times New Roman" w:cs="Times New Roman"/>
          <w:sz w:val="24"/>
          <w:szCs w:val="24"/>
        </w:rPr>
      </w:pPr>
    </w:p>
    <w:p w14:paraId="2F441D50" w14:textId="63254C91" w:rsidR="00831309" w:rsidRDefault="00831309" w:rsidP="00E50004">
      <w:pPr>
        <w:spacing w:line="480" w:lineRule="auto"/>
        <w:jc w:val="center"/>
        <w:rPr>
          <w:rFonts w:ascii="Times New Roman" w:hAnsi="Times New Roman" w:cs="Times New Roman"/>
          <w:sz w:val="24"/>
          <w:szCs w:val="24"/>
        </w:rPr>
      </w:pPr>
    </w:p>
    <w:p w14:paraId="28F753F5" w14:textId="335CAC74" w:rsidR="00831309" w:rsidRDefault="00831309" w:rsidP="00E50004">
      <w:pPr>
        <w:spacing w:line="480" w:lineRule="auto"/>
        <w:jc w:val="center"/>
        <w:rPr>
          <w:rFonts w:ascii="Times New Roman" w:hAnsi="Times New Roman" w:cs="Times New Roman"/>
          <w:sz w:val="24"/>
          <w:szCs w:val="24"/>
        </w:rPr>
      </w:pPr>
    </w:p>
    <w:p w14:paraId="0550BECD" w14:textId="05B47E17" w:rsidR="00831309" w:rsidRDefault="00831309" w:rsidP="00E50004">
      <w:pPr>
        <w:spacing w:line="480" w:lineRule="auto"/>
        <w:jc w:val="center"/>
        <w:rPr>
          <w:rFonts w:ascii="Times New Roman" w:hAnsi="Times New Roman" w:cs="Times New Roman"/>
          <w:sz w:val="24"/>
          <w:szCs w:val="24"/>
        </w:rPr>
      </w:pPr>
    </w:p>
    <w:p w14:paraId="7855F3FF" w14:textId="147E6DF5" w:rsidR="00831309" w:rsidRDefault="00831309" w:rsidP="00E50004">
      <w:pPr>
        <w:spacing w:line="480" w:lineRule="auto"/>
        <w:jc w:val="center"/>
        <w:rPr>
          <w:rFonts w:ascii="Times New Roman" w:hAnsi="Times New Roman" w:cs="Times New Roman"/>
          <w:sz w:val="24"/>
          <w:szCs w:val="24"/>
        </w:rPr>
      </w:pPr>
    </w:p>
    <w:p w14:paraId="514D0E45" w14:textId="51DDA007" w:rsidR="00831309" w:rsidRDefault="00831309" w:rsidP="00E50004">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0FCC1428" wp14:editId="21FBDE6B">
            <wp:simplePos x="0" y="0"/>
            <wp:positionH relativeFrom="column">
              <wp:posOffset>390525</wp:posOffset>
            </wp:positionH>
            <wp:positionV relativeFrom="paragraph">
              <wp:posOffset>4168775</wp:posOffset>
            </wp:positionV>
            <wp:extent cx="4867275" cy="4055110"/>
            <wp:effectExtent l="0" t="0" r="9525"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867275" cy="40551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2336" behindDoc="0" locked="0" layoutInCell="1" allowOverlap="1" wp14:anchorId="6BF3C840" wp14:editId="4C697009">
            <wp:simplePos x="0" y="0"/>
            <wp:positionH relativeFrom="column">
              <wp:posOffset>391160</wp:posOffset>
            </wp:positionH>
            <wp:positionV relativeFrom="paragraph">
              <wp:posOffset>0</wp:posOffset>
            </wp:positionV>
            <wp:extent cx="4933568" cy="4111308"/>
            <wp:effectExtent l="0" t="0" r="635"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933568" cy="411130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510F4D" w14:textId="46C4BFE2" w:rsidR="00E42AF8" w:rsidRPr="00E42AF8" w:rsidRDefault="00E42AF8" w:rsidP="00E50004">
      <w:pPr>
        <w:spacing w:line="480" w:lineRule="auto"/>
        <w:rPr>
          <w:rFonts w:ascii="Times New Roman" w:hAnsi="Times New Roman" w:cs="Times New Roman"/>
          <w:sz w:val="24"/>
          <w:szCs w:val="24"/>
        </w:rPr>
      </w:pPr>
    </w:p>
    <w:p w14:paraId="050222D0" w14:textId="3DFE33A5" w:rsidR="00E42AF8" w:rsidRPr="00E42AF8" w:rsidRDefault="00E42AF8" w:rsidP="00E50004">
      <w:pPr>
        <w:spacing w:line="480" w:lineRule="auto"/>
        <w:rPr>
          <w:rFonts w:ascii="Times New Roman" w:hAnsi="Times New Roman" w:cs="Times New Roman"/>
          <w:sz w:val="24"/>
          <w:szCs w:val="24"/>
        </w:rPr>
      </w:pPr>
    </w:p>
    <w:p w14:paraId="5C100F9D" w14:textId="6F33EF98" w:rsidR="00E42AF8" w:rsidRPr="00E42AF8" w:rsidRDefault="00E42AF8" w:rsidP="00E50004">
      <w:pPr>
        <w:spacing w:line="480" w:lineRule="auto"/>
        <w:rPr>
          <w:rFonts w:ascii="Times New Roman" w:hAnsi="Times New Roman" w:cs="Times New Roman"/>
          <w:sz w:val="24"/>
          <w:szCs w:val="24"/>
        </w:rPr>
      </w:pPr>
    </w:p>
    <w:p w14:paraId="367B9A32" w14:textId="3ED7534B" w:rsidR="00E42AF8" w:rsidRPr="00E42AF8" w:rsidRDefault="00E42AF8" w:rsidP="00E50004">
      <w:pPr>
        <w:spacing w:line="480" w:lineRule="auto"/>
        <w:rPr>
          <w:rFonts w:ascii="Times New Roman" w:hAnsi="Times New Roman" w:cs="Times New Roman"/>
          <w:sz w:val="24"/>
          <w:szCs w:val="24"/>
        </w:rPr>
      </w:pPr>
    </w:p>
    <w:p w14:paraId="65A349FF" w14:textId="445AAF1A" w:rsidR="00E42AF8" w:rsidRPr="00E42AF8" w:rsidRDefault="00E42AF8" w:rsidP="00E50004">
      <w:pPr>
        <w:spacing w:line="480" w:lineRule="auto"/>
        <w:rPr>
          <w:rFonts w:ascii="Times New Roman" w:hAnsi="Times New Roman" w:cs="Times New Roman"/>
          <w:sz w:val="24"/>
          <w:szCs w:val="24"/>
        </w:rPr>
      </w:pPr>
    </w:p>
    <w:p w14:paraId="65FC4EC3" w14:textId="1B667246" w:rsidR="00E42AF8" w:rsidRPr="00E42AF8" w:rsidRDefault="00E42AF8" w:rsidP="00E50004">
      <w:pPr>
        <w:spacing w:line="480" w:lineRule="auto"/>
        <w:rPr>
          <w:rFonts w:ascii="Times New Roman" w:hAnsi="Times New Roman" w:cs="Times New Roman"/>
          <w:sz w:val="24"/>
          <w:szCs w:val="24"/>
        </w:rPr>
      </w:pPr>
    </w:p>
    <w:p w14:paraId="443A9C54" w14:textId="178C2580" w:rsidR="00E42AF8" w:rsidRPr="00E42AF8" w:rsidRDefault="00E42AF8" w:rsidP="00E50004">
      <w:pPr>
        <w:spacing w:line="480" w:lineRule="auto"/>
        <w:rPr>
          <w:rFonts w:ascii="Times New Roman" w:hAnsi="Times New Roman" w:cs="Times New Roman"/>
          <w:sz w:val="24"/>
          <w:szCs w:val="24"/>
        </w:rPr>
      </w:pPr>
    </w:p>
    <w:p w14:paraId="768750F3" w14:textId="403975FC" w:rsidR="00E42AF8" w:rsidRPr="00E42AF8" w:rsidRDefault="00E42AF8" w:rsidP="00E50004">
      <w:pPr>
        <w:spacing w:line="480" w:lineRule="auto"/>
        <w:rPr>
          <w:rFonts w:ascii="Times New Roman" w:hAnsi="Times New Roman" w:cs="Times New Roman"/>
          <w:sz w:val="24"/>
          <w:szCs w:val="24"/>
        </w:rPr>
      </w:pPr>
    </w:p>
    <w:p w14:paraId="77701A30" w14:textId="22A994E2" w:rsidR="00E42AF8" w:rsidRPr="00E42AF8" w:rsidRDefault="00E42AF8" w:rsidP="00E50004">
      <w:pPr>
        <w:spacing w:line="480" w:lineRule="auto"/>
        <w:rPr>
          <w:rFonts w:ascii="Times New Roman" w:hAnsi="Times New Roman" w:cs="Times New Roman"/>
          <w:sz w:val="24"/>
          <w:szCs w:val="24"/>
        </w:rPr>
      </w:pPr>
    </w:p>
    <w:p w14:paraId="5EC155E0" w14:textId="3A085FEC" w:rsidR="00E42AF8" w:rsidRPr="00E42AF8" w:rsidRDefault="00E42AF8" w:rsidP="00E50004">
      <w:pPr>
        <w:spacing w:line="480" w:lineRule="auto"/>
        <w:rPr>
          <w:rFonts w:ascii="Times New Roman" w:hAnsi="Times New Roman" w:cs="Times New Roman"/>
          <w:sz w:val="24"/>
          <w:szCs w:val="24"/>
        </w:rPr>
      </w:pPr>
    </w:p>
    <w:p w14:paraId="6E54A9A3" w14:textId="40FCC84D" w:rsidR="00E42AF8" w:rsidRPr="00E42AF8" w:rsidRDefault="00E42AF8" w:rsidP="00E50004">
      <w:pPr>
        <w:spacing w:line="480" w:lineRule="auto"/>
        <w:rPr>
          <w:rFonts w:ascii="Times New Roman" w:hAnsi="Times New Roman" w:cs="Times New Roman"/>
          <w:sz w:val="24"/>
          <w:szCs w:val="24"/>
        </w:rPr>
      </w:pPr>
    </w:p>
    <w:p w14:paraId="3C9D1601" w14:textId="7161EAA5" w:rsidR="00E42AF8" w:rsidRPr="00E42AF8" w:rsidRDefault="00E42AF8" w:rsidP="00E50004">
      <w:pPr>
        <w:spacing w:line="480" w:lineRule="auto"/>
        <w:rPr>
          <w:rFonts w:ascii="Times New Roman" w:hAnsi="Times New Roman" w:cs="Times New Roman"/>
          <w:sz w:val="24"/>
          <w:szCs w:val="24"/>
        </w:rPr>
      </w:pPr>
    </w:p>
    <w:p w14:paraId="5473A451" w14:textId="73739250" w:rsidR="00E42AF8" w:rsidRPr="00E42AF8" w:rsidRDefault="00E42AF8" w:rsidP="00E50004">
      <w:pPr>
        <w:spacing w:line="480" w:lineRule="auto"/>
        <w:rPr>
          <w:rFonts w:ascii="Times New Roman" w:hAnsi="Times New Roman" w:cs="Times New Roman"/>
          <w:sz w:val="24"/>
          <w:szCs w:val="24"/>
        </w:rPr>
      </w:pPr>
    </w:p>
    <w:p w14:paraId="33C0ED91" w14:textId="0B6699BD" w:rsidR="00E42AF8" w:rsidRPr="00E42AF8" w:rsidRDefault="00E42AF8" w:rsidP="00E50004">
      <w:pPr>
        <w:spacing w:line="480" w:lineRule="auto"/>
        <w:rPr>
          <w:rFonts w:ascii="Times New Roman" w:hAnsi="Times New Roman" w:cs="Times New Roman"/>
          <w:sz w:val="24"/>
          <w:szCs w:val="24"/>
        </w:rPr>
      </w:pPr>
    </w:p>
    <w:p w14:paraId="7A2494C4" w14:textId="686C0A61" w:rsidR="00E42AF8" w:rsidRPr="00E42AF8" w:rsidRDefault="00E42AF8" w:rsidP="00E50004">
      <w:pPr>
        <w:spacing w:line="480" w:lineRule="auto"/>
        <w:rPr>
          <w:rFonts w:ascii="Times New Roman" w:hAnsi="Times New Roman" w:cs="Times New Roman"/>
          <w:sz w:val="24"/>
          <w:szCs w:val="24"/>
        </w:rPr>
      </w:pPr>
    </w:p>
    <w:p w14:paraId="13D709BA" w14:textId="3B9CD9EB" w:rsidR="00E42AF8" w:rsidRPr="00E42AF8" w:rsidRDefault="00E42AF8" w:rsidP="00E50004">
      <w:pPr>
        <w:spacing w:line="480" w:lineRule="auto"/>
        <w:rPr>
          <w:rFonts w:ascii="Times New Roman" w:hAnsi="Times New Roman" w:cs="Times New Roman"/>
          <w:sz w:val="24"/>
          <w:szCs w:val="24"/>
        </w:rPr>
      </w:pPr>
    </w:p>
    <w:p w14:paraId="0B60F2CD" w14:textId="214F6191" w:rsidR="00E42AF8" w:rsidRPr="00E42AF8" w:rsidRDefault="00E42AF8" w:rsidP="00E50004">
      <w:pPr>
        <w:spacing w:line="480" w:lineRule="auto"/>
        <w:rPr>
          <w:rFonts w:ascii="Times New Roman" w:hAnsi="Times New Roman" w:cs="Times New Roman"/>
          <w:sz w:val="24"/>
          <w:szCs w:val="24"/>
        </w:rPr>
      </w:pPr>
    </w:p>
    <w:p w14:paraId="7D5EA8E6" w14:textId="33828CB8" w:rsidR="00E42AF8" w:rsidRPr="00E42AF8" w:rsidRDefault="00E42AF8" w:rsidP="00E50004">
      <w:pPr>
        <w:spacing w:line="480" w:lineRule="auto"/>
        <w:rPr>
          <w:rFonts w:ascii="Times New Roman" w:hAnsi="Times New Roman" w:cs="Times New Roman"/>
          <w:sz w:val="24"/>
          <w:szCs w:val="24"/>
        </w:rPr>
      </w:pPr>
    </w:p>
    <w:p w14:paraId="325D50C7" w14:textId="40F0A547" w:rsidR="00E42AF8" w:rsidRPr="00E42AF8" w:rsidRDefault="00E42AF8" w:rsidP="00E50004">
      <w:pPr>
        <w:spacing w:line="480" w:lineRule="auto"/>
        <w:rPr>
          <w:rFonts w:ascii="Times New Roman" w:hAnsi="Times New Roman" w:cs="Times New Roman"/>
          <w:sz w:val="24"/>
          <w:szCs w:val="24"/>
        </w:rPr>
      </w:pPr>
    </w:p>
    <w:p w14:paraId="6B017D77" w14:textId="333734EB" w:rsidR="00E42AF8" w:rsidRPr="00E42AF8" w:rsidRDefault="00E42AF8" w:rsidP="00E50004">
      <w:pPr>
        <w:spacing w:line="480" w:lineRule="auto"/>
        <w:rPr>
          <w:rFonts w:ascii="Times New Roman" w:hAnsi="Times New Roman" w:cs="Times New Roman"/>
          <w:sz w:val="24"/>
          <w:szCs w:val="24"/>
        </w:rPr>
      </w:pPr>
    </w:p>
    <w:p w14:paraId="67F5EA6B" w14:textId="602EFCE9" w:rsidR="00E42AF8" w:rsidRPr="00E42AF8" w:rsidRDefault="00E42AF8" w:rsidP="00E50004">
      <w:pPr>
        <w:spacing w:line="480" w:lineRule="auto"/>
        <w:rPr>
          <w:rFonts w:ascii="Times New Roman" w:hAnsi="Times New Roman" w:cs="Times New Roman"/>
          <w:sz w:val="24"/>
          <w:szCs w:val="24"/>
        </w:rPr>
      </w:pPr>
    </w:p>
    <w:p w14:paraId="05A96205" w14:textId="4E221875" w:rsidR="00E42AF8" w:rsidRPr="00E42AF8" w:rsidRDefault="00E42AF8" w:rsidP="00E50004">
      <w:pPr>
        <w:spacing w:line="480" w:lineRule="auto"/>
        <w:rPr>
          <w:rFonts w:ascii="Times New Roman" w:hAnsi="Times New Roman" w:cs="Times New Roman"/>
          <w:sz w:val="24"/>
          <w:szCs w:val="24"/>
        </w:rPr>
      </w:pPr>
    </w:p>
    <w:p w14:paraId="0D1114A7" w14:textId="6351FD78" w:rsidR="00E42AF8" w:rsidRDefault="00E42AF8" w:rsidP="00E50004">
      <w:pPr>
        <w:spacing w:line="480" w:lineRule="auto"/>
        <w:rPr>
          <w:rFonts w:ascii="Times New Roman" w:hAnsi="Times New Roman" w:cs="Times New Roman"/>
          <w:sz w:val="24"/>
          <w:szCs w:val="24"/>
        </w:rPr>
      </w:pPr>
    </w:p>
    <w:p w14:paraId="5B75C447" w14:textId="4FF7AFE8" w:rsidR="00E42AF8" w:rsidRDefault="00E42AF8" w:rsidP="00E50004">
      <w:pPr>
        <w:spacing w:line="480" w:lineRule="auto"/>
        <w:rPr>
          <w:rFonts w:ascii="Times New Roman" w:hAnsi="Times New Roman" w:cs="Times New Roman"/>
          <w:sz w:val="24"/>
          <w:szCs w:val="24"/>
        </w:rPr>
      </w:pPr>
    </w:p>
    <w:p w14:paraId="6C24487F" w14:textId="46FE1B95" w:rsidR="00E42AF8" w:rsidRDefault="00E42AF8" w:rsidP="00E50004">
      <w:pPr>
        <w:spacing w:line="480" w:lineRule="auto"/>
        <w:rPr>
          <w:rFonts w:ascii="Times New Roman" w:hAnsi="Times New Roman" w:cs="Times New Roman"/>
          <w:sz w:val="24"/>
          <w:szCs w:val="24"/>
        </w:rPr>
      </w:pPr>
    </w:p>
    <w:p w14:paraId="1D750F41" w14:textId="03B0A250" w:rsidR="00E42AF8" w:rsidRDefault="00C05BD7" w:rsidP="00E50004">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4AC60AD1" wp14:editId="054F83B2">
            <wp:simplePos x="0" y="0"/>
            <wp:positionH relativeFrom="column">
              <wp:posOffset>337185</wp:posOffset>
            </wp:positionH>
            <wp:positionV relativeFrom="page">
              <wp:posOffset>4895850</wp:posOffset>
            </wp:positionV>
            <wp:extent cx="4937760" cy="41148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937760" cy="4114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9730EB" w14:textId="7B856A44" w:rsidR="00E42AF8" w:rsidRDefault="00E42AF8" w:rsidP="00E50004">
      <w:pPr>
        <w:spacing w:line="480" w:lineRule="auto"/>
        <w:rPr>
          <w:rFonts w:ascii="Times New Roman" w:hAnsi="Times New Roman" w:cs="Times New Roman"/>
          <w:sz w:val="24"/>
          <w:szCs w:val="24"/>
        </w:rPr>
      </w:pPr>
    </w:p>
    <w:p w14:paraId="6AEBE333" w14:textId="24C8376B" w:rsidR="00E42AF8" w:rsidRDefault="00F17772" w:rsidP="00E50004">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14:anchorId="2632E85B" wp14:editId="1E5BB1D9">
            <wp:simplePos x="0" y="0"/>
            <wp:positionH relativeFrom="column">
              <wp:posOffset>390525</wp:posOffset>
            </wp:positionH>
            <wp:positionV relativeFrom="page">
              <wp:posOffset>695325</wp:posOffset>
            </wp:positionV>
            <wp:extent cx="4798695" cy="3998595"/>
            <wp:effectExtent l="0" t="0" r="1905"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798695" cy="39985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41D5E9" w14:textId="4C43DCCE" w:rsidR="00F17772" w:rsidRDefault="00F17772" w:rsidP="00E50004">
      <w:pPr>
        <w:spacing w:line="480" w:lineRule="auto"/>
        <w:rPr>
          <w:rFonts w:ascii="Times New Roman" w:hAnsi="Times New Roman" w:cs="Times New Roman"/>
          <w:sz w:val="24"/>
          <w:szCs w:val="24"/>
        </w:rPr>
      </w:pPr>
    </w:p>
    <w:p w14:paraId="5F29425D" w14:textId="1EE377B0" w:rsidR="00F17772" w:rsidRDefault="00F17772" w:rsidP="00E50004">
      <w:pPr>
        <w:spacing w:line="480" w:lineRule="auto"/>
        <w:rPr>
          <w:rFonts w:ascii="Times New Roman" w:hAnsi="Times New Roman" w:cs="Times New Roman"/>
          <w:sz w:val="24"/>
          <w:szCs w:val="24"/>
        </w:rPr>
      </w:pPr>
    </w:p>
    <w:p w14:paraId="5D10520A" w14:textId="5A72746C" w:rsidR="00F17772" w:rsidRDefault="00F17772" w:rsidP="00E50004">
      <w:pPr>
        <w:spacing w:line="480" w:lineRule="auto"/>
        <w:rPr>
          <w:rFonts w:ascii="Times New Roman" w:hAnsi="Times New Roman" w:cs="Times New Roman"/>
          <w:sz w:val="24"/>
          <w:szCs w:val="24"/>
        </w:rPr>
      </w:pPr>
    </w:p>
    <w:p w14:paraId="5FB72A2B" w14:textId="4B5528C6" w:rsidR="00F17772" w:rsidRDefault="00F17772" w:rsidP="00E50004">
      <w:pPr>
        <w:spacing w:line="480" w:lineRule="auto"/>
        <w:rPr>
          <w:rFonts w:ascii="Times New Roman" w:hAnsi="Times New Roman" w:cs="Times New Roman"/>
          <w:sz w:val="24"/>
          <w:szCs w:val="24"/>
        </w:rPr>
      </w:pPr>
    </w:p>
    <w:p w14:paraId="39575B90" w14:textId="3BBF8135" w:rsidR="00F17772" w:rsidRDefault="00F17772" w:rsidP="00E50004">
      <w:pPr>
        <w:spacing w:line="480" w:lineRule="auto"/>
        <w:rPr>
          <w:rFonts w:ascii="Times New Roman" w:hAnsi="Times New Roman" w:cs="Times New Roman"/>
          <w:sz w:val="24"/>
          <w:szCs w:val="24"/>
        </w:rPr>
      </w:pPr>
    </w:p>
    <w:p w14:paraId="7C3B0381" w14:textId="704A71A0" w:rsidR="00F17772" w:rsidRDefault="00F17772" w:rsidP="00E50004">
      <w:pPr>
        <w:spacing w:line="480" w:lineRule="auto"/>
        <w:rPr>
          <w:rFonts w:ascii="Times New Roman" w:hAnsi="Times New Roman" w:cs="Times New Roman"/>
          <w:sz w:val="24"/>
          <w:szCs w:val="24"/>
        </w:rPr>
      </w:pPr>
    </w:p>
    <w:p w14:paraId="18077BCF" w14:textId="328B5321" w:rsidR="00F17772" w:rsidRDefault="00F17772" w:rsidP="00E50004">
      <w:pPr>
        <w:spacing w:line="480" w:lineRule="auto"/>
        <w:rPr>
          <w:rFonts w:ascii="Times New Roman" w:hAnsi="Times New Roman" w:cs="Times New Roman"/>
          <w:sz w:val="24"/>
          <w:szCs w:val="24"/>
        </w:rPr>
      </w:pPr>
    </w:p>
    <w:p w14:paraId="21D8D492" w14:textId="3F6B4348" w:rsidR="00F17772" w:rsidRDefault="00C05BD7" w:rsidP="00E50004">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4384" behindDoc="0" locked="0" layoutInCell="1" allowOverlap="1" wp14:anchorId="09B381D1" wp14:editId="43435CB6">
            <wp:simplePos x="0" y="0"/>
            <wp:positionH relativeFrom="column">
              <wp:posOffset>495300</wp:posOffset>
            </wp:positionH>
            <wp:positionV relativeFrom="page">
              <wp:posOffset>733425</wp:posOffset>
            </wp:positionV>
            <wp:extent cx="4867275" cy="4055745"/>
            <wp:effectExtent l="0" t="0" r="9525"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867275" cy="40557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C92AD3" w14:textId="6BB1BAAA" w:rsidR="00F17772" w:rsidRDefault="00F17772" w:rsidP="00E50004">
      <w:pPr>
        <w:spacing w:line="480" w:lineRule="auto"/>
        <w:rPr>
          <w:rFonts w:ascii="Times New Roman" w:hAnsi="Times New Roman" w:cs="Times New Roman"/>
          <w:sz w:val="24"/>
          <w:szCs w:val="24"/>
        </w:rPr>
      </w:pPr>
    </w:p>
    <w:p w14:paraId="376C5315" w14:textId="1EF9DA0A" w:rsidR="00F17772" w:rsidRDefault="00F17772" w:rsidP="00E50004">
      <w:pPr>
        <w:spacing w:line="480" w:lineRule="auto"/>
        <w:rPr>
          <w:rFonts w:ascii="Times New Roman" w:hAnsi="Times New Roman" w:cs="Times New Roman"/>
          <w:sz w:val="24"/>
          <w:szCs w:val="24"/>
        </w:rPr>
      </w:pPr>
    </w:p>
    <w:p w14:paraId="3BB1E908" w14:textId="54FF4C0D" w:rsidR="00F17772" w:rsidRDefault="00F17772" w:rsidP="00E50004">
      <w:pPr>
        <w:spacing w:line="480" w:lineRule="auto"/>
        <w:rPr>
          <w:rFonts w:ascii="Times New Roman" w:hAnsi="Times New Roman" w:cs="Times New Roman"/>
          <w:sz w:val="24"/>
          <w:szCs w:val="24"/>
        </w:rPr>
      </w:pPr>
    </w:p>
    <w:p w14:paraId="12D7E889" w14:textId="09919639" w:rsidR="00F17772" w:rsidRDefault="00F17772" w:rsidP="00E50004">
      <w:pPr>
        <w:spacing w:line="480" w:lineRule="auto"/>
        <w:rPr>
          <w:rFonts w:ascii="Times New Roman" w:hAnsi="Times New Roman" w:cs="Times New Roman"/>
          <w:sz w:val="24"/>
          <w:szCs w:val="24"/>
        </w:rPr>
      </w:pPr>
    </w:p>
    <w:p w14:paraId="32AE8BE8" w14:textId="631F12F7" w:rsidR="00F17772" w:rsidRDefault="00F17772" w:rsidP="00E50004">
      <w:pPr>
        <w:spacing w:line="480" w:lineRule="auto"/>
        <w:rPr>
          <w:rFonts w:ascii="Times New Roman" w:hAnsi="Times New Roman" w:cs="Times New Roman"/>
          <w:sz w:val="24"/>
          <w:szCs w:val="24"/>
        </w:rPr>
      </w:pPr>
    </w:p>
    <w:p w14:paraId="69E0A931" w14:textId="170EE13C" w:rsidR="00F17772" w:rsidRDefault="00F17772" w:rsidP="00E50004">
      <w:pPr>
        <w:spacing w:line="480" w:lineRule="auto"/>
        <w:rPr>
          <w:rFonts w:ascii="Times New Roman" w:hAnsi="Times New Roman" w:cs="Times New Roman"/>
          <w:sz w:val="24"/>
          <w:szCs w:val="24"/>
        </w:rPr>
      </w:pPr>
    </w:p>
    <w:p w14:paraId="09AAF80F" w14:textId="2F3D5867" w:rsidR="00F17772" w:rsidRDefault="00F17772" w:rsidP="00E50004">
      <w:pPr>
        <w:spacing w:line="480" w:lineRule="auto"/>
        <w:rPr>
          <w:rFonts w:ascii="Times New Roman" w:hAnsi="Times New Roman" w:cs="Times New Roman"/>
          <w:sz w:val="24"/>
          <w:szCs w:val="24"/>
        </w:rPr>
      </w:pPr>
    </w:p>
    <w:p w14:paraId="007FF088" w14:textId="21FD0A05" w:rsidR="00F17772" w:rsidRDefault="00F17772" w:rsidP="00E50004">
      <w:pPr>
        <w:spacing w:line="480" w:lineRule="auto"/>
        <w:rPr>
          <w:rFonts w:ascii="Times New Roman" w:hAnsi="Times New Roman" w:cs="Times New Roman"/>
          <w:sz w:val="24"/>
          <w:szCs w:val="24"/>
        </w:rPr>
      </w:pPr>
    </w:p>
    <w:p w14:paraId="47ABE554" w14:textId="0CFEA56A" w:rsidR="00F17772" w:rsidRDefault="00F17772" w:rsidP="00E50004">
      <w:pPr>
        <w:spacing w:line="480" w:lineRule="auto"/>
        <w:rPr>
          <w:rFonts w:ascii="Times New Roman" w:hAnsi="Times New Roman" w:cs="Times New Roman"/>
          <w:sz w:val="24"/>
          <w:szCs w:val="24"/>
        </w:rPr>
      </w:pPr>
    </w:p>
    <w:p w14:paraId="40902DCB" w14:textId="79D01965" w:rsidR="00F17772" w:rsidRDefault="00F17772" w:rsidP="00E50004">
      <w:pPr>
        <w:spacing w:line="480" w:lineRule="auto"/>
        <w:rPr>
          <w:rFonts w:ascii="Times New Roman" w:hAnsi="Times New Roman" w:cs="Times New Roman"/>
          <w:sz w:val="24"/>
          <w:szCs w:val="24"/>
        </w:rPr>
      </w:pPr>
    </w:p>
    <w:p w14:paraId="1D3D7E61" w14:textId="5E917AF1" w:rsidR="00F17772" w:rsidRDefault="00F17772" w:rsidP="00E50004">
      <w:pPr>
        <w:spacing w:line="480" w:lineRule="auto"/>
        <w:rPr>
          <w:rFonts w:ascii="Times New Roman" w:hAnsi="Times New Roman" w:cs="Times New Roman"/>
          <w:sz w:val="24"/>
          <w:szCs w:val="24"/>
        </w:rPr>
      </w:pPr>
    </w:p>
    <w:p w14:paraId="5F73536C" w14:textId="7EB5C688" w:rsidR="00F17772" w:rsidRDefault="00F17772" w:rsidP="00E50004">
      <w:pPr>
        <w:spacing w:line="480" w:lineRule="auto"/>
        <w:rPr>
          <w:rFonts w:ascii="Times New Roman" w:hAnsi="Times New Roman" w:cs="Times New Roman"/>
          <w:sz w:val="24"/>
          <w:szCs w:val="24"/>
        </w:rPr>
      </w:pPr>
    </w:p>
    <w:p w14:paraId="362ECB91" w14:textId="6FF43FEC" w:rsidR="00F17772" w:rsidRPr="00E42AF8" w:rsidRDefault="00F17772" w:rsidP="00E50004">
      <w:pPr>
        <w:spacing w:line="480" w:lineRule="auto"/>
        <w:rPr>
          <w:rFonts w:ascii="Times New Roman" w:hAnsi="Times New Roman" w:cs="Times New Roman"/>
          <w:sz w:val="24"/>
          <w:szCs w:val="24"/>
        </w:rPr>
      </w:pPr>
    </w:p>
    <w:sectPr w:rsidR="00F17772" w:rsidRPr="00E42AF8" w:rsidSect="00561240">
      <w:headerReference w:type="default" r:id="rId3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20C4F" w14:textId="77777777" w:rsidR="00B025A6" w:rsidRDefault="00B025A6" w:rsidP="00566348">
      <w:pPr>
        <w:spacing w:after="0" w:line="240" w:lineRule="auto"/>
      </w:pPr>
      <w:r>
        <w:separator/>
      </w:r>
    </w:p>
  </w:endnote>
  <w:endnote w:type="continuationSeparator" w:id="0">
    <w:p w14:paraId="2F6F053F" w14:textId="77777777" w:rsidR="00B025A6" w:rsidRDefault="00B025A6" w:rsidP="00566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C609F" w14:textId="77777777" w:rsidR="00B025A6" w:rsidRDefault="00B025A6" w:rsidP="00566348">
      <w:pPr>
        <w:spacing w:after="0" w:line="240" w:lineRule="auto"/>
      </w:pPr>
      <w:r>
        <w:separator/>
      </w:r>
    </w:p>
  </w:footnote>
  <w:footnote w:type="continuationSeparator" w:id="0">
    <w:p w14:paraId="10B4DF57" w14:textId="77777777" w:rsidR="00B025A6" w:rsidRDefault="00B025A6" w:rsidP="005663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0F4DF" w14:textId="70731BAB" w:rsidR="001D1DDC" w:rsidRDefault="00AE77A0" w:rsidP="00AE77A0">
    <w:pPr>
      <w:pStyle w:val="Header"/>
      <w:jc w:val="right"/>
    </w:pPr>
    <w:r>
      <w:t xml:space="preserve">Student Housing </w:t>
    </w:r>
    <w:r w:rsidR="001D1DDC">
      <w:fldChar w:fldCharType="begin"/>
    </w:r>
    <w:r w:rsidR="001D1DDC">
      <w:instrText xml:space="preserve"> PAGE   \* MERGEFORMAT </w:instrText>
    </w:r>
    <w:r w:rsidR="001D1DDC">
      <w:fldChar w:fldCharType="separate"/>
    </w:r>
    <w:r w:rsidR="001D1DDC">
      <w:rPr>
        <w:noProof/>
      </w:rPr>
      <w:t>1</w:t>
    </w:r>
    <w:r w:rsidR="001D1DDC">
      <w:fldChar w:fldCharType="end"/>
    </w:r>
  </w:p>
  <w:p w14:paraId="64E617B8" w14:textId="77777777" w:rsidR="001D1DDC" w:rsidRDefault="001D1D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5D1022"/>
    <w:multiLevelType w:val="hybridMultilevel"/>
    <w:tmpl w:val="DBE6B3C2"/>
    <w:lvl w:ilvl="0" w:tplc="AB80FAA2">
      <w:start w:val="1"/>
      <w:numFmt w:val="upperRoman"/>
      <w:lvlText w:val="%1."/>
      <w:lvlJc w:val="left"/>
      <w:pPr>
        <w:ind w:left="2610" w:hanging="72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348"/>
    <w:rsid w:val="0001150F"/>
    <w:rsid w:val="00032DA7"/>
    <w:rsid w:val="00040217"/>
    <w:rsid w:val="000479F9"/>
    <w:rsid w:val="0005335D"/>
    <w:rsid w:val="00054013"/>
    <w:rsid w:val="00065DA2"/>
    <w:rsid w:val="000812E4"/>
    <w:rsid w:val="00082524"/>
    <w:rsid w:val="000B5980"/>
    <w:rsid w:val="000B7F0D"/>
    <w:rsid w:val="000C4CD1"/>
    <w:rsid w:val="000D14F4"/>
    <w:rsid w:val="000D636F"/>
    <w:rsid w:val="000E5D4A"/>
    <w:rsid w:val="00115064"/>
    <w:rsid w:val="001176AC"/>
    <w:rsid w:val="001227ED"/>
    <w:rsid w:val="00131460"/>
    <w:rsid w:val="0013587B"/>
    <w:rsid w:val="00135DAA"/>
    <w:rsid w:val="00137B03"/>
    <w:rsid w:val="00143A71"/>
    <w:rsid w:val="00147B6C"/>
    <w:rsid w:val="0015126B"/>
    <w:rsid w:val="0016342F"/>
    <w:rsid w:val="00170310"/>
    <w:rsid w:val="00176DBB"/>
    <w:rsid w:val="00186258"/>
    <w:rsid w:val="001922A5"/>
    <w:rsid w:val="00192E22"/>
    <w:rsid w:val="00193489"/>
    <w:rsid w:val="001A4092"/>
    <w:rsid w:val="001A5209"/>
    <w:rsid w:val="001C0BC4"/>
    <w:rsid w:val="001C61A5"/>
    <w:rsid w:val="001D1DDC"/>
    <w:rsid w:val="001D2DE7"/>
    <w:rsid w:val="001D58AF"/>
    <w:rsid w:val="001D7987"/>
    <w:rsid w:val="001F0E44"/>
    <w:rsid w:val="001F3905"/>
    <w:rsid w:val="002204B2"/>
    <w:rsid w:val="002418E3"/>
    <w:rsid w:val="00256BD7"/>
    <w:rsid w:val="00262C46"/>
    <w:rsid w:val="002764E8"/>
    <w:rsid w:val="002A714D"/>
    <w:rsid w:val="002A7327"/>
    <w:rsid w:val="002C1B94"/>
    <w:rsid w:val="002C2B46"/>
    <w:rsid w:val="002C7467"/>
    <w:rsid w:val="002F4578"/>
    <w:rsid w:val="00300D65"/>
    <w:rsid w:val="0035462B"/>
    <w:rsid w:val="00385160"/>
    <w:rsid w:val="00391DC0"/>
    <w:rsid w:val="00395209"/>
    <w:rsid w:val="00395ED6"/>
    <w:rsid w:val="003A2CCF"/>
    <w:rsid w:val="003A37E3"/>
    <w:rsid w:val="003A3F27"/>
    <w:rsid w:val="003A7955"/>
    <w:rsid w:val="003E7905"/>
    <w:rsid w:val="004036E6"/>
    <w:rsid w:val="00405603"/>
    <w:rsid w:val="004254E2"/>
    <w:rsid w:val="00426D2C"/>
    <w:rsid w:val="00436E39"/>
    <w:rsid w:val="00441DD6"/>
    <w:rsid w:val="004440CA"/>
    <w:rsid w:val="0046107A"/>
    <w:rsid w:val="00466E26"/>
    <w:rsid w:val="0047334B"/>
    <w:rsid w:val="0047698A"/>
    <w:rsid w:val="004803DF"/>
    <w:rsid w:val="004806AA"/>
    <w:rsid w:val="00481DBF"/>
    <w:rsid w:val="004B1B95"/>
    <w:rsid w:val="004D468B"/>
    <w:rsid w:val="004D7420"/>
    <w:rsid w:val="004E2170"/>
    <w:rsid w:val="004F2A76"/>
    <w:rsid w:val="004F344F"/>
    <w:rsid w:val="005034FC"/>
    <w:rsid w:val="0050529D"/>
    <w:rsid w:val="00515732"/>
    <w:rsid w:val="00527EC5"/>
    <w:rsid w:val="0053383D"/>
    <w:rsid w:val="00535290"/>
    <w:rsid w:val="005365CA"/>
    <w:rsid w:val="00554CB0"/>
    <w:rsid w:val="00561240"/>
    <w:rsid w:val="0056221C"/>
    <w:rsid w:val="005623DF"/>
    <w:rsid w:val="00566348"/>
    <w:rsid w:val="00574C19"/>
    <w:rsid w:val="00576473"/>
    <w:rsid w:val="005B7D78"/>
    <w:rsid w:val="005C0C8E"/>
    <w:rsid w:val="005D6C1B"/>
    <w:rsid w:val="005D79C2"/>
    <w:rsid w:val="005E57AF"/>
    <w:rsid w:val="005E7139"/>
    <w:rsid w:val="006013D0"/>
    <w:rsid w:val="006408AD"/>
    <w:rsid w:val="00651303"/>
    <w:rsid w:val="00674A8F"/>
    <w:rsid w:val="00683BFE"/>
    <w:rsid w:val="00684254"/>
    <w:rsid w:val="0069149C"/>
    <w:rsid w:val="0069577B"/>
    <w:rsid w:val="006B1297"/>
    <w:rsid w:val="006B1350"/>
    <w:rsid w:val="006C5EDC"/>
    <w:rsid w:val="006D45CB"/>
    <w:rsid w:val="006D6658"/>
    <w:rsid w:val="006F4CA8"/>
    <w:rsid w:val="006F6AFE"/>
    <w:rsid w:val="006F7E95"/>
    <w:rsid w:val="00725827"/>
    <w:rsid w:val="00743377"/>
    <w:rsid w:val="00745259"/>
    <w:rsid w:val="007505E6"/>
    <w:rsid w:val="00751C5F"/>
    <w:rsid w:val="00762B9F"/>
    <w:rsid w:val="00767598"/>
    <w:rsid w:val="00782B8E"/>
    <w:rsid w:val="00794BF4"/>
    <w:rsid w:val="007A3F4B"/>
    <w:rsid w:val="007B03BF"/>
    <w:rsid w:val="007C34B1"/>
    <w:rsid w:val="007D28BB"/>
    <w:rsid w:val="007D297D"/>
    <w:rsid w:val="007E03FC"/>
    <w:rsid w:val="007E6BDA"/>
    <w:rsid w:val="007F4865"/>
    <w:rsid w:val="007F7C4E"/>
    <w:rsid w:val="00805A40"/>
    <w:rsid w:val="00807B63"/>
    <w:rsid w:val="008114F4"/>
    <w:rsid w:val="00823655"/>
    <w:rsid w:val="00831309"/>
    <w:rsid w:val="00831510"/>
    <w:rsid w:val="00852637"/>
    <w:rsid w:val="00864A7D"/>
    <w:rsid w:val="00870734"/>
    <w:rsid w:val="00872740"/>
    <w:rsid w:val="00882090"/>
    <w:rsid w:val="00885202"/>
    <w:rsid w:val="008905DB"/>
    <w:rsid w:val="00894896"/>
    <w:rsid w:val="008978FA"/>
    <w:rsid w:val="008A6F40"/>
    <w:rsid w:val="008C3D9E"/>
    <w:rsid w:val="008C4A7A"/>
    <w:rsid w:val="008E6B93"/>
    <w:rsid w:val="008F7DE6"/>
    <w:rsid w:val="009206E6"/>
    <w:rsid w:val="009221F0"/>
    <w:rsid w:val="009243B6"/>
    <w:rsid w:val="00942FBF"/>
    <w:rsid w:val="00970ABA"/>
    <w:rsid w:val="00972F6E"/>
    <w:rsid w:val="009735BC"/>
    <w:rsid w:val="009740E7"/>
    <w:rsid w:val="0098521B"/>
    <w:rsid w:val="009964D2"/>
    <w:rsid w:val="009A5EBB"/>
    <w:rsid w:val="009B4E79"/>
    <w:rsid w:val="009B5FA4"/>
    <w:rsid w:val="009B609A"/>
    <w:rsid w:val="009B73F5"/>
    <w:rsid w:val="009F0C75"/>
    <w:rsid w:val="00A22EA2"/>
    <w:rsid w:val="00A2630C"/>
    <w:rsid w:val="00A4568E"/>
    <w:rsid w:val="00A46FF8"/>
    <w:rsid w:val="00A47931"/>
    <w:rsid w:val="00A52C73"/>
    <w:rsid w:val="00A57AF0"/>
    <w:rsid w:val="00A62C16"/>
    <w:rsid w:val="00A637A5"/>
    <w:rsid w:val="00A75338"/>
    <w:rsid w:val="00A761D6"/>
    <w:rsid w:val="00AB6675"/>
    <w:rsid w:val="00AB7B25"/>
    <w:rsid w:val="00AD5ECF"/>
    <w:rsid w:val="00AE77A0"/>
    <w:rsid w:val="00AF0AD1"/>
    <w:rsid w:val="00B00DEB"/>
    <w:rsid w:val="00B025A6"/>
    <w:rsid w:val="00B028E6"/>
    <w:rsid w:val="00B075A2"/>
    <w:rsid w:val="00B1145A"/>
    <w:rsid w:val="00B13AB2"/>
    <w:rsid w:val="00B143CB"/>
    <w:rsid w:val="00B14A0D"/>
    <w:rsid w:val="00B44709"/>
    <w:rsid w:val="00B460DB"/>
    <w:rsid w:val="00B60E30"/>
    <w:rsid w:val="00B6110D"/>
    <w:rsid w:val="00B771BC"/>
    <w:rsid w:val="00B861EC"/>
    <w:rsid w:val="00B94B57"/>
    <w:rsid w:val="00B95539"/>
    <w:rsid w:val="00BA61AD"/>
    <w:rsid w:val="00BA61F4"/>
    <w:rsid w:val="00BB070E"/>
    <w:rsid w:val="00BB2A5D"/>
    <w:rsid w:val="00BC60E5"/>
    <w:rsid w:val="00BE7E82"/>
    <w:rsid w:val="00C05BD7"/>
    <w:rsid w:val="00C113C0"/>
    <w:rsid w:val="00C1279F"/>
    <w:rsid w:val="00C42EA5"/>
    <w:rsid w:val="00C4450C"/>
    <w:rsid w:val="00C46BFC"/>
    <w:rsid w:val="00C55A3B"/>
    <w:rsid w:val="00C746AF"/>
    <w:rsid w:val="00C80337"/>
    <w:rsid w:val="00C83A2B"/>
    <w:rsid w:val="00C86F0D"/>
    <w:rsid w:val="00C9580D"/>
    <w:rsid w:val="00C974BC"/>
    <w:rsid w:val="00CC3CF1"/>
    <w:rsid w:val="00CD7974"/>
    <w:rsid w:val="00D03C2F"/>
    <w:rsid w:val="00D11B0D"/>
    <w:rsid w:val="00D13CC6"/>
    <w:rsid w:val="00D4471A"/>
    <w:rsid w:val="00D604DC"/>
    <w:rsid w:val="00D654F1"/>
    <w:rsid w:val="00D7140B"/>
    <w:rsid w:val="00D76D90"/>
    <w:rsid w:val="00D94C4C"/>
    <w:rsid w:val="00D96D0F"/>
    <w:rsid w:val="00DD1C8A"/>
    <w:rsid w:val="00DD3137"/>
    <w:rsid w:val="00DD5A51"/>
    <w:rsid w:val="00DE1A59"/>
    <w:rsid w:val="00E1055B"/>
    <w:rsid w:val="00E1483F"/>
    <w:rsid w:val="00E179CA"/>
    <w:rsid w:val="00E22242"/>
    <w:rsid w:val="00E2290E"/>
    <w:rsid w:val="00E3773B"/>
    <w:rsid w:val="00E42AF8"/>
    <w:rsid w:val="00E4431B"/>
    <w:rsid w:val="00E45DA2"/>
    <w:rsid w:val="00E50004"/>
    <w:rsid w:val="00E629B4"/>
    <w:rsid w:val="00EC0654"/>
    <w:rsid w:val="00EC4489"/>
    <w:rsid w:val="00ED2D3C"/>
    <w:rsid w:val="00EE3348"/>
    <w:rsid w:val="00EE7373"/>
    <w:rsid w:val="00F064EB"/>
    <w:rsid w:val="00F17772"/>
    <w:rsid w:val="00F31E34"/>
    <w:rsid w:val="00F342BE"/>
    <w:rsid w:val="00F50B0F"/>
    <w:rsid w:val="00F50B96"/>
    <w:rsid w:val="00F52DF1"/>
    <w:rsid w:val="00F55488"/>
    <w:rsid w:val="00F5755F"/>
    <w:rsid w:val="00F81525"/>
    <w:rsid w:val="00FA7431"/>
    <w:rsid w:val="00FB1E19"/>
    <w:rsid w:val="00FB3476"/>
    <w:rsid w:val="00FB359F"/>
    <w:rsid w:val="00FC0194"/>
    <w:rsid w:val="00FC1581"/>
    <w:rsid w:val="00FC2E37"/>
    <w:rsid w:val="00FC4A5E"/>
    <w:rsid w:val="00FD316D"/>
    <w:rsid w:val="00FD4B4A"/>
    <w:rsid w:val="00FD7452"/>
    <w:rsid w:val="00FE2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2A4FCA"/>
  <w15:chartTrackingRefBased/>
  <w15:docId w15:val="{3C1652E1-0AC3-41DC-A619-0D731AD83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24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63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348"/>
  </w:style>
  <w:style w:type="paragraph" w:styleId="Footer">
    <w:name w:val="footer"/>
    <w:basedOn w:val="Normal"/>
    <w:link w:val="FooterChar"/>
    <w:uiPriority w:val="99"/>
    <w:unhideWhenUsed/>
    <w:rsid w:val="005663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348"/>
  </w:style>
  <w:style w:type="paragraph" w:styleId="ListParagraph">
    <w:name w:val="List Paragraph"/>
    <w:basedOn w:val="Normal"/>
    <w:uiPriority w:val="34"/>
    <w:qFormat/>
    <w:rsid w:val="006013D0"/>
    <w:pPr>
      <w:ind w:left="720"/>
      <w:contextualSpacing/>
    </w:pPr>
  </w:style>
  <w:style w:type="character" w:styleId="Hyperlink">
    <w:name w:val="Hyperlink"/>
    <w:basedOn w:val="DefaultParagraphFont"/>
    <w:uiPriority w:val="99"/>
    <w:unhideWhenUsed/>
    <w:rsid w:val="00BA61F4"/>
    <w:rPr>
      <w:color w:val="0563C1" w:themeColor="hyperlink"/>
      <w:u w:val="single"/>
    </w:rPr>
  </w:style>
  <w:style w:type="character" w:styleId="UnresolvedMention">
    <w:name w:val="Unresolved Mention"/>
    <w:basedOn w:val="DefaultParagraphFont"/>
    <w:uiPriority w:val="99"/>
    <w:semiHidden/>
    <w:unhideWhenUsed/>
    <w:rsid w:val="00BA61F4"/>
    <w:rPr>
      <w:color w:val="605E5C"/>
      <w:shd w:val="clear" w:color="auto" w:fill="E1DFDD"/>
    </w:rPr>
  </w:style>
  <w:style w:type="paragraph" w:styleId="Caption">
    <w:name w:val="caption"/>
    <w:basedOn w:val="Normal"/>
    <w:next w:val="Normal"/>
    <w:uiPriority w:val="35"/>
    <w:unhideWhenUsed/>
    <w:qFormat/>
    <w:rsid w:val="00135DA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openprairie.sdstate.edu/econ_staffpaper/202" TargetMode="Externa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https://www.accgov.com/DocumentCenter/View/71466/Athens-Downtown-Health-and-Safety-Study---Final?bidId=" TargetMode="External"/><Relationship Id="rId7" Type="http://schemas.openxmlformats.org/officeDocument/2006/relationships/settings" Target="settings.xml"/><Relationship Id="rId12" Type="http://schemas.openxmlformats.org/officeDocument/2006/relationships/hyperlink" Target="https://www.qpublic.net/ga/clarke" TargetMode="External"/><Relationship Id="rId17" Type="http://schemas.openxmlformats.org/officeDocument/2006/relationships/hyperlink" Target="https://doi.org/10.1007/s11146-019-09738-4" TargetMode="Externa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doi.org/10.3386/w28993" TargetMode="External"/><Relationship Id="rId20" Type="http://schemas.openxmlformats.org/officeDocument/2006/relationships/hyperlink" Target="https://library.municode.com/ga/athens-clarke_county/ordinances/code_of_ordinances?nodeId=931039"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nber.org/papers/w26573"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hyperlink" Target="https://doi.org/10.2139/ssrn.3426103"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016/j.jue.2008.06.003" TargetMode="External"/><Relationship Id="rId22" Type="http://schemas.openxmlformats.org/officeDocument/2006/relationships/hyperlink" Target="https://www.onlineathens.com/local-news/2017-02-07/athens-clarke-commissioners-approve-moratoria-most-new-downtown-bars" TargetMode="External"/><Relationship Id="rId27" Type="http://schemas.openxmlformats.org/officeDocument/2006/relationships/image" Target="media/image7.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1B51EA4F0B2BE47BDABF539CDFEF8AC" ma:contentTypeVersion="7" ma:contentTypeDescription="Create a new document." ma:contentTypeScope="" ma:versionID="50790a97d0c5257e92500cbd004fd80c">
  <xsd:schema xmlns:xsd="http://www.w3.org/2001/XMLSchema" xmlns:xs="http://www.w3.org/2001/XMLSchema" xmlns:p="http://schemas.microsoft.com/office/2006/metadata/properties" xmlns:ns3="58d23175-015e-4a03-9ab4-0c8478b209fe" xmlns:ns4="9f394bbd-b748-4bfd-81d0-56ad1c03e03f" targetNamespace="http://schemas.microsoft.com/office/2006/metadata/properties" ma:root="true" ma:fieldsID="34d6ece8bbfe6a05a51631a6bf3b5485" ns3:_="" ns4:_="">
    <xsd:import namespace="58d23175-015e-4a03-9ab4-0c8478b209fe"/>
    <xsd:import namespace="9f394bbd-b748-4bfd-81d0-56ad1c03e03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d23175-015e-4a03-9ab4-0c8478b209f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f394bbd-b748-4bfd-81d0-56ad1c03e03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AE9320-876F-4A75-90D3-148964A580D7}">
  <ds:schemaRefs>
    <ds:schemaRef ds:uri="http://schemas.openxmlformats.org/officeDocument/2006/bibliography"/>
  </ds:schemaRefs>
</ds:datastoreItem>
</file>

<file path=customXml/itemProps2.xml><?xml version="1.0" encoding="utf-8"?>
<ds:datastoreItem xmlns:ds="http://schemas.openxmlformats.org/officeDocument/2006/customXml" ds:itemID="{2D24C0CE-B252-4DEE-AD63-9B55730CEE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d23175-015e-4a03-9ab4-0c8478b209fe"/>
    <ds:schemaRef ds:uri="9f394bbd-b748-4bfd-81d0-56ad1c03e0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CF9DF0-79E9-46F8-B5AD-A2C93423530C}">
  <ds:schemaRefs>
    <ds:schemaRef ds:uri="http://schemas.microsoft.com/sharepoint/v3/contenttype/forms"/>
  </ds:schemaRefs>
</ds:datastoreItem>
</file>

<file path=customXml/itemProps4.xml><?xml version="1.0" encoding="utf-8"?>
<ds:datastoreItem xmlns:ds="http://schemas.openxmlformats.org/officeDocument/2006/customXml" ds:itemID="{7C949A89-DC8D-4CF9-88E5-2E8763834FB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20</Pages>
  <Words>3690</Words>
  <Characters>21034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Carolin</dc:creator>
  <cp:keywords/>
  <dc:description/>
  <cp:lastModifiedBy>John Carolin</cp:lastModifiedBy>
  <cp:revision>2</cp:revision>
  <dcterms:created xsi:type="dcterms:W3CDTF">2021-12-02T22:48:00Z</dcterms:created>
  <dcterms:modified xsi:type="dcterms:W3CDTF">2021-12-02T22:48:00Z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0x010100C1B51EA4F0B2BE47BDABF539CDFEF8AC</vt:lpwstr>
  </property>
</Properties>
</file>