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23.png" ContentType="image/png"/>
  <Override PartName="/word/media/rId2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title</w:t>
      </w:r>
    </w:p>
    <w:p>
      <w:pPr>
        <w:pStyle w:val="FirstParagraph"/>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itel"/>
      </w:pPr>
      <w:r>
        <w:t xml:space="preserve">The title</w:t>
      </w:r>
    </w:p>
    <w:p>
      <w:pPr>
        <w:pStyle w:val="SourceCode"/>
      </w:pPr>
      <w:r>
        <w:rPr>
          <w:rStyle w:val="VerbatimChar"/>
        </w:rPr>
        <w:t xml:space="preserve">## Warning: package 'dplyr' was built under R version 3.6.2</w:t>
      </w:r>
    </w:p>
    <w:p>
      <w:pPr>
        <w:pStyle w:val="SourceCode"/>
      </w:pPr>
      <w:r>
        <w:rPr>
          <w:rStyle w:val="VerbatimChar"/>
        </w:rPr>
        <w:t xml:space="preserve">## Warning: package 'tidyr' was built under R version 3.6.2</w:t>
      </w:r>
    </w:p>
    <w:p>
      <w:pPr>
        <w:pStyle w:val="SourceCode"/>
      </w:pPr>
      <w:r>
        <w:rPr>
          <w:rStyle w:val="VerbatimChar"/>
        </w:rPr>
        <w:t xml:space="preserve">## Warning: package 'purrr' was built under R version 3.6.2</w:t>
      </w:r>
    </w:p>
    <w:p>
      <w:pPr>
        <w:pStyle w:val="SourceCode"/>
      </w:pPr>
      <w:r>
        <w:rPr>
          <w:rStyle w:val="VerbatimChar"/>
        </w:rPr>
        <w:t xml:space="preserve">## Warning: package 'ggplot2' was built under R version 3.6.2</w:t>
      </w:r>
    </w:p>
    <w:p>
      <w:pPr>
        <w:pStyle w:val="SourceCode"/>
      </w:pPr>
      <w:r>
        <w:rPr>
          <w:rStyle w:val="VerbatimChar"/>
        </w:rPr>
        <w:t xml:space="preserve">## Warning: package 'broom' was built under R version 3.6.2</w:t>
      </w:r>
    </w:p>
    <w:p>
      <w:pPr>
        <w:pStyle w:val="SourceCode"/>
      </w:pPr>
      <w:r>
        <w:rPr>
          <w:rStyle w:val="VerbatimChar"/>
        </w:rPr>
        <w:t xml:space="preserve">## Warning: package 'broom.mixed' was built under R version 3.6.2</w:t>
      </w:r>
    </w:p>
    <w:p>
      <w:pPr>
        <w:pStyle w:val="SourceCode"/>
      </w:pPr>
      <w:r>
        <w:rPr>
          <w:rStyle w:val="VerbatimChar"/>
        </w:rPr>
        <w:t xml:space="preserve">## Warning in checkMatrixPackageVersion(): Package version inconsistency detected.</w:t>
      </w:r>
      <w:r>
        <w:br/>
      </w:r>
      <w:r>
        <w:rPr>
          <w:rStyle w:val="VerbatimChar"/>
        </w:rPr>
        <w:t xml:space="preserve">## TMB was built with Matrix version 1.2.18</w:t>
      </w:r>
      <w:r>
        <w:br/>
      </w:r>
      <w:r>
        <w:rPr>
          <w:rStyle w:val="VerbatimChar"/>
        </w:rPr>
        <w:t xml:space="preserve">## Current Matrix version is 1.3.2</w:t>
      </w:r>
      <w:r>
        <w:br/>
      </w:r>
      <w:r>
        <w:rPr>
          <w:rStyle w:val="VerbatimChar"/>
        </w:rPr>
        <w:t xml:space="preserve">## Please re-install 'TMB' from source using install.packages('TMB', type = 'source') or ask CRAN for a binary version of 'TMB' matching CRAN's 'Matrix' package</w:t>
      </w:r>
    </w:p>
    <w:p>
      <w:pPr>
        <w:pStyle w:val="SourceCode"/>
      </w:pPr>
      <w:r>
        <w:rPr>
          <w:rStyle w:val="VerbatimChar"/>
        </w:rPr>
        <w:t xml:space="preserve">## Warning: package 'TMB' was built under R version 3.6.2</w:t>
      </w:r>
    </w:p>
    <w:p>
      <w:pPr>
        <w:pStyle w:val="SourceCode"/>
      </w:pPr>
      <w:r>
        <w:rPr>
          <w:rStyle w:val="VerbatimChar"/>
        </w:rPr>
        <w:t xml:space="preserve">## Warning: package 'lme4' was built under R version 3.6.2</w:t>
      </w:r>
    </w:p>
    <w:p>
      <w:pPr>
        <w:pStyle w:val="SourceCode"/>
      </w:pPr>
      <w:r>
        <w:rPr>
          <w:rStyle w:val="VerbatimChar"/>
        </w:rPr>
        <w:t xml:space="preserve">## Warning: package 'Matrix' was built under R version 3.6.2</w:t>
      </w:r>
    </w:p>
    <w:p>
      <w:pPr>
        <w:pStyle w:val="SourceCode"/>
      </w:pPr>
      <w:r>
        <w:rPr>
          <w:rStyle w:val="VerbatimChar"/>
        </w:rPr>
        <w:t xml:space="preserve">## Warning: package 'AICcmodavg' was built under R version 3.6.2</w:t>
      </w:r>
    </w:p>
    <w:p>
      <w:pPr>
        <w:pStyle w:val="SourceCode"/>
      </w:pPr>
      <w:r>
        <w:rPr>
          <w:rStyle w:val="VerbatimChar"/>
        </w:rPr>
        <w:t xml:space="preserve">## Warning: package 'patchwork' was built under R version 3.6.2</w:t>
      </w:r>
    </w:p>
    <w:bookmarkStart w:id="22" w:name="X73be78bd0ee7094d4fa1fd1b28e561bfb09f046"/>
    <w:p>
      <w:pPr>
        <w:pStyle w:val="berschrift1"/>
      </w:pPr>
      <w:r>
        <w:t xml:space="preserve">Journal of Memory and Language article (stress, natives and late advanced and intermediate EN y Ma Ch</w:t>
      </w:r>
    </w:p>
    <w:bookmarkStart w:id="20" w:name="overview"/>
    <w:p>
      <w:pPr>
        <w:pStyle w:val="berschrift2"/>
      </w:pPr>
      <w:r>
        <w:t xml:space="preserve">Overview</w:t>
      </w:r>
    </w:p>
    <w:p>
      <w:pPr>
        <w:pStyle w:val="FirstParagraph"/>
      </w:pPr>
      <w:r>
        <w:t xml:space="preserve">This document contains updates to the statistical analysis for stress_unrelated experiment</w:t>
      </w:r>
      <w:r>
        <w:t xml:space="preserve"> </w:t>
      </w:r>
      <w:r>
        <w:t xml:space="preserve">(draft for ISB).</w:t>
      </w:r>
      <w:r>
        <w:t xml:space="preserve"> </w:t>
      </w:r>
      <w:r>
        <w:t xml:space="preserve">Last updated on 2021-02-17.</w:t>
      </w:r>
      <w:r>
        <w:t xml:space="preserve"> </w:t>
      </w:r>
      <w:r>
        <w:t xml:space="preserve">The results section can be copied and pasted into the corresponding google doc.</w:t>
      </w:r>
      <w:r>
        <w:t xml:space="preserve"> </w:t>
      </w:r>
      <w:r>
        <w:t xml:space="preserve">The tables can also be copy and pasted where appropriate.</w:t>
      </w:r>
    </w:p>
    <w:bookmarkEnd w:id="20"/>
    <w:bookmarkStart w:id="21" w:name="main-changes"/>
    <w:p>
      <w:pPr>
        <w:pStyle w:val="berschrift2"/>
      </w:pPr>
      <w:r>
        <w:t xml:space="preserve">Main changes</w:t>
      </w:r>
    </w:p>
    <w:p>
      <w:pPr>
        <w:pStyle w:val="FirstParagraph"/>
      </w:pPr>
      <w:r>
        <w:rPr>
          <w:b/>
        </w:rPr>
        <w:t xml:space="preserve">Participants</w:t>
      </w:r>
    </w:p>
    <w:p>
      <w:pPr>
        <w:pStyle w:val="Textkrper"/>
      </w:pPr>
      <w:r>
        <w:rPr>
          <w:b/>
        </w:rPr>
        <w:t xml:space="preserve">Analyses</w:t>
      </w:r>
    </w:p>
    <w:bookmarkEnd w:id="21"/>
    <w:bookmarkEnd w:id="22"/>
    <w:bookmarkStart w:id="25" w:name="plots"/>
    <w:p>
      <w:pPr>
        <w:pStyle w:val="berschrift1"/>
      </w:pPr>
      <w:r>
        <w:t xml:space="preserve">Plots</w:t>
      </w:r>
    </w:p>
    <w:p>
      <w:pPr>
        <w:pStyle w:val="CaptionedFigure"/>
      </w:pPr>
      <w:r>
        <w:drawing>
          <wp:inline>
            <wp:extent cx="5969000" cy="4774526"/>
            <wp:effectExtent b="0" l="0" r="0" t="0"/>
            <wp:docPr descr="Figure 1:.  Growth curve analysis estimates of fixations on target as a function of lexical stress for each group during the analysis window. Lines represent model estimates, and the transparent ribbons represent ±SE. Empirical logit values on y-axis correspond to proportions of 0.12, 0.50, 0.88, and 0.98. The horizontal dotted line represents the 50% probability of fixating on the targets. The vertical dotted line indicates 200 ms. after the offset of the target syllable." title="" id="1" name="Picture"/>
            <a:graphic>
              <a:graphicData uri="http://schemas.openxmlformats.org/drawingml/2006/picture">
                <pic:pic>
                  <pic:nvPicPr>
                    <pic:cNvPr descr="/Users/lfa/Desktop/Dissertation/figs/stress/gca/stress_p2.png" id="0" name="Picture"/>
                    <pic:cNvPicPr>
                      <a:picLocks noChangeArrowheads="1" noChangeAspect="1"/>
                    </pic:cNvPicPr>
                  </pic:nvPicPr>
                  <pic:blipFill>
                    <a:blip r:embed="rId23"/>
                    <a:stretch>
                      <a:fillRect/>
                    </a:stretch>
                  </pic:blipFill>
                  <pic:spPr bwMode="auto">
                    <a:xfrm>
                      <a:off x="0" y="0"/>
                      <a:ext cx="5969000" cy="477452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Growth curve analysis estimates of fixations on target as a function of lexical stress for each group during the analysis window. Lines represent model estimates, and the transparent ribbons represent ±SE. Empirical logit values on y-axis correspond to proportions of 0.12, 0.50, 0.88, and 0.98. The horizontal dotted line represents the 50% probability of fixating on the targets. The vertical dotted line indicates 200 ms. after the offset of the target syllable.</w:t>
      </w:r>
    </w:p>
    <w:p>
      <w:pPr>
        <w:pStyle w:val="CaptionedFigure"/>
      </w:pPr>
      <w:r>
        <w:drawing>
          <wp:inline>
            <wp:extent cx="5969000" cy="3580894"/>
            <wp:effectExtent b="0" l="0" r="0" t="0"/>
            <wp:docPr descr="Figure 2:.  Growth curve analysis estimates of fixations on the target as a function of lexical stress for each group during the analysis window. Symbols and lines represent model estimates, and the ribbons represent ±SE. Empirical logit values on y-axis correspond to proportions of 0.12, 0.50, 0.88, and 0.98. The horizontal dotted line represents the 50% probability of fixating on the targets. The vertical dotted line indicates 200 ms. after the offset of the target syllable." title="" id="1" name="Picture"/>
            <a:graphic>
              <a:graphicData uri="http://schemas.openxmlformats.org/drawingml/2006/picture">
                <pic:pic>
                  <pic:nvPicPr>
                    <pic:cNvPr descr="/Users/lfa/Desktop/Dissertation/figs/stress/gca/stress_p3.png" id="0" name="Picture"/>
                    <pic:cNvPicPr>
                      <a:picLocks noChangeArrowheads="1" noChangeAspect="1"/>
                    </pic:cNvPicPr>
                  </pic:nvPicPr>
                  <pic:blipFill>
                    <a:blip r:embed="rId24"/>
                    <a:stretch>
                      <a:fillRect/>
                    </a:stretch>
                  </pic:blipFill>
                  <pic:spPr bwMode="auto">
                    <a:xfrm>
                      <a:off x="0" y="0"/>
                      <a:ext cx="5969000" cy="3580894"/>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Growth curve analysis estimates of fixations on the target as a function of lexical stress for each group during the analysis window. Symbols and lines represent model estimates, and the ribbons represent ±SE. Empirical logit values on y-axis correspond to proportions of 0.12, 0.50, 0.88, and 0.98. The horizontal dotted line represents the 50% probability of fixating on the targets. The vertical dotted line indicates 200 ms. after the offset of the target syllable.</w:t>
      </w:r>
    </w:p>
    <w:bookmarkEnd w:id="25"/>
    <w:bookmarkStart w:id="30" w:name="tables"/>
    <w:p>
      <w:pPr>
        <w:pStyle w:val="berschrift1"/>
      </w:pPr>
      <w:r>
        <w:t xml:space="preserve">Tables</w:t>
      </w:r>
    </w:p>
    <w:bookmarkStart w:id="26" w:name="X9b2b96a316890a159a0f403610d5494f12cefd4"/>
    <w:p>
      <w:pPr>
        <w:pStyle w:val="berschrift2"/>
      </w:pPr>
      <w:r>
        <w:t xml:space="preserve">Model estimates at target syllable offset</w:t>
      </w:r>
    </w:p>
    <w:p>
      <w:pPr>
        <w:pStyle w:val=""/>
      </w:pPr>
      <w:r>
        <w:t xml:space="preserve">Table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200"/>
        <w:tblLook w:firstRow="1" w:lastRow="0" w:firstColumn="0" w:lastColumn="0" w:noHBand="0" w:noVBand="1"/>
      </w:tblPr>
      <w:tblGrid>
        <w:gridCol w:w="1080"/>
        <w:gridCol w:w="1584"/>
        <w:gridCol w:w="1872"/>
        <w:gridCol w:w="1584"/>
        <w:gridCol w:w="1080"/>
      </w:tblGrid>
      <w:tr>
        <w:trPr>
          <w:cantSplit/>
          <w:trHeight w:val="360" w:hRule="auto"/>
          <w:tblHeader/>
        </w:trPr>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Group</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Lexical stress</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Probability</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LB</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UB</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SS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present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0.8612882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0.8299301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0.8876472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preterit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0.8618758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0.8319273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0.8872113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AE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present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0.5653278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0.5068207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0.6220699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preterit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0.7128605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0.6643810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0.7568996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AM</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present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0.6182037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0.5612590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0.6720758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preterit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0.7152918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0.6670310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0.7590841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IE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present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0.6438652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0.5887647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0.6954024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preterit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0.6255260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0.5716954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0.6764203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IM</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present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0.5008632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0.4422083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0.5594944</w:t>
            </w:r>
          </w:p>
        </w:tc>
      </w:tr>
      <w:tr>
        <w:trPr>
          <w:cantSplit/>
          <w:trHeight w:val="360" w:hRule="auto"/>
        </w:trPr>
        <w:tc>
          <w:tcPr>
            <w:tcBorders>
              <w:bottom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bottom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preterit</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0.5644489</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0.5081990</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0.6190874</w:t>
            </w:r>
          </w:p>
        </w:tc>
      </w:tr>
    </w:tbl>
    <w:p>
      <w:pPr>
        <w:pStyle w:val="Textkrper"/>
      </w:pPr>
      <w:r>
        <w:rPr>
          <w:i/>
        </w:rPr>
        <w:t xml:space="preserve">Table 1</w:t>
      </w:r>
      <w:r>
        <w:t xml:space="preserve">: Model estimates for probability of target fixations ±SE at 200 ms</w:t>
      </w:r>
      <w:r>
        <w:t xml:space="preserve"> </w:t>
      </w:r>
      <w:r>
        <w:t xml:space="preserve">after the target syllable offset. (LB = lower bound; UP = upper bound)</w:t>
      </w:r>
    </w:p>
    <w:bookmarkEnd w:id="26"/>
    <w:bookmarkStart w:id="27" w:name="fixed-effects"/>
    <w:p>
      <w:pPr>
        <w:pStyle w:val="berschrift2"/>
      </w:pPr>
      <w:r>
        <w:t xml:space="preserve">Fixed effects</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Intercept (</w:t>
            </w:r>
            <w:r>
              <w:t xml:space="preserve">γ</w:t>
            </w:r>
            <w:r>
              <w:rPr>
                <w:vertAlign w:val="subscript"/>
              </w:rPr>
              <w:t xml:space="preserve">00</w:t>
            </w:r>
            <w:r>
              <w:t xml:space="preserve">)</w:t>
            </w:r>
          </w:p>
        </w:tc>
        <w:tc>
          <w:p>
            <w:pPr>
              <w:pStyle w:val="Compact"/>
              <w:jc w:val="right"/>
            </w:pPr>
            <w:r>
              <w:t xml:space="preserve">1.717</w:t>
            </w:r>
          </w:p>
        </w:tc>
        <w:tc>
          <w:p>
            <w:pPr>
              <w:pStyle w:val="Compact"/>
              <w:jc w:val="right"/>
            </w:pPr>
            <w:r>
              <w:t xml:space="preserve">0.149</w:t>
            </w:r>
          </w:p>
        </w:tc>
        <w:tc>
          <w:p>
            <w:pPr>
              <w:pStyle w:val="Compact"/>
              <w:jc w:val="right"/>
            </w:pPr>
            <w:r>
              <w:t xml:space="preserve">11.488</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w:t>
            </w:r>
            <w:r>
              <w:t xml:space="preserve">γ</w:t>
            </w:r>
            <w:r>
              <w:rPr>
                <w:vertAlign w:val="subscript"/>
              </w:rPr>
              <w:t xml:space="preserve">10</w:t>
            </w:r>
            <w:r>
              <w:t xml:space="preserve">)</w:t>
            </w:r>
          </w:p>
        </w:tc>
        <w:tc>
          <w:p>
            <w:pPr>
              <w:pStyle w:val="Compact"/>
              <w:jc w:val="right"/>
            </w:pPr>
            <w:r>
              <w:t xml:space="preserve">5.856</w:t>
            </w:r>
          </w:p>
        </w:tc>
        <w:tc>
          <w:p>
            <w:pPr>
              <w:pStyle w:val="Compact"/>
              <w:jc w:val="right"/>
            </w:pPr>
            <w:r>
              <w:t xml:space="preserve">0.440</w:t>
            </w:r>
          </w:p>
        </w:tc>
        <w:tc>
          <w:p>
            <w:pPr>
              <w:pStyle w:val="Compact"/>
              <w:jc w:val="right"/>
            </w:pPr>
            <w:r>
              <w:t xml:space="preserve">13.312</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w:t>
            </w:r>
            <w:r>
              <w:t xml:space="preserve">γ</w:t>
            </w:r>
            <w:r>
              <w:rPr>
                <w:vertAlign w:val="subscript"/>
              </w:rPr>
              <w:t xml:space="preserve">20</w:t>
            </w:r>
            <w:r>
              <w:t xml:space="preserve">)</w:t>
            </w:r>
          </w:p>
        </w:tc>
        <w:tc>
          <w:p>
            <w:pPr>
              <w:pStyle w:val="Compact"/>
              <w:jc w:val="right"/>
            </w:pPr>
            <w:r>
              <w:t xml:space="preserve">−0.408</w:t>
            </w:r>
          </w:p>
        </w:tc>
        <w:tc>
          <w:p>
            <w:pPr>
              <w:pStyle w:val="Compact"/>
              <w:jc w:val="right"/>
            </w:pPr>
            <w:r>
              <w:t xml:space="preserve">0.319</w:t>
            </w:r>
          </w:p>
        </w:tc>
        <w:tc>
          <w:p>
            <w:pPr>
              <w:pStyle w:val="Compact"/>
              <w:jc w:val="right"/>
            </w:pPr>
            <w:r>
              <w:t xml:space="preserve">−1.279</w:t>
            </w:r>
          </w:p>
        </w:tc>
        <w:tc>
          <w:p>
            <w:pPr>
              <w:pStyle w:val="Compact"/>
              <w:jc w:val="left"/>
            </w:pPr>
            <w:r>
              <w:t xml:space="preserve">.201</w:t>
            </w:r>
          </w:p>
        </w:tc>
      </w:tr>
      <w:tr>
        <w:tc>
          <w:p>
            <w:pPr>
              <w:pStyle w:val="Compact"/>
              <w:jc w:val="left"/>
            </w:pPr>
            <w:r>
              <w:t xml:space="preserve">fixed</w:t>
            </w:r>
          </w:p>
        </w:tc>
        <w:tc>
          <w:p>
            <w:pPr>
              <w:pStyle w:val="Compact"/>
              <w:jc w:val="right"/>
            </w:pPr>
            <w:r>
              <w:t xml:space="preserve">Time</w:t>
            </w:r>
            <w:r>
              <w:rPr>
                <w:vertAlign w:val="superscript"/>
              </w:rPr>
              <w:t xml:space="preserve">3</w:t>
            </w:r>
            <w:r>
              <w:t xml:space="preserve"> </w:t>
            </w:r>
            <w:r>
              <w:t xml:space="preserve">(</w:t>
            </w:r>
            <w:r>
              <w:t xml:space="preserve">γ</w:t>
            </w:r>
            <w:r>
              <w:rPr>
                <w:vertAlign w:val="subscript"/>
              </w:rPr>
              <w:t xml:space="preserve">30</w:t>
            </w:r>
            <w:r>
              <w:t xml:space="preserve">)</w:t>
            </w:r>
          </w:p>
        </w:tc>
        <w:tc>
          <w:p>
            <w:pPr>
              <w:pStyle w:val="Compact"/>
              <w:jc w:val="right"/>
            </w:pPr>
            <w:r>
              <w:t xml:space="preserve">−1.343</w:t>
            </w:r>
          </w:p>
        </w:tc>
        <w:tc>
          <w:p>
            <w:pPr>
              <w:pStyle w:val="Compact"/>
              <w:jc w:val="right"/>
            </w:pPr>
            <w:r>
              <w:t xml:space="preserve">0.182</w:t>
            </w:r>
          </w:p>
        </w:tc>
        <w:tc>
          <w:p>
            <w:pPr>
              <w:pStyle w:val="Compact"/>
              <w:jc w:val="right"/>
            </w:pPr>
            <w:r>
              <w:t xml:space="preserve">−7.382</w:t>
            </w:r>
          </w:p>
        </w:tc>
        <w:tc>
          <w:p>
            <w:pPr>
              <w:pStyle w:val="Compact"/>
              <w:jc w:val="left"/>
            </w:pPr>
            <w:r>
              <w:t xml:space="preserve">&lt; .001</w:t>
            </w:r>
          </w:p>
        </w:tc>
      </w:tr>
      <w:tr>
        <w:tc>
          <w:p>
            <w:pPr>
              <w:pStyle w:val="Compact"/>
              <w:jc w:val="left"/>
            </w:pPr>
            <w:r>
              <w:t xml:space="preserve">fixed</w:t>
            </w:r>
          </w:p>
        </w:tc>
        <w:tc>
          <w:p>
            <w:pPr>
              <w:pStyle w:val="Compact"/>
              <w:jc w:val="right"/>
            </w:pPr>
            <w:r>
              <w:t xml:space="preserve">GroupAE (</w:t>
            </w:r>
            <w:r>
              <w:t xml:space="preserve">γ</w:t>
            </w:r>
            <w:r>
              <w:rPr>
                <w:vertAlign w:val="subscript"/>
              </w:rPr>
              <w:t xml:space="preserve">01</w:t>
            </w:r>
            <w:r>
              <w:t xml:space="preserve">)</w:t>
            </w:r>
          </w:p>
        </w:tc>
        <w:tc>
          <w:p>
            <w:pPr>
              <w:pStyle w:val="Compact"/>
              <w:jc w:val="right"/>
            </w:pPr>
            <w:r>
              <w:t xml:space="preserve">−0.698</w:t>
            </w:r>
          </w:p>
        </w:tc>
        <w:tc>
          <w:p>
            <w:pPr>
              <w:pStyle w:val="Compact"/>
              <w:jc w:val="right"/>
            </w:pPr>
            <w:r>
              <w:t xml:space="preserve">0.178</w:t>
            </w:r>
          </w:p>
        </w:tc>
        <w:tc>
          <w:p>
            <w:pPr>
              <w:pStyle w:val="Compact"/>
              <w:jc w:val="right"/>
            </w:pPr>
            <w:r>
              <w:t xml:space="preserve">−3.921</w:t>
            </w:r>
          </w:p>
        </w:tc>
        <w:tc>
          <w:p>
            <w:pPr>
              <w:pStyle w:val="Compact"/>
              <w:jc w:val="left"/>
            </w:pPr>
            <w:r>
              <w:t xml:space="preserve">&lt; .001</w:t>
            </w:r>
          </w:p>
        </w:tc>
      </w:tr>
      <w:tr>
        <w:tc>
          <w:p>
            <w:pPr>
              <w:pStyle w:val="Compact"/>
              <w:jc w:val="left"/>
            </w:pPr>
            <w:r>
              <w:t xml:space="preserve">fixed</w:t>
            </w:r>
          </w:p>
        </w:tc>
        <w:tc>
          <w:p>
            <w:pPr>
              <w:pStyle w:val="Compact"/>
              <w:jc w:val="right"/>
            </w:pPr>
            <w:r>
              <w:t xml:space="preserve">GroupAM (</w:t>
            </w:r>
            <w:r>
              <w:t xml:space="preserve">γ</w:t>
            </w:r>
            <w:r>
              <w:rPr>
                <w:vertAlign w:val="subscript"/>
              </w:rPr>
              <w:t xml:space="preserve">11</w:t>
            </w:r>
            <w:r>
              <w:t xml:space="preserve">)</w:t>
            </w:r>
          </w:p>
        </w:tc>
        <w:tc>
          <w:p>
            <w:pPr>
              <w:pStyle w:val="Compact"/>
              <w:jc w:val="right"/>
            </w:pPr>
            <w:r>
              <w:t xml:space="preserve">−0.620</w:t>
            </w:r>
          </w:p>
        </w:tc>
        <w:tc>
          <w:p>
            <w:pPr>
              <w:pStyle w:val="Compact"/>
              <w:jc w:val="right"/>
            </w:pPr>
            <w:r>
              <w:t xml:space="preserve">0.178</w:t>
            </w:r>
          </w:p>
        </w:tc>
        <w:tc>
          <w:p>
            <w:pPr>
              <w:pStyle w:val="Compact"/>
              <w:jc w:val="right"/>
            </w:pPr>
            <w:r>
              <w:t xml:space="preserve">−3.480</w:t>
            </w:r>
          </w:p>
        </w:tc>
        <w:tc>
          <w:p>
            <w:pPr>
              <w:pStyle w:val="Compact"/>
              <w:jc w:val="left"/>
            </w:pPr>
            <w:r>
              <w:t xml:space="preserve">&lt; .001</w:t>
            </w:r>
          </w:p>
        </w:tc>
      </w:tr>
      <w:tr>
        <w:tc>
          <w:p>
            <w:pPr>
              <w:pStyle w:val="Compact"/>
              <w:jc w:val="left"/>
            </w:pPr>
            <w:r>
              <w:t xml:space="preserve">fixed</w:t>
            </w:r>
          </w:p>
        </w:tc>
        <w:tc>
          <w:p>
            <w:pPr>
              <w:pStyle w:val="Compact"/>
              <w:jc w:val="right"/>
            </w:pPr>
            <w:r>
              <w:t xml:space="preserve">GroupIE (</w:t>
            </w:r>
            <w:r>
              <w:t xml:space="preserve">γ</w:t>
            </w:r>
            <w:r>
              <w:rPr>
                <w:vertAlign w:val="subscript"/>
              </w:rPr>
              <w:t xml:space="preserve">21</w:t>
            </w:r>
            <w:r>
              <w:t xml:space="preserve">)</w:t>
            </w:r>
          </w:p>
        </w:tc>
        <w:tc>
          <w:p>
            <w:pPr>
              <w:pStyle w:val="Compact"/>
              <w:jc w:val="right"/>
            </w:pPr>
            <w:r>
              <w:t xml:space="preserve">−0.732</w:t>
            </w:r>
          </w:p>
        </w:tc>
        <w:tc>
          <w:p>
            <w:pPr>
              <w:pStyle w:val="Compact"/>
              <w:jc w:val="right"/>
            </w:pPr>
            <w:r>
              <w:t xml:space="preserve">0.177</w:t>
            </w:r>
          </w:p>
        </w:tc>
        <w:tc>
          <w:p>
            <w:pPr>
              <w:pStyle w:val="Compact"/>
              <w:jc w:val="right"/>
            </w:pPr>
            <w:r>
              <w:t xml:space="preserve">−4.138</w:t>
            </w:r>
          </w:p>
        </w:tc>
        <w:tc>
          <w:p>
            <w:pPr>
              <w:pStyle w:val="Compact"/>
              <w:jc w:val="left"/>
            </w:pPr>
            <w:r>
              <w:t xml:space="preserve">&lt; .001</w:t>
            </w:r>
          </w:p>
        </w:tc>
      </w:tr>
      <w:tr>
        <w:tc>
          <w:p>
            <w:pPr>
              <w:pStyle w:val="Compact"/>
              <w:jc w:val="left"/>
            </w:pPr>
            <w:r>
              <w:t xml:space="preserve">fixed</w:t>
            </w:r>
          </w:p>
        </w:tc>
        <w:tc>
          <w:p>
            <w:pPr>
              <w:pStyle w:val="Compact"/>
              <w:jc w:val="right"/>
            </w:pPr>
            <w:r>
              <w:t xml:space="preserve">GroupIM (</w:t>
            </w:r>
            <w:r>
              <w:t xml:space="preserve">γ</w:t>
            </w:r>
            <w:r>
              <w:rPr>
                <w:vertAlign w:val="subscript"/>
              </w:rPr>
              <w:t xml:space="preserve">31</w:t>
            </w:r>
            <w:r>
              <w:t xml:space="preserve">)</w:t>
            </w:r>
          </w:p>
        </w:tc>
        <w:tc>
          <w:p>
            <w:pPr>
              <w:pStyle w:val="Compact"/>
              <w:jc w:val="right"/>
            </w:pPr>
            <w:r>
              <w:t xml:space="preserve">−1.198</w:t>
            </w:r>
          </w:p>
        </w:tc>
        <w:tc>
          <w:p>
            <w:pPr>
              <w:pStyle w:val="Compact"/>
              <w:jc w:val="right"/>
            </w:pPr>
            <w:r>
              <w:t xml:space="preserve">0.178</w:t>
            </w:r>
          </w:p>
        </w:tc>
        <w:tc>
          <w:p>
            <w:pPr>
              <w:pStyle w:val="Compact"/>
              <w:jc w:val="right"/>
            </w:pPr>
            <w:r>
              <w:t xml:space="preserve">−6.730</w:t>
            </w:r>
          </w:p>
        </w:tc>
        <w:tc>
          <w:p>
            <w:pPr>
              <w:pStyle w:val="Compact"/>
              <w:jc w:val="left"/>
            </w:pPr>
            <w:r>
              <w:t xml:space="preserve">&lt; .001</w:t>
            </w:r>
          </w:p>
        </w:tc>
      </w:tr>
      <w:tr>
        <w:tc>
          <w:p>
            <w:pPr>
              <w:pStyle w:val="Compact"/>
              <w:jc w:val="left"/>
            </w:pPr>
            <w:r>
              <w:t xml:space="preserve">fixed</w:t>
            </w:r>
          </w:p>
        </w:tc>
        <w:tc>
          <w:p>
            <w:pPr>
              <w:pStyle w:val="Compact"/>
              <w:jc w:val="right"/>
            </w:pPr>
            <w:r>
              <w:t xml:space="preserve">Lexical stress (</w:t>
            </w:r>
            <w:r>
              <w:t xml:space="preserve">γ</w:t>
            </w:r>
            <w:r>
              <w:rPr>
                <w:vertAlign w:val="subscript"/>
              </w:rPr>
              <w:t xml:space="preserve">02</w:t>
            </w:r>
            <w:r>
              <w:t xml:space="preserve">)</w:t>
            </w:r>
          </w:p>
        </w:tc>
        <w:tc>
          <w:p>
            <w:pPr>
              <w:pStyle w:val="Compact"/>
              <w:jc w:val="right"/>
            </w:pPr>
            <w:r>
              <w:t xml:space="preserve">−0.028</w:t>
            </w:r>
          </w:p>
        </w:tc>
        <w:tc>
          <w:p>
            <w:pPr>
              <w:pStyle w:val="Compact"/>
              <w:jc w:val="right"/>
            </w:pPr>
            <w:r>
              <w:t xml:space="preserve">0.110</w:t>
            </w:r>
          </w:p>
        </w:tc>
        <w:tc>
          <w:p>
            <w:pPr>
              <w:pStyle w:val="Compact"/>
              <w:jc w:val="right"/>
            </w:pPr>
            <w:r>
              <w:t xml:space="preserve">−0.254</w:t>
            </w:r>
          </w:p>
        </w:tc>
        <w:tc>
          <w:p>
            <w:pPr>
              <w:pStyle w:val="Compact"/>
              <w:jc w:val="left"/>
            </w:pPr>
            <w:r>
              <w:t xml:space="preserve">.799</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GroupAE (</w:t>
            </w:r>
            <w:r>
              <w:t xml:space="preserve">γ</w:t>
            </w:r>
            <w:r>
              <w:rPr>
                <w:vertAlign w:val="subscript"/>
              </w:rPr>
              <w:t xml:space="preserve">12</w:t>
            </w:r>
            <w:r>
              <w:t xml:space="preserve">)</w:t>
            </w:r>
          </w:p>
        </w:tc>
        <w:tc>
          <w:p>
            <w:pPr>
              <w:pStyle w:val="Compact"/>
              <w:jc w:val="right"/>
            </w:pPr>
            <w:r>
              <w:t xml:space="preserve">1.455</w:t>
            </w:r>
          </w:p>
        </w:tc>
        <w:tc>
          <w:p>
            <w:pPr>
              <w:pStyle w:val="Compact"/>
              <w:jc w:val="right"/>
            </w:pPr>
            <w:r>
              <w:t xml:space="preserve">0.512</w:t>
            </w:r>
          </w:p>
        </w:tc>
        <w:tc>
          <w:p>
            <w:pPr>
              <w:pStyle w:val="Compact"/>
              <w:jc w:val="right"/>
            </w:pPr>
            <w:r>
              <w:t xml:space="preserve">2.844</w:t>
            </w:r>
          </w:p>
        </w:tc>
        <w:tc>
          <w:p>
            <w:pPr>
              <w:pStyle w:val="Compact"/>
              <w:jc w:val="left"/>
            </w:pPr>
            <w:r>
              <w:t xml:space="preserve">.004</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GroupAM (</w:t>
            </w:r>
            <w:r>
              <w:t xml:space="preserve">γ</w:t>
            </w:r>
            <w:r>
              <w:rPr>
                <w:vertAlign w:val="subscript"/>
              </w:rPr>
              <w:t xml:space="preserve">22</w:t>
            </w:r>
            <w:r>
              <w:t xml:space="preserve">)</w:t>
            </w:r>
          </w:p>
        </w:tc>
        <w:tc>
          <w:p>
            <w:pPr>
              <w:pStyle w:val="Compact"/>
              <w:jc w:val="right"/>
            </w:pPr>
            <w:r>
              <w:t xml:space="preserve">0.342</w:t>
            </w:r>
          </w:p>
        </w:tc>
        <w:tc>
          <w:p>
            <w:pPr>
              <w:pStyle w:val="Compact"/>
              <w:jc w:val="right"/>
            </w:pPr>
            <w:r>
              <w:t xml:space="preserve">0.512</w:t>
            </w:r>
          </w:p>
        </w:tc>
        <w:tc>
          <w:p>
            <w:pPr>
              <w:pStyle w:val="Compact"/>
              <w:jc w:val="right"/>
            </w:pPr>
            <w:r>
              <w:t xml:space="preserve">0.669</w:t>
            </w:r>
          </w:p>
        </w:tc>
        <w:tc>
          <w:p>
            <w:pPr>
              <w:pStyle w:val="Compact"/>
              <w:jc w:val="left"/>
            </w:pPr>
            <w:r>
              <w:t xml:space="preserve">.504</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GroupIE (</w:t>
            </w:r>
            <w:r>
              <w:t xml:space="preserve">γ</w:t>
            </w:r>
            <w:r>
              <w:rPr>
                <w:vertAlign w:val="subscript"/>
              </w:rPr>
              <w:t xml:space="preserve">32</w:t>
            </w:r>
            <w:r>
              <w:t xml:space="preserve">)</w:t>
            </w:r>
          </w:p>
        </w:tc>
        <w:tc>
          <w:p>
            <w:pPr>
              <w:pStyle w:val="Compact"/>
              <w:jc w:val="right"/>
            </w:pPr>
            <w:r>
              <w:t xml:space="preserve">0.652</w:t>
            </w:r>
          </w:p>
        </w:tc>
        <w:tc>
          <w:p>
            <w:pPr>
              <w:pStyle w:val="Compact"/>
              <w:jc w:val="right"/>
            </w:pPr>
            <w:r>
              <w:t xml:space="preserve">0.508</w:t>
            </w:r>
          </w:p>
        </w:tc>
        <w:tc>
          <w:p>
            <w:pPr>
              <w:pStyle w:val="Compact"/>
              <w:jc w:val="right"/>
            </w:pPr>
            <w:r>
              <w:t xml:space="preserve">1.282</w:t>
            </w:r>
          </w:p>
        </w:tc>
        <w:tc>
          <w:p>
            <w:pPr>
              <w:pStyle w:val="Compact"/>
              <w:jc w:val="left"/>
            </w:pPr>
            <w:r>
              <w:t xml:space="preserve">.200</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GroupIM (</w:t>
            </w:r>
            <w:r>
              <w:t xml:space="preserve">γ</w:t>
            </w:r>
            <w:r>
              <w:rPr>
                <w:vertAlign w:val="subscript"/>
              </w:rPr>
              <w:t xml:space="preserve">03</w:t>
            </w:r>
            <w:r>
              <w:t xml:space="preserve">)</w:t>
            </w:r>
          </w:p>
        </w:tc>
        <w:tc>
          <w:p>
            <w:pPr>
              <w:pStyle w:val="Compact"/>
              <w:jc w:val="right"/>
            </w:pPr>
            <w:r>
              <w:t xml:space="preserve">0.685</w:t>
            </w:r>
          </w:p>
        </w:tc>
        <w:tc>
          <w:p>
            <w:pPr>
              <w:pStyle w:val="Compact"/>
              <w:jc w:val="right"/>
            </w:pPr>
            <w:r>
              <w:t xml:space="preserve">0.512</w:t>
            </w:r>
          </w:p>
        </w:tc>
        <w:tc>
          <w:p>
            <w:pPr>
              <w:pStyle w:val="Compact"/>
              <w:jc w:val="right"/>
            </w:pPr>
            <w:r>
              <w:t xml:space="preserve">1.338</w:t>
            </w:r>
          </w:p>
        </w:tc>
        <w:tc>
          <w:p>
            <w:pPr>
              <w:pStyle w:val="Compact"/>
              <w:jc w:val="left"/>
            </w:pPr>
            <w:r>
              <w:t xml:space="preserve">.181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GroupAE (</w:t>
            </w:r>
            <w:r>
              <w:t xml:space="preserve">γ</w:t>
            </w:r>
            <w:r>
              <w:rPr>
                <w:vertAlign w:val="subscript"/>
              </w:rPr>
              <w:t xml:space="preserve">13</w:t>
            </w:r>
            <w:r>
              <w:t xml:space="preserve">)</w:t>
            </w:r>
          </w:p>
        </w:tc>
        <w:tc>
          <w:p>
            <w:pPr>
              <w:pStyle w:val="Compact"/>
              <w:jc w:val="right"/>
            </w:pPr>
            <w:r>
              <w:t xml:space="preserve">1.997</w:t>
            </w:r>
          </w:p>
        </w:tc>
        <w:tc>
          <w:p>
            <w:pPr>
              <w:pStyle w:val="Compact"/>
              <w:jc w:val="right"/>
            </w:pPr>
            <w:r>
              <w:t xml:space="preserve">0.417</w:t>
            </w:r>
          </w:p>
        </w:tc>
        <w:tc>
          <w:p>
            <w:pPr>
              <w:pStyle w:val="Compact"/>
              <w:jc w:val="right"/>
            </w:pPr>
            <w:r>
              <w:t xml:space="preserve">4.795</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GroupAM (</w:t>
            </w:r>
            <w:r>
              <w:t xml:space="preserve">γ</w:t>
            </w:r>
            <w:r>
              <w:rPr>
                <w:vertAlign w:val="subscript"/>
              </w:rPr>
              <w:t xml:space="preserve">23</w:t>
            </w:r>
            <w:r>
              <w:t xml:space="preserve">)</w:t>
            </w:r>
          </w:p>
        </w:tc>
        <w:tc>
          <w:p>
            <w:pPr>
              <w:pStyle w:val="Compact"/>
              <w:jc w:val="right"/>
            </w:pPr>
            <w:r>
              <w:t xml:space="preserve">1.861</w:t>
            </w:r>
          </w:p>
        </w:tc>
        <w:tc>
          <w:p>
            <w:pPr>
              <w:pStyle w:val="Compact"/>
              <w:jc w:val="right"/>
            </w:pPr>
            <w:r>
              <w:t xml:space="preserve">0.417</w:t>
            </w:r>
          </w:p>
        </w:tc>
        <w:tc>
          <w:p>
            <w:pPr>
              <w:pStyle w:val="Compact"/>
              <w:jc w:val="right"/>
            </w:pPr>
            <w:r>
              <w:t xml:space="preserve">4.466</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GroupIE (</w:t>
            </w:r>
            <w:r>
              <w:t xml:space="preserve">γ</w:t>
            </w:r>
            <w:r>
              <w:rPr>
                <w:vertAlign w:val="subscript"/>
              </w:rPr>
              <w:t xml:space="preserve">33</w:t>
            </w:r>
            <w:r>
              <w:t xml:space="preserve">)</w:t>
            </w:r>
          </w:p>
        </w:tc>
        <w:tc>
          <w:p>
            <w:pPr>
              <w:pStyle w:val="Compact"/>
              <w:jc w:val="right"/>
            </w:pPr>
            <w:r>
              <w:t xml:space="preserve">1.997</w:t>
            </w:r>
          </w:p>
        </w:tc>
        <w:tc>
          <w:p>
            <w:pPr>
              <w:pStyle w:val="Compact"/>
              <w:jc w:val="right"/>
            </w:pPr>
            <w:r>
              <w:t xml:space="preserve">0.414</w:t>
            </w:r>
          </w:p>
        </w:tc>
        <w:tc>
          <w:p>
            <w:pPr>
              <w:pStyle w:val="Compact"/>
              <w:jc w:val="right"/>
            </w:pPr>
            <w:r>
              <w:t xml:space="preserve">4.825</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GroupIM (</w:t>
            </w:r>
            <w:r>
              <w:t xml:space="preserve">γ</w:t>
            </w:r>
            <w:r>
              <w:rPr>
                <w:vertAlign w:val="subscript"/>
              </w:rPr>
              <w:t xml:space="preserve">04</w:t>
            </w:r>
            <w:r>
              <w:t xml:space="preserve">)</w:t>
            </w:r>
          </w:p>
        </w:tc>
        <w:tc>
          <w:p>
            <w:pPr>
              <w:pStyle w:val="Compact"/>
              <w:jc w:val="right"/>
            </w:pPr>
            <w:r>
              <w:t xml:space="preserve">1.830</w:t>
            </w:r>
          </w:p>
        </w:tc>
        <w:tc>
          <w:p>
            <w:pPr>
              <w:pStyle w:val="Compact"/>
              <w:jc w:val="right"/>
            </w:pPr>
            <w:r>
              <w:t xml:space="preserve">0.417</w:t>
            </w:r>
          </w:p>
        </w:tc>
        <w:tc>
          <w:p>
            <w:pPr>
              <w:pStyle w:val="Compact"/>
              <w:jc w:val="right"/>
            </w:pPr>
            <w:r>
              <w:t xml:space="preserve">4.391</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Lexical stress (</w:t>
            </w:r>
            <w:r>
              <w:t xml:space="preserve">γ</w:t>
            </w:r>
            <w:r>
              <w:rPr>
                <w:vertAlign w:val="subscript"/>
              </w:rPr>
              <w:t xml:space="preserve">14</w:t>
            </w:r>
            <w:r>
              <w:t xml:space="preserve">)</w:t>
            </w:r>
          </w:p>
        </w:tc>
        <w:tc>
          <w:p>
            <w:pPr>
              <w:pStyle w:val="Compact"/>
              <w:jc w:val="right"/>
            </w:pPr>
            <w:r>
              <w:t xml:space="preserve">−0.102</w:t>
            </w:r>
          </w:p>
        </w:tc>
        <w:tc>
          <w:p>
            <w:pPr>
              <w:pStyle w:val="Compact"/>
              <w:jc w:val="right"/>
            </w:pPr>
            <w:r>
              <w:t xml:space="preserve">0.202</w:t>
            </w:r>
          </w:p>
        </w:tc>
        <w:tc>
          <w:p>
            <w:pPr>
              <w:pStyle w:val="Compact"/>
              <w:jc w:val="right"/>
            </w:pPr>
            <w:r>
              <w:t xml:space="preserve">−0.505</w:t>
            </w:r>
          </w:p>
        </w:tc>
        <w:tc>
          <w:p>
            <w:pPr>
              <w:pStyle w:val="Compact"/>
              <w:jc w:val="left"/>
            </w:pPr>
            <w:r>
              <w:t xml:space="preserve">.613</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Lexical stress (</w:t>
            </w:r>
            <w:r>
              <w:t xml:space="preserve">γ</w:t>
            </w:r>
            <w:r>
              <w:rPr>
                <w:vertAlign w:val="subscript"/>
              </w:rPr>
              <w:t xml:space="preserve">24</w:t>
            </w:r>
            <w:r>
              <w:t xml:space="preserve">)</w:t>
            </w:r>
          </w:p>
        </w:tc>
        <w:tc>
          <w:p>
            <w:pPr>
              <w:pStyle w:val="Compact"/>
              <w:jc w:val="right"/>
            </w:pPr>
            <w:r>
              <w:t xml:space="preserve">−0.094</w:t>
            </w:r>
          </w:p>
        </w:tc>
        <w:tc>
          <w:p>
            <w:pPr>
              <w:pStyle w:val="Compact"/>
              <w:jc w:val="right"/>
            </w:pPr>
            <w:r>
              <w:t xml:space="preserve">0.196</w:t>
            </w:r>
          </w:p>
        </w:tc>
        <w:tc>
          <w:p>
            <w:pPr>
              <w:pStyle w:val="Compact"/>
              <w:jc w:val="right"/>
            </w:pPr>
            <w:r>
              <w:t xml:space="preserve">−0.478</w:t>
            </w:r>
          </w:p>
        </w:tc>
        <w:tc>
          <w:p>
            <w:pPr>
              <w:pStyle w:val="Compact"/>
              <w:jc w:val="left"/>
            </w:pPr>
            <w:r>
              <w:t xml:space="preserve">.633</w:t>
            </w:r>
          </w:p>
        </w:tc>
      </w:tr>
      <w:tr>
        <w:tc>
          <w:p>
            <w:pPr>
              <w:pStyle w:val="Compact"/>
              <w:jc w:val="left"/>
            </w:pPr>
            <w:r>
              <w:t xml:space="preserve">fixed</w:t>
            </w:r>
          </w:p>
        </w:tc>
        <w:tc>
          <w:p>
            <w:pPr>
              <w:pStyle w:val="Compact"/>
              <w:jc w:val="right"/>
            </w:pPr>
            <w:r>
              <w:t xml:space="preserve">GroupAE × Lexical stress (</w:t>
            </w:r>
            <w:r>
              <w:t xml:space="preserve">γ</w:t>
            </w:r>
            <w:r>
              <w:rPr>
                <w:vertAlign w:val="subscript"/>
              </w:rPr>
              <w:t xml:space="preserve">34</w:t>
            </w:r>
            <w:r>
              <w:t xml:space="preserve">)</w:t>
            </w:r>
          </w:p>
        </w:tc>
        <w:tc>
          <w:p>
            <w:pPr>
              <w:pStyle w:val="Compact"/>
              <w:jc w:val="right"/>
            </w:pPr>
            <w:r>
              <w:t xml:space="preserve">−0.087</w:t>
            </w:r>
          </w:p>
        </w:tc>
        <w:tc>
          <w:p>
            <w:pPr>
              <w:pStyle w:val="Compact"/>
              <w:jc w:val="right"/>
            </w:pPr>
            <w:r>
              <w:t xml:space="preserve">0.131</w:t>
            </w:r>
          </w:p>
        </w:tc>
        <w:tc>
          <w:p>
            <w:pPr>
              <w:pStyle w:val="Compact"/>
              <w:jc w:val="right"/>
            </w:pPr>
            <w:r>
              <w:t xml:space="preserve">−0.661</w:t>
            </w:r>
          </w:p>
        </w:tc>
        <w:tc>
          <w:p>
            <w:pPr>
              <w:pStyle w:val="Compact"/>
              <w:jc w:val="left"/>
            </w:pPr>
            <w:r>
              <w:t xml:space="preserve">.508</w:t>
            </w:r>
          </w:p>
        </w:tc>
      </w:tr>
      <w:tr>
        <w:tc>
          <w:p>
            <w:pPr>
              <w:pStyle w:val="Compact"/>
              <w:jc w:val="left"/>
            </w:pPr>
            <w:r>
              <w:t xml:space="preserve">fixed</w:t>
            </w:r>
          </w:p>
        </w:tc>
        <w:tc>
          <w:p>
            <w:pPr>
              <w:pStyle w:val="Compact"/>
              <w:jc w:val="right"/>
            </w:pPr>
            <w:r>
              <w:t xml:space="preserve">GroupAM × Lexical stress (</w:t>
            </w:r>
            <w:r>
              <w:t xml:space="preserve">γ</w:t>
            </w:r>
            <w:r>
              <w:rPr>
                <w:vertAlign w:val="subscript"/>
              </w:rPr>
              <w:t xml:space="preserve">05</w:t>
            </w:r>
            <w:r>
              <w:t xml:space="preserve">)</w:t>
            </w:r>
          </w:p>
        </w:tc>
        <w:tc>
          <w:p>
            <w:pPr>
              <w:pStyle w:val="Compact"/>
              <w:jc w:val="right"/>
            </w:pPr>
            <w:r>
              <w:t xml:space="preserve">−0.064</w:t>
            </w:r>
          </w:p>
        </w:tc>
        <w:tc>
          <w:p>
            <w:pPr>
              <w:pStyle w:val="Compact"/>
              <w:jc w:val="right"/>
            </w:pPr>
            <w:r>
              <w:t xml:space="preserve">0.131</w:t>
            </w:r>
          </w:p>
        </w:tc>
        <w:tc>
          <w:p>
            <w:pPr>
              <w:pStyle w:val="Compact"/>
              <w:jc w:val="right"/>
            </w:pPr>
            <w:r>
              <w:t xml:space="preserve">−0.491</w:t>
            </w:r>
          </w:p>
        </w:tc>
        <w:tc>
          <w:p>
            <w:pPr>
              <w:pStyle w:val="Compact"/>
              <w:jc w:val="left"/>
            </w:pPr>
            <w:r>
              <w:t xml:space="preserve">.623</w:t>
            </w:r>
          </w:p>
        </w:tc>
      </w:tr>
      <w:tr>
        <w:tc>
          <w:p>
            <w:pPr>
              <w:pStyle w:val="Compact"/>
              <w:jc w:val="left"/>
            </w:pPr>
            <w:r>
              <w:t xml:space="preserve">fixed</w:t>
            </w:r>
          </w:p>
        </w:tc>
        <w:tc>
          <w:p>
            <w:pPr>
              <w:pStyle w:val="Compact"/>
              <w:jc w:val="right"/>
            </w:pPr>
            <w:r>
              <w:t xml:space="preserve">GroupIE × Lexical stress (</w:t>
            </w:r>
            <w:r>
              <w:t xml:space="preserve">γ</w:t>
            </w:r>
            <w:r>
              <w:rPr>
                <w:vertAlign w:val="subscript"/>
              </w:rPr>
              <w:t xml:space="preserve">15</w:t>
            </w:r>
            <w:r>
              <w:t xml:space="preserve">)</w:t>
            </w:r>
          </w:p>
        </w:tc>
        <w:tc>
          <w:p>
            <w:pPr>
              <w:pStyle w:val="Compact"/>
              <w:jc w:val="right"/>
            </w:pPr>
            <w:r>
              <w:t xml:space="preserve">0.089</w:t>
            </w:r>
          </w:p>
        </w:tc>
        <w:tc>
          <w:p>
            <w:pPr>
              <w:pStyle w:val="Compact"/>
              <w:jc w:val="right"/>
            </w:pPr>
            <w:r>
              <w:t xml:space="preserve">0.130</w:t>
            </w:r>
          </w:p>
        </w:tc>
        <w:tc>
          <w:p>
            <w:pPr>
              <w:pStyle w:val="Compact"/>
              <w:jc w:val="right"/>
            </w:pPr>
            <w:r>
              <w:t xml:space="preserve">0.685</w:t>
            </w:r>
          </w:p>
        </w:tc>
        <w:tc>
          <w:p>
            <w:pPr>
              <w:pStyle w:val="Compact"/>
              <w:jc w:val="left"/>
            </w:pPr>
            <w:r>
              <w:t xml:space="preserve">.493</w:t>
            </w:r>
          </w:p>
        </w:tc>
      </w:tr>
      <w:tr>
        <w:tc>
          <w:p>
            <w:pPr>
              <w:pStyle w:val="Compact"/>
              <w:jc w:val="left"/>
            </w:pPr>
            <w:r>
              <w:t xml:space="preserve">fixed</w:t>
            </w:r>
          </w:p>
        </w:tc>
        <w:tc>
          <w:p>
            <w:pPr>
              <w:pStyle w:val="Compact"/>
              <w:jc w:val="right"/>
            </w:pPr>
            <w:r>
              <w:t xml:space="preserve">GroupIM × Lexical stress (</w:t>
            </w:r>
            <w:r>
              <w:t xml:space="preserve">γ</w:t>
            </w:r>
            <w:r>
              <w:rPr>
                <w:vertAlign w:val="subscript"/>
              </w:rPr>
              <w:t xml:space="preserve">25</w:t>
            </w:r>
            <w:r>
              <w:t xml:space="preserve">)</w:t>
            </w:r>
          </w:p>
        </w:tc>
        <w:tc>
          <w:p>
            <w:pPr>
              <w:pStyle w:val="Compact"/>
              <w:jc w:val="right"/>
            </w:pPr>
            <w:r>
              <w:t xml:space="preserve">−0.020</w:t>
            </w:r>
          </w:p>
        </w:tc>
        <w:tc>
          <w:p>
            <w:pPr>
              <w:pStyle w:val="Compact"/>
              <w:jc w:val="right"/>
            </w:pPr>
            <w:r>
              <w:t xml:space="preserve">0.131</w:t>
            </w:r>
          </w:p>
        </w:tc>
        <w:tc>
          <w:p>
            <w:pPr>
              <w:pStyle w:val="Compact"/>
              <w:jc w:val="right"/>
            </w:pPr>
            <w:r>
              <w:t xml:space="preserve">−0.154</w:t>
            </w:r>
          </w:p>
        </w:tc>
        <w:tc>
          <w:p>
            <w:pPr>
              <w:pStyle w:val="Compact"/>
              <w:jc w:val="left"/>
            </w:pPr>
            <w:r>
              <w:t xml:space="preserve">.878</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GroupAE:Lexical stress (</w:t>
            </w:r>
            <w:r>
              <w:t xml:space="preserve">γ</w:t>
            </w:r>
            <w:r>
              <w:rPr>
                <w:vertAlign w:val="subscript"/>
              </w:rPr>
              <w:t xml:space="preserve">35</w:t>
            </w:r>
            <w:r>
              <w:t xml:space="preserve">)</w:t>
            </w:r>
          </w:p>
        </w:tc>
        <w:tc>
          <w:p>
            <w:pPr>
              <w:pStyle w:val="Compact"/>
              <w:jc w:val="right"/>
            </w:pPr>
            <w:r>
              <w:t xml:space="preserve">−0.232</w:t>
            </w:r>
          </w:p>
        </w:tc>
        <w:tc>
          <w:p>
            <w:pPr>
              <w:pStyle w:val="Compact"/>
              <w:jc w:val="right"/>
            </w:pPr>
            <w:r>
              <w:t xml:space="preserve">0.242</w:t>
            </w:r>
          </w:p>
        </w:tc>
        <w:tc>
          <w:p>
            <w:pPr>
              <w:pStyle w:val="Compact"/>
              <w:jc w:val="right"/>
            </w:pPr>
            <w:r>
              <w:t xml:space="preserve">−0.956</w:t>
            </w:r>
          </w:p>
        </w:tc>
        <w:tc>
          <w:p>
            <w:pPr>
              <w:pStyle w:val="Compact"/>
              <w:jc w:val="left"/>
            </w:pPr>
            <w:r>
              <w:t xml:space="preserve">.339</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GroupAM:Lexical stress (</w:t>
            </w:r>
            <w:r>
              <w:t xml:space="preserve">γ</w:t>
            </w:r>
            <w:r>
              <w:rPr>
                <w:vertAlign w:val="subscript"/>
              </w:rPr>
              <w:t xml:space="preserve">06</w:t>
            </w:r>
            <w:r>
              <w:t xml:space="preserve">)</w:t>
            </w:r>
          </w:p>
        </w:tc>
        <w:tc>
          <w:p>
            <w:pPr>
              <w:pStyle w:val="Compact"/>
              <w:jc w:val="right"/>
            </w:pPr>
            <w:r>
              <w:t xml:space="preserve">0.212</w:t>
            </w:r>
          </w:p>
        </w:tc>
        <w:tc>
          <w:p>
            <w:pPr>
              <w:pStyle w:val="Compact"/>
              <w:jc w:val="right"/>
            </w:pPr>
            <w:r>
              <w:t xml:space="preserve">0.243</w:t>
            </w:r>
          </w:p>
        </w:tc>
        <w:tc>
          <w:p>
            <w:pPr>
              <w:pStyle w:val="Compact"/>
              <w:jc w:val="right"/>
            </w:pPr>
            <w:r>
              <w:t xml:space="preserve">0.874</w:t>
            </w:r>
          </w:p>
        </w:tc>
        <w:tc>
          <w:p>
            <w:pPr>
              <w:pStyle w:val="Compact"/>
              <w:jc w:val="left"/>
            </w:pPr>
            <w:r>
              <w:t xml:space="preserve">.382</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GroupIE:Lexical stress (</w:t>
            </w:r>
            <w:r>
              <w:t xml:space="preserve">γ</w:t>
            </w:r>
            <w:r>
              <w:rPr>
                <w:vertAlign w:val="subscript"/>
              </w:rPr>
              <w:t xml:space="preserve">16</w:t>
            </w:r>
            <w:r>
              <w:t xml:space="preserve">)</w:t>
            </w:r>
          </w:p>
        </w:tc>
        <w:tc>
          <w:p>
            <w:pPr>
              <w:pStyle w:val="Compact"/>
              <w:jc w:val="right"/>
            </w:pPr>
            <w:r>
              <w:t xml:space="preserve">−0.304</w:t>
            </w:r>
          </w:p>
        </w:tc>
        <w:tc>
          <w:p>
            <w:pPr>
              <w:pStyle w:val="Compact"/>
              <w:jc w:val="right"/>
            </w:pPr>
            <w:r>
              <w:t xml:space="preserve">0.241</w:t>
            </w:r>
          </w:p>
        </w:tc>
        <w:tc>
          <w:p>
            <w:pPr>
              <w:pStyle w:val="Compact"/>
              <w:jc w:val="right"/>
            </w:pPr>
            <w:r>
              <w:t xml:space="preserve">−1.262</w:t>
            </w:r>
          </w:p>
        </w:tc>
        <w:tc>
          <w:p>
            <w:pPr>
              <w:pStyle w:val="Compact"/>
              <w:jc w:val="left"/>
            </w:pPr>
            <w:r>
              <w:t xml:space="preserve">.207</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GroupIM:Lexical stress (</w:t>
            </w:r>
            <w:r>
              <w:t xml:space="preserve">γ</w:t>
            </w:r>
            <w:r>
              <w:rPr>
                <w:vertAlign w:val="subscript"/>
              </w:rPr>
              <w:t xml:space="preserve">26</w:t>
            </w:r>
            <w:r>
              <w:t xml:space="preserve">)</w:t>
            </w:r>
          </w:p>
        </w:tc>
        <w:tc>
          <w:p>
            <w:pPr>
              <w:pStyle w:val="Compact"/>
              <w:jc w:val="right"/>
            </w:pPr>
            <w:r>
              <w:t xml:space="preserve">−0.193</w:t>
            </w:r>
          </w:p>
        </w:tc>
        <w:tc>
          <w:p>
            <w:pPr>
              <w:pStyle w:val="Compact"/>
              <w:jc w:val="right"/>
            </w:pPr>
            <w:r>
              <w:t xml:space="preserve">0.243</w:t>
            </w:r>
          </w:p>
        </w:tc>
        <w:tc>
          <w:p>
            <w:pPr>
              <w:pStyle w:val="Compact"/>
              <w:jc w:val="right"/>
            </w:pPr>
            <w:r>
              <w:t xml:space="preserve">−0.795</w:t>
            </w:r>
          </w:p>
        </w:tc>
        <w:tc>
          <w:p>
            <w:pPr>
              <w:pStyle w:val="Compact"/>
              <w:jc w:val="left"/>
            </w:pPr>
            <w:r>
              <w:t xml:space="preserve">.427</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GroupAE:Lexical stress (</w:t>
            </w:r>
            <w:r>
              <w:t xml:space="preserve">γ</w:t>
            </w:r>
            <w:r>
              <w:rPr>
                <w:vertAlign w:val="subscript"/>
              </w:rPr>
              <w:t xml:space="preserve">36</w:t>
            </w:r>
            <w:r>
              <w:t xml:space="preserve">)</w:t>
            </w:r>
          </w:p>
        </w:tc>
        <w:tc>
          <w:p>
            <w:pPr>
              <w:pStyle w:val="Compact"/>
              <w:jc w:val="right"/>
            </w:pPr>
            <w:r>
              <w:t xml:space="preserve">0.858</w:t>
            </w:r>
          </w:p>
        </w:tc>
        <w:tc>
          <w:p>
            <w:pPr>
              <w:pStyle w:val="Compact"/>
              <w:jc w:val="right"/>
            </w:pPr>
            <w:r>
              <w:t xml:space="preserve">0.242</w:t>
            </w:r>
          </w:p>
        </w:tc>
        <w:tc>
          <w:p>
            <w:pPr>
              <w:pStyle w:val="Compact"/>
              <w:jc w:val="right"/>
            </w:pPr>
            <w:r>
              <w:t xml:space="preserve">3.543</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GroupAM:Lexical stress (</w:t>
            </w:r>
            <w:r>
              <w:t xml:space="preserve">γ</w:t>
            </w:r>
            <w:r>
              <w:rPr>
                <w:vertAlign w:val="subscript"/>
              </w:rPr>
              <w:t xml:space="preserve">00</w:t>
            </w:r>
            <w:r>
              <w:t xml:space="preserve">)</w:t>
            </w:r>
          </w:p>
        </w:tc>
        <w:tc>
          <w:p>
            <w:pPr>
              <w:pStyle w:val="Compact"/>
              <w:jc w:val="right"/>
            </w:pPr>
            <w:r>
              <w:t xml:space="preserve">0.560</w:t>
            </w:r>
          </w:p>
        </w:tc>
        <w:tc>
          <w:p>
            <w:pPr>
              <w:pStyle w:val="Compact"/>
              <w:jc w:val="right"/>
            </w:pPr>
            <w:r>
              <w:t xml:space="preserve">0.243</w:t>
            </w:r>
          </w:p>
        </w:tc>
        <w:tc>
          <w:p>
            <w:pPr>
              <w:pStyle w:val="Compact"/>
              <w:jc w:val="right"/>
            </w:pPr>
            <w:r>
              <w:t xml:space="preserve">2.310</w:t>
            </w:r>
          </w:p>
        </w:tc>
        <w:tc>
          <w:p>
            <w:pPr>
              <w:pStyle w:val="Compact"/>
              <w:jc w:val="left"/>
            </w:pPr>
            <w:r>
              <w:t xml:space="preserve">.021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GroupIE:Lexical stress (</w:t>
            </w:r>
            <w:r>
              <w:t xml:space="preserve">γ</w:t>
            </w:r>
            <w:r>
              <w:rPr>
                <w:vertAlign w:val="subscript"/>
              </w:rPr>
              <w:t xml:space="preserve">10</w:t>
            </w:r>
            <w:r>
              <w:t xml:space="preserve">)</w:t>
            </w:r>
          </w:p>
        </w:tc>
        <w:tc>
          <w:p>
            <w:pPr>
              <w:pStyle w:val="Compact"/>
              <w:jc w:val="right"/>
            </w:pPr>
            <w:r>
              <w:t xml:space="preserve">0.174</w:t>
            </w:r>
          </w:p>
        </w:tc>
        <w:tc>
          <w:p>
            <w:pPr>
              <w:pStyle w:val="Compact"/>
              <w:jc w:val="right"/>
            </w:pPr>
            <w:r>
              <w:t xml:space="preserve">0.241</w:t>
            </w:r>
          </w:p>
        </w:tc>
        <w:tc>
          <w:p>
            <w:pPr>
              <w:pStyle w:val="Compact"/>
              <w:jc w:val="right"/>
            </w:pPr>
            <w:r>
              <w:t xml:space="preserve">0.720</w:t>
            </w:r>
          </w:p>
        </w:tc>
        <w:tc>
          <w:p>
            <w:pPr>
              <w:pStyle w:val="Compact"/>
              <w:jc w:val="left"/>
            </w:pPr>
            <w:r>
              <w:t xml:space="preserve">.471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GroupIM:Lexical stress (</w:t>
            </w:r>
            <w:r>
              <w:t xml:space="preserve">γ</w:t>
            </w:r>
            <w:r>
              <w:rPr>
                <w:vertAlign w:val="subscript"/>
              </w:rPr>
              <w:t xml:space="preserve">20</w:t>
            </w:r>
            <w:r>
              <w:t xml:space="preserve">)</w:t>
            </w:r>
          </w:p>
        </w:tc>
        <w:tc>
          <w:p>
            <w:pPr>
              <w:pStyle w:val="Compact"/>
              <w:jc w:val="right"/>
            </w:pPr>
            <w:r>
              <w:t xml:space="preserve">0.386</w:t>
            </w:r>
          </w:p>
        </w:tc>
        <w:tc>
          <w:p>
            <w:pPr>
              <w:pStyle w:val="Compact"/>
              <w:jc w:val="right"/>
            </w:pPr>
            <w:r>
              <w:t xml:space="preserve">0.243</w:t>
            </w:r>
          </w:p>
        </w:tc>
        <w:tc>
          <w:p>
            <w:pPr>
              <w:pStyle w:val="Compact"/>
              <w:jc w:val="right"/>
            </w:pPr>
            <w:r>
              <w:t xml:space="preserve">1.592</w:t>
            </w:r>
          </w:p>
        </w:tc>
        <w:tc>
          <w:p>
            <w:pPr>
              <w:pStyle w:val="Compact"/>
              <w:jc w:val="left"/>
            </w:pPr>
            <w:r>
              <w:t xml:space="preserve">.111</w:t>
            </w:r>
          </w:p>
        </w:tc>
      </w:tr>
    </w:tbl>
    <w:p>
      <w:pPr>
        <w:pStyle w:val="Textkrper"/>
      </w:pPr>
      <w:r>
        <w:t xml:space="preserve">Appendix 1: Growth curve model fixed effects</w:t>
      </w:r>
    </w:p>
    <w:bookmarkEnd w:id="27"/>
    <w:bookmarkStart w:id="28" w:name="random-effects"/>
    <w:p>
      <w:pPr>
        <w:pStyle w:val="berschrift2"/>
      </w:pPr>
      <w:r>
        <w:t xml:space="preserve">Random effects</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Variance</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Correlations</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center"/>
            </w:pPr>
            <w:r>
              <w:t xml:space="preserve"> </w:t>
            </w:r>
          </w:p>
        </w:tc>
      </w:tr>
      <w:tr>
        <w:tc>
          <w:p>
            <w:pPr>
              <w:pStyle w:val="Compact"/>
              <w:jc w:val="left"/>
            </w:pPr>
            <w:r>
              <w:t xml:space="preserve">Participant</w:t>
            </w:r>
          </w:p>
        </w:tc>
        <w:tc>
          <w:p>
            <w:pPr>
              <w:pStyle w:val="Compact"/>
              <w:jc w:val="left"/>
            </w:pPr>
            <w:r>
              <w:t xml:space="preserve">Intercept</w:t>
            </w:r>
          </w:p>
        </w:tc>
        <w:tc>
          <w:p>
            <w:pPr>
              <w:pStyle w:val="Compact"/>
              <w:jc w:val="right"/>
            </w:pPr>
            <w:r>
              <w:t xml:space="preserve">0.439</w:t>
            </w:r>
          </w:p>
        </w:tc>
        <w:tc>
          <w:p>
            <w:pPr>
              <w:pStyle w:val="Compact"/>
              <w:jc w:val="right"/>
            </w:pPr>
            <w:r>
              <w:t xml:space="preserve">0.663</w:t>
            </w:r>
          </w:p>
        </w:tc>
        <w:tc>
          <w:p>
            <w:pPr>
              <w:pStyle w:val="Compact"/>
              <w:jc w:val="right"/>
            </w:pPr>
            <w:r>
              <w:t xml:space="preserve">1.00</w:t>
            </w:r>
          </w:p>
        </w:tc>
        <w:tc>
          <w:p/>
        </w:tc>
        <w:tc>
          <w:p/>
        </w:tc>
        <w:tc>
          <w:p/>
        </w:tc>
        <w:tc>
          <w:p/>
        </w:tc>
      </w:tr>
      <w:tr>
        <w:tc>
          <w:p/>
        </w:tc>
        <w:tc>
          <w:p>
            <w:pPr>
              <w:pStyle w:val="Compact"/>
              <w:jc w:val="left"/>
            </w:pPr>
            <w:r>
              <w:t xml:space="preserve">Lexical stress</w:t>
            </w:r>
          </w:p>
        </w:tc>
        <w:tc>
          <w:p>
            <w:pPr>
              <w:pStyle w:val="Compact"/>
              <w:jc w:val="right"/>
            </w:pPr>
            <w:r>
              <w:t xml:space="preserve">0.215</w:t>
            </w:r>
          </w:p>
        </w:tc>
        <w:tc>
          <w:p>
            <w:pPr>
              <w:pStyle w:val="Compact"/>
              <w:jc w:val="right"/>
            </w:pPr>
            <w:r>
              <w:t xml:space="preserve">0.464</w:t>
            </w:r>
          </w:p>
        </w:tc>
        <w:tc>
          <w:p>
            <w:pPr>
              <w:pStyle w:val="Compact"/>
              <w:jc w:val="right"/>
            </w:pPr>
            <w:r>
              <w:t xml:space="preserve">.08</w:t>
            </w:r>
          </w:p>
        </w:tc>
        <w:tc>
          <w:p>
            <w:pPr>
              <w:pStyle w:val="Compact"/>
              <w:jc w:val="right"/>
            </w:pPr>
            <w:r>
              <w:t xml:space="preserve">1.00</w:t>
            </w:r>
          </w:p>
        </w:tc>
        <w:tc>
          <w:p/>
        </w:tc>
        <w:tc>
          <w:p/>
        </w:tc>
        <w:tc>
          <w:p/>
        </w:tc>
      </w:tr>
      <w:tr>
        <w:tc>
          <w:p/>
        </w:tc>
        <w:tc>
          <w:p>
            <w:pPr>
              <w:pStyle w:val="Compact"/>
              <w:jc w:val="left"/>
            </w:pPr>
            <w:r>
              <w:t xml:space="preserve">Time</w:t>
            </w:r>
            <w:r>
              <w:rPr>
                <w:vertAlign w:val="superscript"/>
              </w:rPr>
              <w:t xml:space="preserve">1</w:t>
            </w:r>
          </w:p>
        </w:tc>
        <w:tc>
          <w:p>
            <w:pPr>
              <w:pStyle w:val="Compact"/>
              <w:jc w:val="right"/>
            </w:pPr>
            <w:r>
              <w:t xml:space="preserve">4.760</w:t>
            </w:r>
          </w:p>
        </w:tc>
        <w:tc>
          <w:p>
            <w:pPr>
              <w:pStyle w:val="Compact"/>
              <w:jc w:val="right"/>
            </w:pPr>
            <w:r>
              <w:t xml:space="preserve">2.182</w:t>
            </w:r>
          </w:p>
        </w:tc>
        <w:tc>
          <w:p>
            <w:pPr>
              <w:pStyle w:val="Compact"/>
              <w:jc w:val="right"/>
            </w:pPr>
            <w:r>
              <w:t xml:space="preserve">.11</w:t>
            </w:r>
          </w:p>
        </w:tc>
        <w:tc>
          <w:p>
            <w:pPr>
              <w:pStyle w:val="Compact"/>
              <w:jc w:val="right"/>
            </w:pPr>
            <w:r>
              <w:t xml:space="preserve">−.01</w:t>
            </w:r>
          </w:p>
        </w:tc>
        <w:tc>
          <w:p>
            <w:pPr>
              <w:pStyle w:val="Compact"/>
              <w:jc w:val="right"/>
            </w:pPr>
            <w:r>
              <w:t xml:space="preserve">1.00</w:t>
            </w:r>
          </w:p>
        </w:tc>
        <w:tc>
          <w:p/>
        </w:tc>
        <w:tc>
          <w:p/>
        </w:tc>
      </w:tr>
      <w:tr>
        <w:tc>
          <w:p/>
        </w:tc>
        <w:tc>
          <w:p>
            <w:pPr>
              <w:pStyle w:val="Compact"/>
              <w:jc w:val="left"/>
            </w:pPr>
            <w:r>
              <w:t xml:space="preserve">Time</w:t>
            </w:r>
            <w:r>
              <w:rPr>
                <w:vertAlign w:val="superscript"/>
              </w:rPr>
              <w:t xml:space="preserve">2</w:t>
            </w:r>
          </w:p>
        </w:tc>
        <w:tc>
          <w:p>
            <w:pPr>
              <w:pStyle w:val="Compact"/>
              <w:jc w:val="right"/>
            </w:pPr>
            <w:r>
              <w:t xml:space="preserve">1.786</w:t>
            </w:r>
          </w:p>
        </w:tc>
        <w:tc>
          <w:p>
            <w:pPr>
              <w:pStyle w:val="Compact"/>
              <w:jc w:val="right"/>
            </w:pPr>
            <w:r>
              <w:t xml:space="preserve">1.336</w:t>
            </w:r>
          </w:p>
        </w:tc>
        <w:tc>
          <w:p>
            <w:pPr>
              <w:pStyle w:val="Compact"/>
              <w:jc w:val="right"/>
            </w:pPr>
            <w:r>
              <w:t xml:space="preserve">−.29</w:t>
            </w:r>
          </w:p>
        </w:tc>
        <w:tc>
          <w:p>
            <w:pPr>
              <w:pStyle w:val="Compact"/>
              <w:jc w:val="right"/>
            </w:pPr>
            <w:r>
              <w:t xml:space="preserve">−.04</w:t>
            </w:r>
          </w:p>
        </w:tc>
        <w:tc>
          <w:p>
            <w:pPr>
              <w:pStyle w:val="Compact"/>
              <w:jc w:val="right"/>
            </w:pPr>
            <w:r>
              <w:t xml:space="preserve">−.13</w:t>
            </w:r>
          </w:p>
        </w:tc>
        <w:tc>
          <w:p>
            <w:pPr>
              <w:pStyle w:val="Compact"/>
              <w:jc w:val="right"/>
            </w:pPr>
            <w:r>
              <w:t xml:space="preserve">1.00</w:t>
            </w:r>
          </w:p>
        </w:tc>
        <w:tc>
          <w:p/>
        </w:tc>
      </w:tr>
      <w:tr>
        <w:tc>
          <w:p/>
        </w:tc>
        <w:tc>
          <w:p>
            <w:pPr>
              <w:pStyle w:val="Compact"/>
              <w:jc w:val="left"/>
            </w:pPr>
            <w:r>
              <w:t xml:space="preserve">Time</w:t>
            </w:r>
            <w:r>
              <w:rPr>
                <w:vertAlign w:val="superscript"/>
              </w:rPr>
              <w:t xml:space="preserve">3</w:t>
            </w:r>
          </w:p>
        </w:tc>
        <w:tc>
          <w:p>
            <w:pPr>
              <w:pStyle w:val="Compact"/>
              <w:jc w:val="right"/>
            </w:pPr>
            <w:r>
              <w:t xml:space="preserve">0.867</w:t>
            </w:r>
          </w:p>
        </w:tc>
        <w:tc>
          <w:p>
            <w:pPr>
              <w:pStyle w:val="Compact"/>
              <w:jc w:val="right"/>
            </w:pPr>
            <w:r>
              <w:t xml:space="preserve">0.931</w:t>
            </w:r>
          </w:p>
        </w:tc>
        <w:tc>
          <w:p>
            <w:pPr>
              <w:pStyle w:val="Compact"/>
              <w:jc w:val="right"/>
            </w:pPr>
            <w:r>
              <w:t xml:space="preserve">−.09</w:t>
            </w:r>
          </w:p>
        </w:tc>
        <w:tc>
          <w:p>
            <w:pPr>
              <w:pStyle w:val="Compact"/>
              <w:jc w:val="right"/>
            </w:pPr>
            <w:r>
              <w:t xml:space="preserve">.12</w:t>
            </w:r>
          </w:p>
        </w:tc>
        <w:tc>
          <w:p>
            <w:pPr>
              <w:pStyle w:val="Compact"/>
              <w:jc w:val="right"/>
            </w:pPr>
            <w:r>
              <w:t xml:space="preserve">−.83</w:t>
            </w:r>
          </w:p>
        </w:tc>
        <w:tc>
          <w:p>
            <w:pPr>
              <w:pStyle w:val="Compact"/>
              <w:jc w:val="right"/>
            </w:pPr>
            <w:r>
              <w:t xml:space="preserve">−.10</w:t>
            </w:r>
          </w:p>
        </w:tc>
        <w:tc>
          <w:p>
            <w:pPr>
              <w:pStyle w:val="Compact"/>
              <w:jc w:val="center"/>
            </w:pPr>
            <w:r>
              <w:t xml:space="preserve">1.00</w:t>
            </w:r>
          </w:p>
        </w:tc>
      </w:tr>
      <w:tr>
        <w:tc>
          <w:p>
            <w:pPr>
              <w:pStyle w:val="Compact"/>
              <w:jc w:val="left"/>
            </w:pPr>
            <w:r>
              <w:t xml:space="preserve">Item</w:t>
            </w:r>
          </w:p>
        </w:tc>
        <w:tc>
          <w:p>
            <w:pPr>
              <w:pStyle w:val="Compact"/>
              <w:jc w:val="left"/>
            </w:pPr>
            <w:r>
              <w:t xml:space="preserve">Intercept</w:t>
            </w:r>
          </w:p>
        </w:tc>
        <w:tc>
          <w:p>
            <w:pPr>
              <w:pStyle w:val="Compact"/>
              <w:jc w:val="right"/>
            </w:pPr>
            <w:r>
              <w:t xml:space="preserve">0.191</w:t>
            </w:r>
          </w:p>
        </w:tc>
        <w:tc>
          <w:p>
            <w:pPr>
              <w:pStyle w:val="Compact"/>
              <w:jc w:val="right"/>
            </w:pPr>
            <w:r>
              <w:t xml:space="preserve">0.437</w:t>
            </w:r>
          </w:p>
        </w:tc>
        <w:tc>
          <w:p>
            <w:pPr>
              <w:pStyle w:val="Compact"/>
              <w:jc w:val="right"/>
            </w:pPr>
            <w:r>
              <w:t xml:space="preserve">1.00</w:t>
            </w:r>
          </w:p>
        </w:tc>
        <w:tc>
          <w:p/>
        </w:tc>
        <w:tc>
          <w:p/>
        </w:tc>
        <w:tc>
          <w:p/>
        </w:tc>
        <w:tc>
          <w:p/>
        </w:tc>
      </w:tr>
      <w:tr>
        <w:tc>
          <w:p/>
        </w:tc>
        <w:tc>
          <w:p>
            <w:pPr>
              <w:pStyle w:val="Compact"/>
              <w:jc w:val="left"/>
            </w:pPr>
            <w:r>
              <w:t xml:space="preserve">Time</w:t>
            </w:r>
            <w:r>
              <w:rPr>
                <w:vertAlign w:val="superscript"/>
              </w:rPr>
              <w:t xml:space="preserve">1</w:t>
            </w:r>
          </w:p>
        </w:tc>
        <w:tc>
          <w:p>
            <w:pPr>
              <w:pStyle w:val="Compact"/>
              <w:jc w:val="right"/>
            </w:pPr>
            <w:r>
              <w:t xml:space="preserve">1.540</w:t>
            </w:r>
          </w:p>
        </w:tc>
        <w:tc>
          <w:p>
            <w:pPr>
              <w:pStyle w:val="Compact"/>
              <w:jc w:val="right"/>
            </w:pPr>
            <w:r>
              <w:t xml:space="preserve">1.241</w:t>
            </w:r>
          </w:p>
        </w:tc>
        <w:tc>
          <w:p>
            <w:pPr>
              <w:pStyle w:val="Compact"/>
              <w:jc w:val="right"/>
            </w:pPr>
            <w:r>
              <w:t xml:space="preserve">−.41</w:t>
            </w:r>
          </w:p>
        </w:tc>
        <w:tc>
          <w:p/>
        </w:tc>
        <w:tc>
          <w:p>
            <w:pPr>
              <w:pStyle w:val="Compact"/>
              <w:jc w:val="right"/>
            </w:pPr>
            <w:r>
              <w:t xml:space="preserve">1.00</w:t>
            </w:r>
          </w:p>
        </w:tc>
        <w:tc>
          <w:p/>
        </w:tc>
        <w:tc>
          <w:p/>
        </w:tc>
      </w:tr>
      <w:tr>
        <w:tc>
          <w:p/>
        </w:tc>
        <w:tc>
          <w:p>
            <w:pPr>
              <w:pStyle w:val="Compact"/>
              <w:jc w:val="left"/>
            </w:pPr>
            <w:r>
              <w:t xml:space="preserve">Time</w:t>
            </w:r>
            <w:r>
              <w:rPr>
                <w:vertAlign w:val="superscript"/>
              </w:rPr>
              <w:t xml:space="preserve">2</w:t>
            </w:r>
          </w:p>
        </w:tc>
        <w:tc>
          <w:p>
            <w:pPr>
              <w:pStyle w:val="Compact"/>
              <w:jc w:val="right"/>
            </w:pPr>
            <w:r>
              <w:t xml:space="preserve">0.389</w:t>
            </w:r>
          </w:p>
        </w:tc>
        <w:tc>
          <w:p>
            <w:pPr>
              <w:pStyle w:val="Compact"/>
              <w:jc w:val="right"/>
            </w:pPr>
            <w:r>
              <w:t xml:space="preserve">0.624</w:t>
            </w:r>
          </w:p>
        </w:tc>
        <w:tc>
          <w:p>
            <w:pPr>
              <w:pStyle w:val="Compact"/>
              <w:jc w:val="right"/>
            </w:pPr>
            <w:r>
              <w:t xml:space="preserve">−.83</w:t>
            </w:r>
          </w:p>
        </w:tc>
        <w:tc>
          <w:p/>
        </w:tc>
        <w:tc>
          <w:p>
            <w:pPr>
              <w:pStyle w:val="Compact"/>
              <w:jc w:val="right"/>
            </w:pPr>
            <w:r>
              <w:t xml:space="preserve">−.05</w:t>
            </w:r>
          </w:p>
        </w:tc>
        <w:tc>
          <w:p>
            <w:pPr>
              <w:pStyle w:val="Compact"/>
              <w:jc w:val="right"/>
            </w:pPr>
            <w:r>
              <w:t xml:space="preserve">1.00</w:t>
            </w:r>
          </w:p>
        </w:tc>
        <w:tc>
          <w:p/>
        </w:tc>
      </w:tr>
      <w:tr>
        <w:tc>
          <w:p/>
        </w:tc>
        <w:tc>
          <w:p>
            <w:pPr>
              <w:pStyle w:val="Compact"/>
              <w:jc w:val="left"/>
            </w:pPr>
            <w:r>
              <w:t xml:space="preserve">Time</w:t>
            </w:r>
            <w:r>
              <w:rPr>
                <w:vertAlign w:val="superscript"/>
              </w:rPr>
              <w:t xml:space="preserve">3</w:t>
            </w:r>
          </w:p>
        </w:tc>
        <w:tc>
          <w:p>
            <w:pPr>
              <w:pStyle w:val="Compact"/>
              <w:jc w:val="right"/>
            </w:pPr>
            <w:r>
              <w:t xml:space="preserve">0.700</w:t>
            </w:r>
          </w:p>
        </w:tc>
        <w:tc>
          <w:p>
            <w:pPr>
              <w:pStyle w:val="Compact"/>
              <w:jc w:val="right"/>
            </w:pPr>
            <w:r>
              <w:t xml:space="preserve">0.837</w:t>
            </w:r>
          </w:p>
        </w:tc>
        <w:tc>
          <w:p>
            <w:pPr>
              <w:pStyle w:val="Compact"/>
              <w:jc w:val="right"/>
            </w:pPr>
            <w:r>
              <w:t xml:space="preserve">.39</w:t>
            </w:r>
          </w:p>
        </w:tc>
        <w:tc>
          <w:p/>
        </w:tc>
        <w:tc>
          <w:p>
            <w:pPr>
              <w:pStyle w:val="Compact"/>
              <w:jc w:val="right"/>
            </w:pPr>
            <w:r>
              <w:t xml:space="preserve">−.97</w:t>
            </w:r>
          </w:p>
        </w:tc>
        <w:tc>
          <w:p>
            <w:pPr>
              <w:pStyle w:val="Compact"/>
              <w:jc w:val="right"/>
            </w:pPr>
            <w:r>
              <w:t xml:space="preserve">−.02</w:t>
            </w:r>
          </w:p>
        </w:tc>
        <w:tc>
          <w:p>
            <w:pPr>
              <w:pStyle w:val="Compact"/>
              <w:jc w:val="center"/>
            </w:pPr>
            <w:r>
              <w:t xml:space="preserve">1.00</w:t>
            </w:r>
          </w:p>
        </w:tc>
      </w:tr>
      <w:tr>
        <w:tc>
          <w:p>
            <w:pPr>
              <w:pStyle w:val="Compact"/>
              <w:jc w:val="left"/>
            </w:pPr>
            <w:r>
              <w:t xml:space="preserve">Residual</w:t>
            </w:r>
          </w:p>
        </w:tc>
        <w:tc>
          <w:p/>
        </w:tc>
        <w:tc>
          <w:p>
            <w:pPr>
              <w:pStyle w:val="Compact"/>
              <w:jc w:val="right"/>
            </w:pPr>
            <w:r>
              <w:t xml:space="preserve">14.525</w:t>
            </w:r>
          </w:p>
        </w:tc>
        <w:tc>
          <w:p>
            <w:pPr>
              <w:pStyle w:val="Compact"/>
              <w:jc w:val="right"/>
            </w:pPr>
            <w:r>
              <w:t xml:space="preserve">3.811</w:t>
            </w:r>
          </w:p>
        </w:tc>
        <w:tc>
          <w:p/>
        </w:tc>
        <w:tc>
          <w:p/>
        </w:tc>
        <w:tc>
          <w:p/>
        </w:tc>
        <w:tc>
          <w:p/>
        </w:tc>
        <w:tc>
          <w:p/>
        </w:tc>
      </w:tr>
    </w:tbl>
    <w:p>
      <w:pPr>
        <w:pStyle w:val="Textkrper"/>
      </w:pPr>
      <w:r>
        <w:t xml:space="preserve">Appendix 2: Growth curve model random effects</w:t>
      </w:r>
    </w:p>
    <w:bookmarkEnd w:id="28"/>
    <w:bookmarkStart w:id="29" w:name="pairwise-comparisons"/>
    <w:p>
      <w:pPr>
        <w:pStyle w:val="berschrift2"/>
      </w:pPr>
      <w:r>
        <w:t xml:space="preserve">Pairwise comparisons</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GroupAM (</w:t>
            </w:r>
            <w:r>
              <w:t xml:space="preserve">γ</w:t>
            </w:r>
            <w:r>
              <w:rPr>
                <w:vertAlign w:val="subscript"/>
              </w:rPr>
              <w:t xml:space="preserve">08</w:t>
            </w:r>
            <w:r>
              <w:t xml:space="preserve">)</w:t>
            </w:r>
          </w:p>
        </w:tc>
        <w:tc>
          <w:p>
            <w:pPr>
              <w:pStyle w:val="Compact"/>
              <w:jc w:val="right"/>
            </w:pPr>
            <w:r>
              <w:t xml:space="preserve">0.078</w:t>
            </w:r>
          </w:p>
        </w:tc>
        <w:tc>
          <w:p>
            <w:pPr>
              <w:pStyle w:val="Compact"/>
              <w:jc w:val="right"/>
            </w:pPr>
            <w:r>
              <w:t xml:space="preserve">0.175</w:t>
            </w:r>
          </w:p>
        </w:tc>
        <w:tc>
          <w:p>
            <w:pPr>
              <w:pStyle w:val="Compact"/>
              <w:jc w:val="right"/>
            </w:pPr>
            <w:r>
              <w:t xml:space="preserve">0.448</w:t>
            </w:r>
          </w:p>
        </w:tc>
        <w:tc>
          <w:p>
            <w:pPr>
              <w:pStyle w:val="Compact"/>
              <w:jc w:val="left"/>
            </w:pPr>
            <w:r>
              <w:t xml:space="preserve">.654</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GroupAM (</w:t>
            </w:r>
            <w:r>
              <w:t xml:space="preserve">γ</w:t>
            </w:r>
            <w:r>
              <w:rPr>
                <w:vertAlign w:val="subscript"/>
              </w:rPr>
              <w:t xml:space="preserve">18</w:t>
            </w:r>
            <w:r>
              <w:t xml:space="preserve">)</w:t>
            </w:r>
          </w:p>
        </w:tc>
        <w:tc>
          <w:p>
            <w:pPr>
              <w:pStyle w:val="Compact"/>
              <w:jc w:val="right"/>
            </w:pPr>
            <w:r>
              <w:t xml:space="preserve">−1.113</w:t>
            </w:r>
          </w:p>
        </w:tc>
        <w:tc>
          <w:p>
            <w:pPr>
              <w:pStyle w:val="Compact"/>
              <w:jc w:val="right"/>
            </w:pPr>
            <w:r>
              <w:t xml:space="preserve">0.503</w:t>
            </w:r>
          </w:p>
        </w:tc>
        <w:tc>
          <w:p>
            <w:pPr>
              <w:pStyle w:val="Compact"/>
              <w:jc w:val="right"/>
            </w:pPr>
            <w:r>
              <w:t xml:space="preserve">−2.210</w:t>
            </w:r>
          </w:p>
        </w:tc>
        <w:tc>
          <w:p>
            <w:pPr>
              <w:pStyle w:val="Compact"/>
              <w:jc w:val="left"/>
            </w:pPr>
            <w:r>
              <w:t xml:space="preserve">.027</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GroupAM (</w:t>
            </w:r>
            <w:r>
              <w:t xml:space="preserve">γ</w:t>
            </w:r>
            <w:r>
              <w:rPr>
                <w:vertAlign w:val="subscript"/>
              </w:rPr>
              <w:t xml:space="preserve">28</w:t>
            </w:r>
            <w:r>
              <w:t xml:space="preserve">)</w:t>
            </w:r>
          </w:p>
        </w:tc>
        <w:tc>
          <w:p>
            <w:pPr>
              <w:pStyle w:val="Compact"/>
              <w:jc w:val="right"/>
            </w:pPr>
            <w:r>
              <w:t xml:space="preserve">−0.136</w:t>
            </w:r>
          </w:p>
        </w:tc>
        <w:tc>
          <w:p>
            <w:pPr>
              <w:pStyle w:val="Compact"/>
              <w:jc w:val="right"/>
            </w:pPr>
            <w:r>
              <w:t xml:space="preserve">0.410</w:t>
            </w:r>
          </w:p>
        </w:tc>
        <w:tc>
          <w:p>
            <w:pPr>
              <w:pStyle w:val="Compact"/>
              <w:jc w:val="right"/>
            </w:pPr>
            <w:r>
              <w:t xml:space="preserve">−0.332</w:t>
            </w:r>
          </w:p>
        </w:tc>
        <w:tc>
          <w:p>
            <w:pPr>
              <w:pStyle w:val="Compact"/>
              <w:jc w:val="left"/>
            </w:pPr>
            <w:r>
              <w:t xml:space="preserve">.740</w:t>
            </w:r>
          </w:p>
        </w:tc>
      </w:tr>
      <w:tr>
        <w:tc>
          <w:p>
            <w:pPr>
              <w:pStyle w:val="Compact"/>
              <w:jc w:val="left"/>
            </w:pPr>
            <w:r>
              <w:t xml:space="preserve">fixed</w:t>
            </w:r>
          </w:p>
        </w:tc>
        <w:tc>
          <w:p>
            <w:pPr>
              <w:pStyle w:val="Compact"/>
              <w:jc w:val="right"/>
            </w:pPr>
            <w:r>
              <w:t xml:space="preserve">GroupAM × Lexical stress (</w:t>
            </w:r>
            <w:r>
              <w:t xml:space="preserve">γ</w:t>
            </w:r>
            <w:r>
              <w:rPr>
                <w:vertAlign w:val="subscript"/>
              </w:rPr>
              <w:t xml:space="preserve">38</w:t>
            </w:r>
            <w:r>
              <w:t xml:space="preserve">)</w:t>
            </w:r>
          </w:p>
        </w:tc>
        <w:tc>
          <w:p>
            <w:pPr>
              <w:pStyle w:val="Compact"/>
              <w:jc w:val="right"/>
            </w:pPr>
            <w:r>
              <w:t xml:space="preserve">0.022</w:t>
            </w:r>
          </w:p>
        </w:tc>
        <w:tc>
          <w:p>
            <w:pPr>
              <w:pStyle w:val="Compact"/>
              <w:jc w:val="right"/>
            </w:pPr>
            <w:r>
              <w:t xml:space="preserve">0.129</w:t>
            </w:r>
          </w:p>
        </w:tc>
        <w:tc>
          <w:p>
            <w:pPr>
              <w:pStyle w:val="Compact"/>
              <w:jc w:val="right"/>
            </w:pPr>
            <w:r>
              <w:t xml:space="preserve">0.173</w:t>
            </w:r>
          </w:p>
        </w:tc>
        <w:tc>
          <w:p>
            <w:pPr>
              <w:pStyle w:val="Compact"/>
              <w:jc w:val="left"/>
            </w:pPr>
            <w:r>
              <w:t xml:space="preserve">.863</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GroupAM:Lexical stress (</w:t>
            </w:r>
            <w:r>
              <w:t xml:space="preserve">γ</w:t>
            </w:r>
            <w:r>
              <w:rPr>
                <w:vertAlign w:val="subscript"/>
              </w:rPr>
              <w:t xml:space="preserve">09</w:t>
            </w:r>
            <w:r>
              <w:t xml:space="preserve">)</w:t>
            </w:r>
          </w:p>
        </w:tc>
        <w:tc>
          <w:p>
            <w:pPr>
              <w:pStyle w:val="Compact"/>
              <w:jc w:val="right"/>
            </w:pPr>
            <w:r>
              <w:t xml:space="preserve">0.444</w:t>
            </w:r>
          </w:p>
        </w:tc>
        <w:tc>
          <w:p>
            <w:pPr>
              <w:pStyle w:val="Compact"/>
              <w:jc w:val="right"/>
            </w:pPr>
            <w:r>
              <w:t xml:space="preserve">0.238</w:t>
            </w:r>
          </w:p>
        </w:tc>
        <w:tc>
          <w:p>
            <w:pPr>
              <w:pStyle w:val="Compact"/>
              <w:jc w:val="right"/>
            </w:pPr>
            <w:r>
              <w:t xml:space="preserve">1.861</w:t>
            </w:r>
          </w:p>
        </w:tc>
        <w:tc>
          <w:p>
            <w:pPr>
              <w:pStyle w:val="Compact"/>
              <w:jc w:val="left"/>
            </w:pPr>
            <w:r>
              <w:t xml:space="preserve">.063</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GroupAM:Lexical stress (</w:t>
            </w:r>
            <w:r>
              <w:t xml:space="preserve">γ</w:t>
            </w:r>
            <w:r>
              <w:rPr>
                <w:vertAlign w:val="subscript"/>
              </w:rPr>
              <w:t xml:space="preserve">19</w:t>
            </w:r>
            <w:r>
              <w:t xml:space="preserve">)</w:t>
            </w:r>
          </w:p>
        </w:tc>
        <w:tc>
          <w:p>
            <w:pPr>
              <w:pStyle w:val="Compact"/>
              <w:jc w:val="right"/>
            </w:pPr>
            <w:r>
              <w:t xml:space="preserve">−0.298</w:t>
            </w:r>
          </w:p>
        </w:tc>
        <w:tc>
          <w:p>
            <w:pPr>
              <w:pStyle w:val="Compact"/>
              <w:jc w:val="right"/>
            </w:pPr>
            <w:r>
              <w:t xml:space="preserve">0.238</w:t>
            </w:r>
          </w:p>
        </w:tc>
        <w:tc>
          <w:p>
            <w:pPr>
              <w:pStyle w:val="Compact"/>
              <w:jc w:val="right"/>
            </w:pPr>
            <w:r>
              <w:t xml:space="preserve">−1.250</w:t>
            </w:r>
          </w:p>
        </w:tc>
        <w:tc>
          <w:p>
            <w:pPr>
              <w:pStyle w:val="Compact"/>
              <w:jc w:val="left"/>
            </w:pPr>
            <w:r>
              <w:t xml:space="preserve">.211</w:t>
            </w:r>
          </w:p>
        </w:tc>
      </w:tr>
    </w:tbl>
    <w:p>
      <w:pPr>
        <w:pStyle w:val="Textkrper"/>
      </w:pPr>
      <w:r>
        <w:t xml:space="preserve">Appendix 3a: Pairwise comparisons between advanced learner groups (AE reference).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GroupIM (</w:t>
            </w:r>
            <w:r>
              <w:t xml:space="preserve">γ</w:t>
            </w:r>
            <w:r>
              <w:rPr>
                <w:vertAlign w:val="subscript"/>
              </w:rPr>
              <w:t xml:space="preserve">08</w:t>
            </w:r>
            <w:r>
              <w:t xml:space="preserve">)</w:t>
            </w:r>
          </w:p>
        </w:tc>
        <w:tc>
          <w:p>
            <w:pPr>
              <w:pStyle w:val="Compact"/>
              <w:jc w:val="right"/>
            </w:pPr>
            <w:r>
              <w:t xml:space="preserve">−0.579</w:t>
            </w:r>
          </w:p>
        </w:tc>
        <w:tc>
          <w:p>
            <w:pPr>
              <w:pStyle w:val="Compact"/>
              <w:jc w:val="right"/>
            </w:pPr>
            <w:r>
              <w:t xml:space="preserve">0.175</w:t>
            </w:r>
          </w:p>
        </w:tc>
        <w:tc>
          <w:p>
            <w:pPr>
              <w:pStyle w:val="Compact"/>
              <w:jc w:val="right"/>
            </w:pPr>
            <w:r>
              <w:t xml:space="preserve">−3.304</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GroupIM (</w:t>
            </w:r>
            <w:r>
              <w:t xml:space="preserve">γ</w:t>
            </w:r>
            <w:r>
              <w:rPr>
                <w:vertAlign w:val="subscript"/>
              </w:rPr>
              <w:t xml:space="preserve">18</w:t>
            </w:r>
            <w:r>
              <w:t xml:space="preserve">)</w:t>
            </w:r>
          </w:p>
        </w:tc>
        <w:tc>
          <w:p>
            <w:pPr>
              <w:pStyle w:val="Compact"/>
              <w:jc w:val="right"/>
            </w:pPr>
            <w:r>
              <w:t xml:space="preserve">0.343</w:t>
            </w:r>
          </w:p>
        </w:tc>
        <w:tc>
          <w:p>
            <w:pPr>
              <w:pStyle w:val="Compact"/>
              <w:jc w:val="right"/>
            </w:pPr>
            <w:r>
              <w:t xml:space="preserve">0.504</w:t>
            </w:r>
          </w:p>
        </w:tc>
        <w:tc>
          <w:p>
            <w:pPr>
              <w:pStyle w:val="Compact"/>
              <w:jc w:val="right"/>
            </w:pPr>
            <w:r>
              <w:t xml:space="preserve">0.681</w:t>
            </w:r>
          </w:p>
        </w:tc>
        <w:tc>
          <w:p>
            <w:pPr>
              <w:pStyle w:val="Compact"/>
              <w:jc w:val="left"/>
            </w:pPr>
            <w:r>
              <w:t xml:space="preserve">.496</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GroupIM (</w:t>
            </w:r>
            <w:r>
              <w:t xml:space="preserve">γ</w:t>
            </w:r>
            <w:r>
              <w:rPr>
                <w:vertAlign w:val="subscript"/>
              </w:rPr>
              <w:t xml:space="preserve">28</w:t>
            </w:r>
            <w:r>
              <w:t xml:space="preserve">)</w:t>
            </w:r>
          </w:p>
        </w:tc>
        <w:tc>
          <w:p>
            <w:pPr>
              <w:pStyle w:val="Compact"/>
              <w:jc w:val="right"/>
            </w:pPr>
            <w:r>
              <w:t xml:space="preserve">−0.031</w:t>
            </w:r>
          </w:p>
        </w:tc>
        <w:tc>
          <w:p>
            <w:pPr>
              <w:pStyle w:val="Compact"/>
              <w:jc w:val="right"/>
            </w:pPr>
            <w:r>
              <w:t xml:space="preserve">0.410</w:t>
            </w:r>
          </w:p>
        </w:tc>
        <w:tc>
          <w:p>
            <w:pPr>
              <w:pStyle w:val="Compact"/>
              <w:jc w:val="right"/>
            </w:pPr>
            <w:r>
              <w:t xml:space="preserve">−0.076</w:t>
            </w:r>
          </w:p>
        </w:tc>
        <w:tc>
          <w:p>
            <w:pPr>
              <w:pStyle w:val="Compact"/>
              <w:jc w:val="left"/>
            </w:pPr>
            <w:r>
              <w:t xml:space="preserve">.939</w:t>
            </w:r>
          </w:p>
        </w:tc>
      </w:tr>
      <w:tr>
        <w:tc>
          <w:p>
            <w:pPr>
              <w:pStyle w:val="Compact"/>
              <w:jc w:val="left"/>
            </w:pPr>
            <w:r>
              <w:t xml:space="preserve">fixed</w:t>
            </w:r>
          </w:p>
        </w:tc>
        <w:tc>
          <w:p>
            <w:pPr>
              <w:pStyle w:val="Compact"/>
              <w:jc w:val="right"/>
            </w:pPr>
            <w:r>
              <w:t xml:space="preserve">GroupIM × Lexical stress (</w:t>
            </w:r>
            <w:r>
              <w:t xml:space="preserve">γ</w:t>
            </w:r>
            <w:r>
              <w:rPr>
                <w:vertAlign w:val="subscript"/>
              </w:rPr>
              <w:t xml:space="preserve">38</w:t>
            </w:r>
            <w:r>
              <w:t xml:space="preserve">)</w:t>
            </w:r>
          </w:p>
        </w:tc>
        <w:tc>
          <w:p>
            <w:pPr>
              <w:pStyle w:val="Compact"/>
              <w:jc w:val="right"/>
            </w:pPr>
            <w:r>
              <w:t xml:space="preserve">0.044</w:t>
            </w:r>
          </w:p>
        </w:tc>
        <w:tc>
          <w:p>
            <w:pPr>
              <w:pStyle w:val="Compact"/>
              <w:jc w:val="right"/>
            </w:pPr>
            <w:r>
              <w:t xml:space="preserve">0.129</w:t>
            </w:r>
          </w:p>
        </w:tc>
        <w:tc>
          <w:p>
            <w:pPr>
              <w:pStyle w:val="Compact"/>
              <w:jc w:val="right"/>
            </w:pPr>
            <w:r>
              <w:t xml:space="preserve">0.343</w:t>
            </w:r>
          </w:p>
        </w:tc>
        <w:tc>
          <w:p>
            <w:pPr>
              <w:pStyle w:val="Compact"/>
              <w:jc w:val="left"/>
            </w:pPr>
            <w:r>
              <w:t xml:space="preserve">.732</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GroupIM:Lexical stress (</w:t>
            </w:r>
            <w:r>
              <w:t xml:space="preserve">γ</w:t>
            </w:r>
            <w:r>
              <w:rPr>
                <w:vertAlign w:val="subscript"/>
              </w:rPr>
              <w:t xml:space="preserve">09</w:t>
            </w:r>
            <w:r>
              <w:t xml:space="preserve">)</w:t>
            </w:r>
          </w:p>
        </w:tc>
        <w:tc>
          <w:p>
            <w:pPr>
              <w:pStyle w:val="Compact"/>
              <w:jc w:val="right"/>
            </w:pPr>
            <w:r>
              <w:t xml:space="preserve">−0.405</w:t>
            </w:r>
          </w:p>
        </w:tc>
        <w:tc>
          <w:p>
            <w:pPr>
              <w:pStyle w:val="Compact"/>
              <w:jc w:val="right"/>
            </w:pPr>
            <w:r>
              <w:t xml:space="preserve">0.239</w:t>
            </w:r>
          </w:p>
        </w:tc>
        <w:tc>
          <w:p>
            <w:pPr>
              <w:pStyle w:val="Compact"/>
              <w:jc w:val="right"/>
            </w:pPr>
            <w:r>
              <w:t xml:space="preserve">−1.696</w:t>
            </w:r>
          </w:p>
        </w:tc>
        <w:tc>
          <w:p>
            <w:pPr>
              <w:pStyle w:val="Compact"/>
              <w:jc w:val="left"/>
            </w:pPr>
            <w:r>
              <w:t xml:space="preserve">.090</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GroupIM:Lexical stress (</w:t>
            </w:r>
            <w:r>
              <w:t xml:space="preserve">γ</w:t>
            </w:r>
            <w:r>
              <w:rPr>
                <w:vertAlign w:val="subscript"/>
              </w:rPr>
              <w:t xml:space="preserve">19</w:t>
            </w:r>
            <w:r>
              <w:t xml:space="preserve">)</w:t>
            </w:r>
          </w:p>
        </w:tc>
        <w:tc>
          <w:p>
            <w:pPr>
              <w:pStyle w:val="Compact"/>
              <w:jc w:val="right"/>
            </w:pPr>
            <w:r>
              <w:t xml:space="preserve">−0.174</w:t>
            </w:r>
          </w:p>
        </w:tc>
        <w:tc>
          <w:p>
            <w:pPr>
              <w:pStyle w:val="Compact"/>
              <w:jc w:val="right"/>
            </w:pPr>
            <w:r>
              <w:t xml:space="preserve">0.239</w:t>
            </w:r>
          </w:p>
        </w:tc>
        <w:tc>
          <w:p>
            <w:pPr>
              <w:pStyle w:val="Compact"/>
              <w:jc w:val="right"/>
            </w:pPr>
            <w:r>
              <w:t xml:space="preserve">−0.729</w:t>
            </w:r>
          </w:p>
        </w:tc>
        <w:tc>
          <w:p>
            <w:pPr>
              <w:pStyle w:val="Compact"/>
              <w:jc w:val="left"/>
            </w:pPr>
            <w:r>
              <w:t xml:space="preserve">.466</w:t>
            </w:r>
          </w:p>
        </w:tc>
      </w:tr>
      <w:tr>
        <w:tc>
          <w:p>
            <w:pPr>
              <w:pStyle w:val="Compact"/>
              <w:jc w:val="left"/>
            </w:pPr>
            <w:r>
              <w:t xml:space="preserve">Appendix</w:t>
            </w:r>
          </w:p>
        </w:tc>
        <w:tc>
          <w:p>
            <w:pPr>
              <w:pStyle w:val="Compact"/>
              <w:jc w:val="right"/>
            </w:pPr>
            <w:r>
              <w:t xml:space="preserve">3b: Pairwise comparisons between Mandarin Chinese learner groups</w:t>
            </w:r>
          </w:p>
        </w:tc>
        <w:tc>
          <w:p>
            <w:pPr>
              <w:pStyle w:val="Compact"/>
              <w:jc w:val="right"/>
            </w:pPr>
            <w:r>
              <w:t xml:space="preserve">(AM reference)</w:t>
            </w:r>
          </w:p>
        </w:tc>
        <w:tc>
          <w:p>
            <w:pPr>
              <w:pStyle w:val="Compact"/>
              <w:jc w:val="right"/>
            </w:pPr>
            <w:r>
              <w:t xml:space="preserve">.</w:t>
            </w:r>
          </w:p>
        </w:tc>
        <w:tc>
          <w:p/>
        </w:tc>
        <w:tc>
          <w:p/>
        </w:tc>
      </w:tr>
    </w:tbl>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GroupIE (</w:t>
            </w:r>
            <w:r>
              <w:t xml:space="preserve">γ</w:t>
            </w:r>
            <w:r>
              <w:rPr>
                <w:vertAlign w:val="subscript"/>
              </w:rPr>
              <w:t xml:space="preserve">08</w:t>
            </w:r>
            <w:r>
              <w:t xml:space="preserve">)</w:t>
            </w:r>
          </w:p>
        </w:tc>
        <w:tc>
          <w:p>
            <w:pPr>
              <w:pStyle w:val="Compact"/>
              <w:jc w:val="right"/>
            </w:pPr>
            <w:r>
              <w:t xml:space="preserve">−0.033</w:t>
            </w:r>
          </w:p>
        </w:tc>
        <w:tc>
          <w:p>
            <w:pPr>
              <w:pStyle w:val="Compact"/>
              <w:jc w:val="right"/>
            </w:pPr>
            <w:r>
              <w:t xml:space="preserve">0.174</w:t>
            </w:r>
          </w:p>
        </w:tc>
        <w:tc>
          <w:p>
            <w:pPr>
              <w:pStyle w:val="Compact"/>
              <w:jc w:val="right"/>
            </w:pPr>
            <w:r>
              <w:t xml:space="preserve">−0.193</w:t>
            </w:r>
          </w:p>
        </w:tc>
        <w:tc>
          <w:p>
            <w:pPr>
              <w:pStyle w:val="Compact"/>
              <w:jc w:val="left"/>
            </w:pPr>
            <w:r>
              <w:t xml:space="preserve">.847</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GroupIE (</w:t>
            </w:r>
            <w:r>
              <w:t xml:space="preserve">γ</w:t>
            </w:r>
            <w:r>
              <w:rPr>
                <w:vertAlign w:val="subscript"/>
              </w:rPr>
              <w:t xml:space="preserve">18</w:t>
            </w:r>
            <w:r>
              <w:t xml:space="preserve">)</w:t>
            </w:r>
          </w:p>
        </w:tc>
        <w:tc>
          <w:p>
            <w:pPr>
              <w:pStyle w:val="Compact"/>
              <w:jc w:val="right"/>
            </w:pPr>
            <w:r>
              <w:t xml:space="preserve">−0.803</w:t>
            </w:r>
          </w:p>
        </w:tc>
        <w:tc>
          <w:p>
            <w:pPr>
              <w:pStyle w:val="Compact"/>
              <w:jc w:val="right"/>
            </w:pPr>
            <w:r>
              <w:t xml:space="preserve">0.500</w:t>
            </w:r>
          </w:p>
        </w:tc>
        <w:tc>
          <w:p>
            <w:pPr>
              <w:pStyle w:val="Compact"/>
              <w:jc w:val="right"/>
            </w:pPr>
            <w:r>
              <w:t xml:space="preserve">−1.606</w:t>
            </w:r>
          </w:p>
        </w:tc>
        <w:tc>
          <w:p>
            <w:pPr>
              <w:pStyle w:val="Compact"/>
              <w:jc w:val="left"/>
            </w:pPr>
            <w:r>
              <w:t xml:space="preserve">.108</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GroupIE (</w:t>
            </w:r>
            <w:r>
              <w:t xml:space="preserve">γ</w:t>
            </w:r>
            <w:r>
              <w:rPr>
                <w:vertAlign w:val="subscript"/>
              </w:rPr>
              <w:t xml:space="preserve">28</w:t>
            </w:r>
            <w:r>
              <w:t xml:space="preserve">)</w:t>
            </w:r>
          </w:p>
        </w:tc>
        <w:tc>
          <w:p>
            <w:pPr>
              <w:pStyle w:val="Compact"/>
              <w:jc w:val="right"/>
            </w:pPr>
            <w:r>
              <w:t xml:space="preserve">−0.000</w:t>
            </w:r>
          </w:p>
        </w:tc>
        <w:tc>
          <w:p>
            <w:pPr>
              <w:pStyle w:val="Compact"/>
              <w:jc w:val="right"/>
            </w:pPr>
            <w:r>
              <w:t xml:space="preserve">0.407</w:t>
            </w:r>
          </w:p>
        </w:tc>
        <w:tc>
          <w:p>
            <w:pPr>
              <w:pStyle w:val="Compact"/>
              <w:jc w:val="right"/>
            </w:pPr>
            <w:r>
              <w:t xml:space="preserve">−0.000</w:t>
            </w:r>
          </w:p>
        </w:tc>
        <w:tc>
          <w:p>
            <w:pPr>
              <w:pStyle w:val="Compact"/>
              <w:jc w:val="left"/>
            </w:pPr>
            <w:r>
              <w:t xml:space="preserve">1.000</w:t>
            </w:r>
          </w:p>
        </w:tc>
      </w:tr>
      <w:tr>
        <w:tc>
          <w:p>
            <w:pPr>
              <w:pStyle w:val="Compact"/>
              <w:jc w:val="left"/>
            </w:pPr>
            <w:r>
              <w:t xml:space="preserve">fixed</w:t>
            </w:r>
          </w:p>
        </w:tc>
        <w:tc>
          <w:p>
            <w:pPr>
              <w:pStyle w:val="Compact"/>
              <w:jc w:val="right"/>
            </w:pPr>
            <w:r>
              <w:t xml:space="preserve">GroupIE × Lexical stress (</w:t>
            </w:r>
            <w:r>
              <w:t xml:space="preserve">γ</w:t>
            </w:r>
            <w:r>
              <w:rPr>
                <w:vertAlign w:val="subscript"/>
              </w:rPr>
              <w:t xml:space="preserve">38</w:t>
            </w:r>
            <w:r>
              <w:t xml:space="preserve">)</w:t>
            </w:r>
          </w:p>
        </w:tc>
        <w:tc>
          <w:p>
            <w:pPr>
              <w:pStyle w:val="Compact"/>
              <w:jc w:val="right"/>
            </w:pPr>
            <w:r>
              <w:t xml:space="preserve">0.176</w:t>
            </w:r>
          </w:p>
        </w:tc>
        <w:tc>
          <w:p>
            <w:pPr>
              <w:pStyle w:val="Compact"/>
              <w:jc w:val="right"/>
            </w:pPr>
            <w:r>
              <w:t xml:space="preserve">0.128</w:t>
            </w:r>
          </w:p>
        </w:tc>
        <w:tc>
          <w:p>
            <w:pPr>
              <w:pStyle w:val="Compact"/>
              <w:jc w:val="right"/>
            </w:pPr>
            <w:r>
              <w:t xml:space="preserve">1.374</w:t>
            </w:r>
          </w:p>
        </w:tc>
        <w:tc>
          <w:p>
            <w:pPr>
              <w:pStyle w:val="Compact"/>
              <w:jc w:val="left"/>
            </w:pPr>
            <w:r>
              <w:t xml:space="preserve">.169</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GroupIE:Lexical stress (</w:t>
            </w:r>
            <w:r>
              <w:t xml:space="preserve">γ</w:t>
            </w:r>
            <w:r>
              <w:rPr>
                <w:vertAlign w:val="subscript"/>
              </w:rPr>
              <w:t xml:space="preserve">09</w:t>
            </w:r>
            <w:r>
              <w:t xml:space="preserve">)</w:t>
            </w:r>
          </w:p>
        </w:tc>
        <w:tc>
          <w:p>
            <w:pPr>
              <w:pStyle w:val="Compact"/>
              <w:jc w:val="right"/>
            </w:pPr>
            <w:r>
              <w:t xml:space="preserve">−0.073</w:t>
            </w:r>
          </w:p>
        </w:tc>
        <w:tc>
          <w:p>
            <w:pPr>
              <w:pStyle w:val="Compact"/>
              <w:jc w:val="right"/>
            </w:pPr>
            <w:r>
              <w:t xml:space="preserve">0.237</w:t>
            </w:r>
          </w:p>
        </w:tc>
        <w:tc>
          <w:p>
            <w:pPr>
              <w:pStyle w:val="Compact"/>
              <w:jc w:val="right"/>
            </w:pPr>
            <w:r>
              <w:t xml:space="preserve">−0.308</w:t>
            </w:r>
          </w:p>
        </w:tc>
        <w:tc>
          <w:p>
            <w:pPr>
              <w:pStyle w:val="Compact"/>
              <w:jc w:val="left"/>
            </w:pPr>
            <w:r>
              <w:t xml:space="preserve">.758</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GroupIE:Lexical stress (</w:t>
            </w:r>
            <w:r>
              <w:t xml:space="preserve">γ</w:t>
            </w:r>
            <w:r>
              <w:rPr>
                <w:vertAlign w:val="subscript"/>
              </w:rPr>
              <w:t xml:space="preserve">19</w:t>
            </w:r>
            <w:r>
              <w:t xml:space="preserve">)</w:t>
            </w:r>
          </w:p>
        </w:tc>
        <w:tc>
          <w:p>
            <w:pPr>
              <w:pStyle w:val="Compact"/>
              <w:jc w:val="right"/>
            </w:pPr>
            <w:r>
              <w:t xml:space="preserve">−0.685</w:t>
            </w:r>
          </w:p>
        </w:tc>
        <w:tc>
          <w:p>
            <w:pPr>
              <w:pStyle w:val="Compact"/>
              <w:jc w:val="right"/>
            </w:pPr>
            <w:r>
              <w:t xml:space="preserve">0.237</w:t>
            </w:r>
          </w:p>
        </w:tc>
        <w:tc>
          <w:p>
            <w:pPr>
              <w:pStyle w:val="Compact"/>
              <w:jc w:val="right"/>
            </w:pPr>
            <w:r>
              <w:t xml:space="preserve">−2.887</w:t>
            </w:r>
          </w:p>
        </w:tc>
        <w:tc>
          <w:p>
            <w:pPr>
              <w:pStyle w:val="Compact"/>
              <w:jc w:val="left"/>
            </w:pPr>
            <w:r>
              <w:t xml:space="preserve">.004</w:t>
            </w:r>
          </w:p>
        </w:tc>
      </w:tr>
      <w:tr>
        <w:tc>
          <w:p>
            <w:pPr>
              <w:pStyle w:val="Compact"/>
              <w:jc w:val="left"/>
            </w:pPr>
            <w:r>
              <w:t xml:space="preserve">Appendix</w:t>
            </w:r>
          </w:p>
        </w:tc>
        <w:tc>
          <w:p>
            <w:pPr>
              <w:pStyle w:val="Compact"/>
              <w:jc w:val="right"/>
            </w:pPr>
            <w:r>
              <w:t xml:space="preserve">3c: Pairwise comparisons between EN learners (AE reference).</w:t>
            </w:r>
          </w:p>
        </w:tc>
        <w:tc>
          <w:p/>
        </w:tc>
        <w:tc>
          <w:p/>
        </w:tc>
        <w:tc>
          <w:p/>
        </w:tc>
        <w:tc>
          <w:p/>
        </w:tc>
      </w:tr>
    </w:tbl>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GroupIM (</w:t>
            </w:r>
            <w:r>
              <w:t xml:space="preserve">γ</w:t>
            </w:r>
            <w:r>
              <w:rPr>
                <w:vertAlign w:val="subscript"/>
              </w:rPr>
              <w:t xml:space="preserve">08</w:t>
            </w:r>
            <w:r>
              <w:t xml:space="preserve">)</w:t>
            </w:r>
          </w:p>
        </w:tc>
        <w:tc>
          <w:p>
            <w:pPr>
              <w:pStyle w:val="Compact"/>
              <w:jc w:val="right"/>
            </w:pPr>
            <w:r>
              <w:t xml:space="preserve">−0.467</w:t>
            </w:r>
          </w:p>
        </w:tc>
        <w:tc>
          <w:p>
            <w:pPr>
              <w:pStyle w:val="Compact"/>
              <w:jc w:val="right"/>
            </w:pPr>
            <w:r>
              <w:t xml:space="preserve">0.174</w:t>
            </w:r>
          </w:p>
        </w:tc>
        <w:tc>
          <w:p>
            <w:pPr>
              <w:pStyle w:val="Compact"/>
              <w:jc w:val="right"/>
            </w:pPr>
            <w:r>
              <w:t xml:space="preserve">−2.685</w:t>
            </w:r>
          </w:p>
        </w:tc>
        <w:tc>
          <w:p>
            <w:pPr>
              <w:pStyle w:val="Compact"/>
              <w:jc w:val="left"/>
            </w:pPr>
            <w:r>
              <w:t xml:space="preserve">.007</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GroupIM (</w:t>
            </w:r>
            <w:r>
              <w:t xml:space="preserve">γ</w:t>
            </w:r>
            <w:r>
              <w:rPr>
                <w:vertAlign w:val="subscript"/>
              </w:rPr>
              <w:t xml:space="preserve">18</w:t>
            </w:r>
            <w:r>
              <w:t xml:space="preserve">)</w:t>
            </w:r>
          </w:p>
        </w:tc>
        <w:tc>
          <w:p>
            <w:pPr>
              <w:pStyle w:val="Compact"/>
              <w:jc w:val="right"/>
            </w:pPr>
            <w:r>
              <w:t xml:space="preserve">0.033</w:t>
            </w:r>
          </w:p>
        </w:tc>
        <w:tc>
          <w:p>
            <w:pPr>
              <w:pStyle w:val="Compact"/>
              <w:jc w:val="right"/>
            </w:pPr>
            <w:r>
              <w:t xml:space="preserve">0.500</w:t>
            </w:r>
          </w:p>
        </w:tc>
        <w:tc>
          <w:p>
            <w:pPr>
              <w:pStyle w:val="Compact"/>
              <w:jc w:val="right"/>
            </w:pPr>
            <w:r>
              <w:t xml:space="preserve">0.067</w:t>
            </w:r>
          </w:p>
        </w:tc>
        <w:tc>
          <w:p>
            <w:pPr>
              <w:pStyle w:val="Compact"/>
              <w:jc w:val="left"/>
            </w:pPr>
            <w:r>
              <w:t xml:space="preserve">.947</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GroupIM (</w:t>
            </w:r>
            <w:r>
              <w:t xml:space="preserve">γ</w:t>
            </w:r>
            <w:r>
              <w:rPr>
                <w:vertAlign w:val="subscript"/>
              </w:rPr>
              <w:t xml:space="preserve">28</w:t>
            </w:r>
            <w:r>
              <w:t xml:space="preserve">)</w:t>
            </w:r>
          </w:p>
        </w:tc>
        <w:tc>
          <w:p>
            <w:pPr>
              <w:pStyle w:val="Compact"/>
              <w:jc w:val="right"/>
            </w:pPr>
            <w:r>
              <w:t xml:space="preserve">−0.167</w:t>
            </w:r>
          </w:p>
        </w:tc>
        <w:tc>
          <w:p>
            <w:pPr>
              <w:pStyle w:val="Compact"/>
              <w:jc w:val="right"/>
            </w:pPr>
            <w:r>
              <w:t xml:space="preserve">0.407</w:t>
            </w:r>
          </w:p>
        </w:tc>
        <w:tc>
          <w:p>
            <w:pPr>
              <w:pStyle w:val="Compact"/>
              <w:jc w:val="right"/>
            </w:pPr>
            <w:r>
              <w:t xml:space="preserve">−0.411</w:t>
            </w:r>
          </w:p>
        </w:tc>
        <w:tc>
          <w:p>
            <w:pPr>
              <w:pStyle w:val="Compact"/>
              <w:jc w:val="left"/>
            </w:pPr>
            <w:r>
              <w:t xml:space="preserve">.681</w:t>
            </w:r>
          </w:p>
        </w:tc>
      </w:tr>
      <w:tr>
        <w:tc>
          <w:p>
            <w:pPr>
              <w:pStyle w:val="Compact"/>
              <w:jc w:val="left"/>
            </w:pPr>
            <w:r>
              <w:t xml:space="preserve">fixed</w:t>
            </w:r>
          </w:p>
        </w:tc>
        <w:tc>
          <w:p>
            <w:pPr>
              <w:pStyle w:val="Compact"/>
              <w:jc w:val="right"/>
            </w:pPr>
            <w:r>
              <w:t xml:space="preserve">GroupIM × Lexical stress (</w:t>
            </w:r>
            <w:r>
              <w:t xml:space="preserve">γ</w:t>
            </w:r>
            <w:r>
              <w:rPr>
                <w:vertAlign w:val="subscript"/>
              </w:rPr>
              <w:t xml:space="preserve">38</w:t>
            </w:r>
            <w:r>
              <w:t xml:space="preserve">)</w:t>
            </w:r>
          </w:p>
        </w:tc>
        <w:tc>
          <w:p>
            <w:pPr>
              <w:pStyle w:val="Compact"/>
              <w:jc w:val="right"/>
            </w:pPr>
            <w:r>
              <w:t xml:space="preserve">−0.110</w:t>
            </w:r>
          </w:p>
        </w:tc>
        <w:tc>
          <w:p>
            <w:pPr>
              <w:pStyle w:val="Compact"/>
              <w:jc w:val="right"/>
            </w:pPr>
            <w:r>
              <w:t xml:space="preserve">0.128</w:t>
            </w:r>
          </w:p>
        </w:tc>
        <w:tc>
          <w:p>
            <w:pPr>
              <w:pStyle w:val="Compact"/>
              <w:jc w:val="right"/>
            </w:pPr>
            <w:r>
              <w:t xml:space="preserve">−0.854</w:t>
            </w:r>
          </w:p>
        </w:tc>
        <w:tc>
          <w:p>
            <w:pPr>
              <w:pStyle w:val="Compact"/>
              <w:jc w:val="left"/>
            </w:pPr>
            <w:r>
              <w:t xml:space="preserve">.393</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GroupIM:Lexical stress (</w:t>
            </w:r>
            <w:r>
              <w:t xml:space="preserve">γ</w:t>
            </w:r>
            <w:r>
              <w:rPr>
                <w:vertAlign w:val="subscript"/>
              </w:rPr>
              <w:t xml:space="preserve">09</w:t>
            </w:r>
            <w:r>
              <w:t xml:space="preserve">)</w:t>
            </w:r>
          </w:p>
        </w:tc>
        <w:tc>
          <w:p>
            <w:pPr>
              <w:pStyle w:val="Compact"/>
              <w:jc w:val="right"/>
            </w:pPr>
            <w:r>
              <w:t xml:space="preserve">0.112</w:t>
            </w:r>
          </w:p>
        </w:tc>
        <w:tc>
          <w:p>
            <w:pPr>
              <w:pStyle w:val="Compact"/>
              <w:jc w:val="right"/>
            </w:pPr>
            <w:r>
              <w:t xml:space="preserve">0.237</w:t>
            </w:r>
          </w:p>
        </w:tc>
        <w:tc>
          <w:p>
            <w:pPr>
              <w:pStyle w:val="Compact"/>
              <w:jc w:val="right"/>
            </w:pPr>
            <w:r>
              <w:t xml:space="preserve">0.470</w:t>
            </w:r>
          </w:p>
        </w:tc>
        <w:tc>
          <w:p>
            <w:pPr>
              <w:pStyle w:val="Compact"/>
              <w:jc w:val="left"/>
            </w:pPr>
            <w:r>
              <w:t xml:space="preserve">.638</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GroupIM:Lexical stress (</w:t>
            </w:r>
            <w:r>
              <w:t xml:space="preserve">γ</w:t>
            </w:r>
            <w:r>
              <w:rPr>
                <w:vertAlign w:val="subscript"/>
              </w:rPr>
              <w:t xml:space="preserve">19</w:t>
            </w:r>
            <w:r>
              <w:t xml:space="preserve">)</w:t>
            </w:r>
          </w:p>
        </w:tc>
        <w:tc>
          <w:p>
            <w:pPr>
              <w:pStyle w:val="Compact"/>
              <w:jc w:val="right"/>
            </w:pPr>
            <w:r>
              <w:t xml:space="preserve">0.212</w:t>
            </w:r>
          </w:p>
        </w:tc>
        <w:tc>
          <w:p>
            <w:pPr>
              <w:pStyle w:val="Compact"/>
              <w:jc w:val="right"/>
            </w:pPr>
            <w:r>
              <w:t xml:space="preserve">0.237</w:t>
            </w:r>
          </w:p>
        </w:tc>
        <w:tc>
          <w:p>
            <w:pPr>
              <w:pStyle w:val="Compact"/>
              <w:jc w:val="right"/>
            </w:pPr>
            <w:r>
              <w:t xml:space="preserve">0.895</w:t>
            </w:r>
          </w:p>
        </w:tc>
        <w:tc>
          <w:p>
            <w:pPr>
              <w:pStyle w:val="Compact"/>
              <w:jc w:val="left"/>
            </w:pPr>
            <w:r>
              <w:t xml:space="preserve">.371</w:t>
            </w:r>
          </w:p>
        </w:tc>
      </w:tr>
      <w:tr>
        <w:tc>
          <w:p>
            <w:pPr>
              <w:pStyle w:val="Compact"/>
              <w:jc w:val="left"/>
            </w:pPr>
            <w:r>
              <w:t xml:space="preserve">Appendix</w:t>
            </w:r>
          </w:p>
        </w:tc>
        <w:tc>
          <w:p>
            <w:pPr>
              <w:pStyle w:val="Compact"/>
              <w:jc w:val="right"/>
            </w:pPr>
            <w:r>
              <w:t xml:space="preserve">3d: Pairwise comparisons between intermediate learner groups (IE</w:t>
            </w:r>
          </w:p>
        </w:tc>
        <w:tc>
          <w:p>
            <w:pPr>
              <w:pStyle w:val="Compact"/>
              <w:jc w:val="right"/>
            </w:pPr>
            <w:r>
              <w:t xml:space="preserve">reference).</w:t>
            </w:r>
          </w:p>
        </w:tc>
        <w:tc>
          <w:p/>
        </w:tc>
        <w:tc>
          <w:p/>
        </w:tc>
        <w:tc>
          <w:p/>
        </w:tc>
      </w:tr>
    </w:tbl>
    <w:bookmarkEnd w:id="29"/>
    <w:bookmarkEnd w:id="30"/>
    <w:bookmarkStart w:id="31" w:name="results"/>
    <w:p>
      <w:pPr>
        <w:pStyle w:val="berschrift1"/>
      </w:pPr>
      <w:r>
        <w:t xml:space="preserve">5. Results</w:t>
      </w:r>
    </w:p>
    <w:p>
      <w:pPr>
        <w:pStyle w:val="FirstParagraph"/>
      </w:pPr>
      <w:r>
        <w:t xml:space="preserve">SS speakers results are presented first, followed by comparisons between L2 groups.</w:t>
      </w:r>
      <w:r>
        <w:t xml:space="preserve"> </w:t>
      </w:r>
      <w:r>
        <w:t xml:space="preserve">The summary for the full model of the Growth Curve Analysis is in the Appendices 2 and 3.</w:t>
      </w:r>
      <w:r>
        <w:t xml:space="preserve"> </w:t>
      </w:r>
      <w:r>
        <w:t xml:space="preserve">The model also estimated the probability of fixations on the target at the offset of the first syllable in the verb; the probabilities were estimated for each group in both lexical stress conditions (see Table 1; stressed syllable = present, unstressed syllable = preterit).</w:t>
      </w:r>
      <w:r>
        <w:t xml:space="preserve"> </w:t>
      </w:r>
      <w:r>
        <w:t xml:space="preserve">These probabilities are contained in Table 1.</w:t>
      </w:r>
    </w:p>
    <w:p>
      <w:pPr>
        <w:pStyle w:val="Textkrper"/>
      </w:pPr>
      <w:r>
        <w:t xml:space="preserve">The model intercept estimates the log odds of SS fixating their gaze on the target averaging across lexical stress condition and time course (</w:t>
      </w:r>
      <w:r>
        <w:rPr>
          <w:i/>
        </w:rPr>
        <w:t xml:space="preserve">γ</w:t>
      </w:r>
      <w:r>
        <w:rPr>
          <w:vertAlign w:val="subscript"/>
        </w:rPr>
        <w:t xml:space="preserve">00</w:t>
      </w:r>
      <w:r>
        <w:t xml:space="preserve"> = 1.717, SE = 0.149.</w:t>
      </w:r>
      <w:r>
        <w:t xml:space="preserve"> </w:t>
      </w:r>
      <w:r>
        <w:rPr>
          <w:i/>
        </w:rPr>
        <w:t xml:space="preserve">t</w:t>
      </w:r>
      <w:r>
        <w:t xml:space="preserve"> </w:t>
      </w:r>
      <w:r>
        <w:t xml:space="preserve">= 11.488,</w:t>
      </w:r>
      <w:r>
        <w:t xml:space="preserve"> </w:t>
      </w:r>
      <w:r>
        <w:rPr>
          <w:i/>
        </w:rPr>
        <w:t xml:space="preserve">p</w:t>
      </w:r>
      <w:r>
        <w:t xml:space="preserve"> </w:t>
      </w:r>
      <w:r>
        <w:t xml:space="preserve">= &lt; .001) with a probability of 0.86 (LB = 0.83, UB =</w:t>
      </w:r>
      <w:r>
        <w:t xml:space="preserve"> </w:t>
      </w:r>
      <w:r>
        <w:t xml:space="preserve">0.89) in the present tense and of probability = 0.86 (LB = 0.83, UB =</w:t>
      </w:r>
      <w:r>
        <w:t xml:space="preserve"> </w:t>
      </w:r>
      <w:r>
        <w:t xml:space="preserve">0.89) in the preterit tense.</w:t>
      </w:r>
      <w:r>
        <w:t xml:space="preserve"> </w:t>
      </w:r>
      <w:r>
        <w:t xml:space="preserve">The value for the intercept along with the probabilities suggest that SS were anticipating correctly.</w:t>
      </w:r>
    </w:p>
    <w:p>
      <w:pPr>
        <w:pStyle w:val="Textkrper"/>
      </w:pPr>
      <w:r>
        <w:t xml:space="preserve">There was a main effect of group indicating that L2 speakers predicted less than SS (AE:</w:t>
      </w:r>
      <w:r>
        <w:t xml:space="preserve"> </w:t>
      </w:r>
      <w:r>
        <w:rPr>
          <w:i/>
        </w:rPr>
        <w:t xml:space="preserve">γ</w:t>
      </w:r>
      <w:r>
        <w:rPr>
          <w:vertAlign w:val="subscript"/>
        </w:rPr>
        <w:t xml:space="preserve">01</w:t>
      </w:r>
      <w:r>
        <w:t xml:space="preserve"> = −0.698, SE = 0.178.</w:t>
      </w:r>
      <w:r>
        <w:t xml:space="preserve"> </w:t>
      </w:r>
      <w:r>
        <w:rPr>
          <w:i/>
        </w:rPr>
        <w:t xml:space="preserve">t</w:t>
      </w:r>
      <w:r>
        <w:t xml:space="preserve"> </w:t>
      </w:r>
      <w:r>
        <w:t xml:space="preserve">= −3.921,</w:t>
      </w:r>
      <w:r>
        <w:t xml:space="preserve"> </w:t>
      </w:r>
      <w:r>
        <w:rPr>
          <w:i/>
        </w:rPr>
        <w:t xml:space="preserve">p</w:t>
      </w:r>
      <w:r>
        <w:t xml:space="preserve"> </w:t>
      </w:r>
      <w:r>
        <w:t xml:space="preserve">= &lt; .001; AM:</w:t>
      </w:r>
      <w:r>
        <w:t xml:space="preserve"> </w:t>
      </w:r>
      <w:r>
        <w:rPr>
          <w:i/>
        </w:rPr>
        <w:t xml:space="preserve">γ</w:t>
      </w:r>
      <w:r>
        <w:rPr>
          <w:vertAlign w:val="subscript"/>
        </w:rPr>
        <w:t xml:space="preserve">11</w:t>
      </w:r>
      <w:r>
        <w:t xml:space="preserve"> = −0.620, SE = 0.178.</w:t>
      </w:r>
      <w:r>
        <w:t xml:space="preserve"> </w:t>
      </w:r>
      <w:r>
        <w:rPr>
          <w:i/>
        </w:rPr>
        <w:t xml:space="preserve">t</w:t>
      </w:r>
      <w:r>
        <w:t xml:space="preserve"> </w:t>
      </w:r>
      <w:r>
        <w:t xml:space="preserve">= −3.480,</w:t>
      </w:r>
      <w:r>
        <w:t xml:space="preserve"> </w:t>
      </w:r>
      <w:r>
        <w:rPr>
          <w:i/>
        </w:rPr>
        <w:t xml:space="preserve">p</w:t>
      </w:r>
      <w:r>
        <w:t xml:space="preserve"> </w:t>
      </w:r>
      <w:r>
        <w:t xml:space="preserve">= &lt; .001; IE:</w:t>
      </w:r>
      <w:r>
        <w:t xml:space="preserve"> </w:t>
      </w:r>
      <w:r>
        <w:rPr>
          <w:i/>
        </w:rPr>
        <w:t xml:space="preserve">γ</w:t>
      </w:r>
      <w:r>
        <w:rPr>
          <w:vertAlign w:val="subscript"/>
        </w:rPr>
        <w:t xml:space="preserve">21</w:t>
      </w:r>
      <w:r>
        <w:t xml:space="preserve"> = −0.732, SE = 0.177.</w:t>
      </w:r>
      <w:r>
        <w:t xml:space="preserve"> </w:t>
      </w:r>
      <w:r>
        <w:rPr>
          <w:i/>
        </w:rPr>
        <w:t xml:space="preserve">t</w:t>
      </w:r>
      <w:r>
        <w:t xml:space="preserve"> </w:t>
      </w:r>
      <w:r>
        <w:t xml:space="preserve">= −4.138,</w:t>
      </w:r>
      <w:r>
        <w:t xml:space="preserve"> </w:t>
      </w:r>
      <w:r>
        <w:rPr>
          <w:i/>
        </w:rPr>
        <w:t xml:space="preserve">p</w:t>
      </w:r>
      <w:r>
        <w:t xml:space="preserve"> </w:t>
      </w:r>
      <w:r>
        <w:t xml:space="preserve">= &lt; .001; IM:</w:t>
      </w:r>
      <w:r>
        <w:t xml:space="preserve"> </w:t>
      </w:r>
      <w:r>
        <w:rPr>
          <w:i/>
        </w:rPr>
        <w:t xml:space="preserve">γ</w:t>
      </w:r>
      <w:r>
        <w:rPr>
          <w:vertAlign w:val="subscript"/>
        </w:rPr>
        <w:t xml:space="preserve">31</w:t>
      </w:r>
      <w:r>
        <w:t xml:space="preserve"> = −1.198, SE = 0.178.</w:t>
      </w:r>
      <w:r>
        <w:t xml:space="preserve"> </w:t>
      </w:r>
      <w:r>
        <w:rPr>
          <w:i/>
        </w:rPr>
        <w:t xml:space="preserve">t</w:t>
      </w:r>
      <w:r>
        <w:t xml:space="preserve"> </w:t>
      </w:r>
      <w:r>
        <w:t xml:space="preserve">= −6.730,</w:t>
      </w:r>
      <w:r>
        <w:t xml:space="preserve"> </w:t>
      </w:r>
      <w:r>
        <w:rPr>
          <w:i/>
        </w:rPr>
        <w:t xml:space="preserve">p</w:t>
      </w:r>
      <w:r>
        <w:t xml:space="preserve"> </w:t>
      </w:r>
      <w:r>
        <w:t xml:space="preserve">= &lt; .001).</w:t>
      </w:r>
      <w:r>
        <w:t xml:space="preserve"> </w:t>
      </w:r>
      <w:r>
        <w:t xml:space="preserve">The two fit plots in Figure 3 reflect this trend in both tenses.</w:t>
      </w:r>
      <w:r>
        <w:t xml:space="preserve"> </w:t>
      </w:r>
      <w:r>
        <w:t xml:space="preserve">The estimates for the intercept demonstrate that IM was the group that most differed from SS in their ability to anticipate.</w:t>
      </w:r>
      <w:r>
        <w:t xml:space="preserve"> </w:t>
      </w:r>
      <w:r>
        <w:t xml:space="preserve">As seen in Figure 3, the fixation log odds for SS crosses the intercept at a higher point than the log odds for the L2 groups, indicating that SS were fixating more on the target verb at the offset of the first syllable.</w:t>
      </w:r>
      <w:r>
        <w:t xml:space="preserve"> </w:t>
      </w:r>
      <w:r>
        <w:t xml:space="preserve">The estimated probabilities suggest nonetheless that all L2 groups were still anticipating, except for IM in the present tense (AE x present: probability = 0.57, LB = 0.51, UB = 0.62; AE x preterit: probability = 0.71, LB = 0.66, UB = 0.76; AM x present: probability = 0.72, LB = 0.67, UB = 0.76; AM x preterit: probability = 0.62, LB = 0.56, UB = 0.67; IE x present: probability = 0.64, LB = 0.59, UB =</w:t>
      </w:r>
      <w:r>
        <w:t xml:space="preserve"> </w:t>
      </w:r>
      <w:r>
        <w:t xml:space="preserve">0.70; IE x preterit: probability = 0.63, LB = 0.57, UB =</w:t>
      </w:r>
      <w:r>
        <w:t xml:space="preserve"> </w:t>
      </w:r>
      <w:r>
        <w:t xml:space="preserve">0.68; IM x present: probability = 0.50, LB = 0.44, UB =</w:t>
      </w:r>
      <w:r>
        <w:t xml:space="preserve"> </w:t>
      </w:r>
      <w:r>
        <w:t xml:space="preserve">0.56; IM x preterit: probability = 0.56, LB = 0.51, UB =</w:t>
      </w:r>
      <w:r>
        <w:t xml:space="preserve"> </w:t>
      </w:r>
      <w:r>
        <w:t xml:space="preserve">0.62).</w:t>
      </w:r>
    </w:p>
    <w:p>
      <w:pPr>
        <w:pStyle w:val="Textkrper"/>
      </w:pPr>
      <w:r>
        <w:t xml:space="preserve">There was also a main effect of the linear term and of the cubic term (</w:t>
      </w:r>
      <w:r>
        <w:rPr>
          <w:i/>
        </w:rPr>
        <w:t xml:space="preserve">γ</w:t>
      </w:r>
      <w:r>
        <w:rPr>
          <w:vertAlign w:val="subscript"/>
        </w:rPr>
        <w:t xml:space="preserve">10</w:t>
      </w:r>
      <w:r>
        <w:t xml:space="preserve"> = 5.856, SE = 0.440.</w:t>
      </w:r>
      <w:r>
        <w:t xml:space="preserve"> </w:t>
      </w:r>
      <w:r>
        <w:rPr>
          <w:i/>
        </w:rPr>
        <w:t xml:space="preserve">t</w:t>
      </w:r>
      <w:r>
        <w:t xml:space="preserve"> </w:t>
      </w:r>
      <w:r>
        <w:t xml:space="preserve">= 13.312,</w:t>
      </w:r>
      <w:r>
        <w:t xml:space="preserve"> </w:t>
      </w:r>
      <w:r>
        <w:rPr>
          <w:i/>
        </w:rPr>
        <w:t xml:space="preserve">p</w:t>
      </w:r>
      <w:r>
        <w:t xml:space="preserve"> </w:t>
      </w:r>
      <w:r>
        <w:t xml:space="preserve">= &lt; .001;</w:t>
      </w:r>
      <w:r>
        <w:t xml:space="preserve"> </w:t>
      </w:r>
      <w:r>
        <w:rPr>
          <w:i/>
        </w:rPr>
        <w:t xml:space="preserve">γ</w:t>
      </w:r>
      <w:r>
        <w:rPr>
          <w:vertAlign w:val="subscript"/>
        </w:rPr>
        <w:t xml:space="preserve">30</w:t>
      </w:r>
      <w:r>
        <w:t xml:space="preserve"> = −1.343, SE = 0.182.</w:t>
      </w:r>
      <w:r>
        <w:t xml:space="preserve"> </w:t>
      </w:r>
      <w:r>
        <w:rPr>
          <w:i/>
        </w:rPr>
        <w:t xml:space="preserve">t</w:t>
      </w:r>
      <w:r>
        <w:t xml:space="preserve"> </w:t>
      </w:r>
      <w:r>
        <w:t xml:space="preserve">= −7.382,</w:t>
      </w:r>
      <w:r>
        <w:t xml:space="preserve"> </w:t>
      </w:r>
      <w:r>
        <w:rPr>
          <w:i/>
        </w:rPr>
        <w:t xml:space="preserve">p</w:t>
      </w:r>
      <w:r>
        <w:t xml:space="preserve"> </w:t>
      </w:r>
      <w:r>
        <w:t xml:space="preserve">= &lt; .001, respectively).</w:t>
      </w:r>
      <w:r>
        <w:t xml:space="preserve"> </w:t>
      </w:r>
      <w:r>
        <w:t xml:space="preserve">These two effects indicate that the slopes were bowed differently across groups—slopes were steeper and bows more closed in the L2 groups (see Fig. 3).</w:t>
      </w:r>
      <w:r>
        <w:t xml:space="preserve"> </w:t>
      </w:r>
      <w:r>
        <w:t xml:space="preserve">The interactions in the linear and cubic polynomial time terms reflect the sigmoid shape of the time course and were retained in the model because they improved the model fit (</w:t>
      </w:r>
      <w:r>
        <w:rPr>
          <w:i/>
        </w:rPr>
        <w:t xml:space="preserve">β</w:t>
      </w:r>
      <w:r>
        <w:t xml:space="preserve"> = 16.939,</w:t>
      </w:r>
      <w:r>
        <w:t xml:space="preserve"> </w:t>
      </w:r>
      <w:r>
        <w:rPr>
          <w:i/>
        </w:rPr>
        <w:t xml:space="preserve">df</w:t>
      </w:r>
      <w:r>
        <w:t xml:space="preserve"> = 4,</w:t>
      </w:r>
      <w:r>
        <w:t xml:space="preserve"> </w:t>
      </w:r>
      <w:r>
        <w:rPr>
          <w:i/>
        </w:rPr>
        <w:t xml:space="preserve">p</w:t>
      </w:r>
      <w:r>
        <w:t xml:space="preserve"> = .002).</w:t>
      </w:r>
      <w:r>
        <w:t xml:space="preserve"> </w:t>
      </w:r>
      <w:r>
        <w:t xml:space="preserve">Keeping these interactions yielded an effect caused by the group AE in the linear term (</w:t>
      </w:r>
      <w:r>
        <w:rPr>
          <w:i/>
        </w:rPr>
        <w:t xml:space="preserve">γ</w:t>
      </w:r>
      <w:r>
        <w:rPr>
          <w:vertAlign w:val="subscript"/>
        </w:rPr>
        <w:t xml:space="preserve">12</w:t>
      </w:r>
      <w:r>
        <w:t xml:space="preserve"> = 1.455, SE = 0.512.</w:t>
      </w:r>
      <w:r>
        <w:t xml:space="preserve"> </w:t>
      </w:r>
      <w:r>
        <w:rPr>
          <w:i/>
        </w:rPr>
        <w:t xml:space="preserve">t</w:t>
      </w:r>
      <w:r>
        <w:t xml:space="preserve"> </w:t>
      </w:r>
      <w:r>
        <w:t xml:space="preserve">= 2.844,</w:t>
      </w:r>
      <w:r>
        <w:t xml:space="preserve"> </w:t>
      </w:r>
      <w:r>
        <w:rPr>
          <w:i/>
        </w:rPr>
        <w:t xml:space="preserve">p</w:t>
      </w:r>
      <w:r>
        <w:t xml:space="preserve"> </w:t>
      </w:r>
      <w:r>
        <w:t xml:space="preserve">= .004), revealing that AE increased their gaze fixations on the target faster than any other group once they started anticipating (see Fig. 3).</w:t>
      </w:r>
      <w:r>
        <w:t xml:space="preserve"> </w:t>
      </w:r>
      <w:r>
        <w:t xml:space="preserve">There was also an effect of all groups in the quadratic term (AE:</w:t>
      </w:r>
      <w:r>
        <w:t xml:space="preserve"> </w:t>
      </w:r>
      <w:r>
        <w:rPr>
          <w:i/>
        </w:rPr>
        <w:t xml:space="preserve">γ</w:t>
      </w:r>
      <w:r>
        <w:rPr>
          <w:vertAlign w:val="subscript"/>
        </w:rPr>
        <w:t xml:space="preserve">13</w:t>
      </w:r>
      <w:r>
        <w:t xml:space="preserve"> = 1.997, SE = 0.417.</w:t>
      </w:r>
      <w:r>
        <w:t xml:space="preserve"> </w:t>
      </w:r>
      <w:r>
        <w:rPr>
          <w:i/>
        </w:rPr>
        <w:t xml:space="preserve">t</w:t>
      </w:r>
      <w:r>
        <w:t xml:space="preserve"> </w:t>
      </w:r>
      <w:r>
        <w:t xml:space="preserve">= 4.795,</w:t>
      </w:r>
      <w:r>
        <w:t xml:space="preserve"> </w:t>
      </w:r>
      <w:r>
        <w:rPr>
          <w:i/>
        </w:rPr>
        <w:t xml:space="preserve">p</w:t>
      </w:r>
      <w:r>
        <w:t xml:space="preserve"> </w:t>
      </w:r>
      <w:r>
        <w:t xml:space="preserve">= &lt; .001; AM:</w:t>
      </w:r>
      <w:r>
        <w:t xml:space="preserve"> </w:t>
      </w:r>
      <w:r>
        <w:rPr>
          <w:i/>
        </w:rPr>
        <w:t xml:space="preserve">γ</w:t>
      </w:r>
      <w:r>
        <w:rPr>
          <w:vertAlign w:val="subscript"/>
        </w:rPr>
        <w:t xml:space="preserve">23</w:t>
      </w:r>
      <w:r>
        <w:t xml:space="preserve"> = 1.861, SE = 0.417.</w:t>
      </w:r>
      <w:r>
        <w:t xml:space="preserve"> </w:t>
      </w:r>
      <w:r>
        <w:rPr>
          <w:i/>
        </w:rPr>
        <w:t xml:space="preserve">t</w:t>
      </w:r>
      <w:r>
        <w:t xml:space="preserve"> </w:t>
      </w:r>
      <w:r>
        <w:t xml:space="preserve">= 4.466,</w:t>
      </w:r>
      <w:r>
        <w:t xml:space="preserve"> </w:t>
      </w:r>
      <w:r>
        <w:rPr>
          <w:i/>
        </w:rPr>
        <w:t xml:space="preserve">p</w:t>
      </w:r>
      <w:r>
        <w:t xml:space="preserve"> </w:t>
      </w:r>
      <w:r>
        <w:t xml:space="preserve">= &lt; .001; AE:</w:t>
      </w:r>
      <w:r>
        <w:t xml:space="preserve"> </w:t>
      </w:r>
      <w:r>
        <w:rPr>
          <w:i/>
        </w:rPr>
        <w:t xml:space="preserve">γ</w:t>
      </w:r>
      <w:r>
        <w:rPr>
          <w:vertAlign w:val="subscript"/>
        </w:rPr>
        <w:t xml:space="preserve">33</w:t>
      </w:r>
      <w:r>
        <w:t xml:space="preserve"> = 1.997, SE = 0.414.</w:t>
      </w:r>
      <w:r>
        <w:t xml:space="preserve"> </w:t>
      </w:r>
      <w:r>
        <w:rPr>
          <w:i/>
        </w:rPr>
        <w:t xml:space="preserve">t</w:t>
      </w:r>
      <w:r>
        <w:t xml:space="preserve"> </w:t>
      </w:r>
      <w:r>
        <w:t xml:space="preserve">= 4.825,</w:t>
      </w:r>
      <w:r>
        <w:t xml:space="preserve"> </w:t>
      </w:r>
      <w:r>
        <w:rPr>
          <w:i/>
        </w:rPr>
        <w:t xml:space="preserve">p</w:t>
      </w:r>
      <w:r>
        <w:t xml:space="preserve"> </w:t>
      </w:r>
      <w:r>
        <w:t xml:space="preserve">= &lt; .001; AM:</w:t>
      </w:r>
      <w:r>
        <w:t xml:space="preserve"> </w:t>
      </w:r>
      <w:r>
        <w:rPr>
          <w:i/>
        </w:rPr>
        <w:t xml:space="preserve">γ</w:t>
      </w:r>
      <w:r>
        <w:rPr>
          <w:vertAlign w:val="subscript"/>
        </w:rPr>
        <w:t xml:space="preserve">04</w:t>
      </w:r>
      <w:r>
        <w:t xml:space="preserve"> = 1.830, SE = 0.417.</w:t>
      </w:r>
      <w:r>
        <w:t xml:space="preserve"> </w:t>
      </w:r>
      <w:r>
        <w:rPr>
          <w:i/>
        </w:rPr>
        <w:t xml:space="preserve">t</w:t>
      </w:r>
      <w:r>
        <w:t xml:space="preserve"> </w:t>
      </w:r>
      <w:r>
        <w:t xml:space="preserve">= 4.391,</w:t>
      </w:r>
      <w:r>
        <w:t xml:space="preserve"> </w:t>
      </w:r>
      <w:r>
        <w:rPr>
          <w:i/>
        </w:rPr>
        <w:t xml:space="preserve">p</w:t>
      </w:r>
      <w:r>
        <w:t xml:space="preserve"> </w:t>
      </w:r>
      <w:r>
        <w:t xml:space="preserve">= &lt; .001) that indicates that the quadratic curve was more bowed for the L2 speakers, reflecting that all L2 groups predicted later than SS.</w:t>
      </w:r>
    </w:p>
    <w:p>
      <w:pPr>
        <w:pStyle w:val="Textkrper"/>
      </w:pPr>
      <w:r>
        <w:t xml:space="preserve">Keeping the term interactions also yielded a more complex interaction effect in the quadratic term between AE and lexical stress (</w:t>
      </w:r>
      <w:r>
        <w:rPr>
          <w:i/>
        </w:rPr>
        <w:t xml:space="preserve">γ</w:t>
      </w:r>
      <w:r>
        <w:rPr>
          <w:vertAlign w:val="subscript"/>
        </w:rPr>
        <w:t xml:space="preserve">36</w:t>
      </w:r>
      <w:r>
        <w:t xml:space="preserve"> = 0.174, SE = 0.241.</w:t>
      </w:r>
      <w:r>
        <w:t xml:space="preserve"> </w:t>
      </w:r>
      <w:r>
        <w:rPr>
          <w:i/>
        </w:rPr>
        <w:t xml:space="preserve">t</w:t>
      </w:r>
      <w:r>
        <w:t xml:space="preserve"> </w:t>
      </w:r>
      <w:r>
        <w:t xml:space="preserve">= 0.720,</w:t>
      </w:r>
      <w:r>
        <w:t xml:space="preserve"> </w:t>
      </w:r>
      <w:r>
        <w:rPr>
          <w:i/>
        </w:rPr>
        <w:t xml:space="preserve">p</w:t>
      </w:r>
      <w:r>
        <w:t xml:space="preserve"> </w:t>
      </w:r>
      <w:r>
        <w:t xml:space="preserve">= .471) and between AM and lexical stress (GroupAM x Lexical stress:</w:t>
      </w:r>
      <w:r>
        <w:t xml:space="preserve"> </w:t>
      </w:r>
      <w:r>
        <w:rPr>
          <w:i/>
        </w:rPr>
        <w:t xml:space="preserve">γ</w:t>
      </w:r>
      <w:r>
        <w:rPr>
          <w:vertAlign w:val="subscript"/>
        </w:rPr>
        <w:t xml:space="preserve">00</w:t>
      </w:r>
      <w:r>
        <w:t xml:space="preserve"> = 0.386, SE = 0.243.</w:t>
      </w:r>
      <w:r>
        <w:t xml:space="preserve"> </w:t>
      </w:r>
      <w:r>
        <w:rPr>
          <w:i/>
        </w:rPr>
        <w:t xml:space="preserve">t</w:t>
      </w:r>
      <w:r>
        <w:t xml:space="preserve"> </w:t>
      </w:r>
      <w:r>
        <w:t xml:space="preserve">= 1.592,</w:t>
      </w:r>
      <w:r>
        <w:t xml:space="preserve"> </w:t>
      </w:r>
      <w:r>
        <w:rPr>
          <w:i/>
        </w:rPr>
        <w:t xml:space="preserve">p</w:t>
      </w:r>
      <w:r>
        <w:t xml:space="preserve"> </w:t>
      </w:r>
      <w:r>
        <w:t xml:space="preserve">= .111).</w:t>
      </w:r>
      <w:r>
        <w:t xml:space="preserve"> </w:t>
      </w:r>
      <w:r>
        <w:t xml:space="preserve">This interaction shows that advanced L2 learners fixated more on the target in the preterit tense than they did in the present tense (see Fig. 4).</w:t>
      </w:r>
      <w:r>
        <w:t xml:space="preserve"> </w:t>
      </w:r>
      <w:r>
        <w:t xml:space="preserve">This increased number of fixations reveals that preterit tense may be easier to anticipate than present tense.</w:t>
      </w:r>
      <w:r>
        <w:t xml:space="preserve"> </w:t>
      </w:r>
      <w:r>
        <w:t xml:space="preserve">Figure 4 reflects the anticipation abilities difference in the advanced groups in the preterit tense towards the present tense. This difference consists of earlier increased fixations on the target verb in the preterit tense upon hearing a lexically unstressed syllable and is represented in the figure by the shift of the preterit tense line to the left in comparison to the present tense line.</w:t>
      </w:r>
    </w:p>
    <w:p>
      <w:pPr>
        <w:pStyle w:val="Textkrper"/>
      </w:pPr>
      <w:r>
        <w:t xml:space="preserve">Pairwise comparisons compares performance across L2 groups.</w:t>
      </w:r>
      <w:r>
        <w:t xml:space="preserve"> </w:t>
      </w:r>
      <w:r>
        <w:t xml:space="preserve">The pairwise comparisons are in Appendices 4 (advanced groups), 5 (intermediate groups), 6 (English groups) and 7 (Mandarin groups).</w:t>
      </w:r>
      <w:r>
        <w:t xml:space="preserve"> </w:t>
      </w:r>
      <w:r>
        <w:t xml:space="preserve">Comparing speakers of the same L1 across proficiency, there is only a difference in the quadratic term for the L1 English speakers (</w:t>
      </w:r>
      <w:r>
        <w:rPr>
          <w:i/>
        </w:rPr>
        <w:t xml:space="preserve">γ</w:t>
      </w:r>
      <w:r>
        <w:rPr>
          <w:vertAlign w:val="subscript"/>
        </w:rPr>
        <w:t xml:space="preserve">19</w:t>
      </w:r>
      <w:r>
        <w:t xml:space="preserve"> = −0.685, SE = 0.237.</w:t>
      </w:r>
      <w:r>
        <w:t xml:space="preserve"> </w:t>
      </w:r>
      <w:r>
        <w:rPr>
          <w:i/>
        </w:rPr>
        <w:t xml:space="preserve">t</w:t>
      </w:r>
      <w:r>
        <w:t xml:space="preserve"> </w:t>
      </w:r>
      <w:r>
        <w:t xml:space="preserve">= −2.887,</w:t>
      </w:r>
      <w:r>
        <w:t xml:space="preserve"> </w:t>
      </w:r>
      <w:r>
        <w:rPr>
          <w:i/>
        </w:rPr>
        <w:t xml:space="preserve">p</w:t>
      </w:r>
      <w:r>
        <w:t xml:space="preserve"> </w:t>
      </w:r>
      <w:r>
        <w:t xml:space="preserve">= .004), such that IE anticipate less than AE in the preterit tense.</w:t>
      </w:r>
      <w:r>
        <w:t xml:space="preserve"> </w:t>
      </w:r>
      <w:r>
        <w:t xml:space="preserve">As for L1 Mandarin Chinese speakers, there is only an effect on the intercept, where IM is shown to predict less than AM averaging across time course and stress conditions (</w:t>
      </w:r>
      <w:r>
        <w:rPr>
          <w:i/>
        </w:rPr>
        <w:t xml:space="preserve">γ</w:t>
      </w:r>
      <w:r>
        <w:rPr>
          <w:vertAlign w:val="subscript"/>
        </w:rPr>
        <w:t xml:space="preserve">08</w:t>
      </w:r>
      <w:r>
        <w:t xml:space="preserve"> = −0.579, SE = 0.175.</w:t>
      </w:r>
      <w:r>
        <w:t xml:space="preserve"> </w:t>
      </w:r>
      <w:r>
        <w:rPr>
          <w:i/>
        </w:rPr>
        <w:t xml:space="preserve">t</w:t>
      </w:r>
      <w:r>
        <w:t xml:space="preserve"> </w:t>
      </w:r>
      <w:r>
        <w:t xml:space="preserve">= −3.304,</w:t>
      </w:r>
      <w:r>
        <w:t xml:space="preserve"> </w:t>
      </w:r>
      <w:r>
        <w:rPr>
          <w:i/>
        </w:rPr>
        <w:t xml:space="preserve">p</w:t>
      </w:r>
      <w:r>
        <w:t xml:space="preserve"> </w:t>
      </w:r>
      <w:r>
        <w:t xml:space="preserve">= &lt; .001).</w:t>
      </w:r>
      <w:r>
        <w:t xml:space="preserve"> </w:t>
      </w:r>
      <w:r>
        <w:t xml:space="preserve">That is, AM predict better overall than IM.</w:t>
      </w:r>
      <w:r>
        <w:t xml:space="preserve"> </w:t>
      </w:r>
      <w:r>
        <w:t xml:space="preserve">Comparing speakers of different L1s with similar proficiency, there was a significant effect on the intercept between IE and IM, such that IE had a higher fixation rate on the target than IM, indicating higher prediction in IE (</w:t>
      </w:r>
      <w:r>
        <w:rPr>
          <w:i/>
        </w:rPr>
        <w:t xml:space="preserve">γ</w:t>
      </w:r>
      <w:r>
        <w:rPr>
          <w:vertAlign w:val="subscript"/>
        </w:rPr>
        <w:t xml:space="preserve">08</w:t>
      </w:r>
      <w:r>
        <w:t xml:space="preserve"> = −0.467, SE = 0.174.</w:t>
      </w:r>
      <w:r>
        <w:t xml:space="preserve"> </w:t>
      </w:r>
      <w:r>
        <w:rPr>
          <w:i/>
        </w:rPr>
        <w:t xml:space="preserve">t</w:t>
      </w:r>
      <w:r>
        <w:t xml:space="preserve"> </w:t>
      </w:r>
      <w:r>
        <w:t xml:space="preserve">= −2.685,</w:t>
      </w:r>
      <w:r>
        <w:t xml:space="preserve"> </w:t>
      </w:r>
      <w:r>
        <w:rPr>
          <w:i/>
        </w:rPr>
        <w:t xml:space="preserve">p</w:t>
      </w:r>
      <w:r>
        <w:t xml:space="preserve"> </w:t>
      </w:r>
      <w:r>
        <w:t xml:space="preserve">= .007).</w:t>
      </w:r>
      <w:r>
        <w:t xml:space="preserve"> </w:t>
      </w:r>
      <w:r>
        <w:t xml:space="preserve">At advanced proficiency, there was an effect of group on the linear term, demonstrating that AM increased their fixations on the target less steeply than AE in both stress conditions (−1.113, SE = 0.503.</w:t>
      </w:r>
      <w:r>
        <w:t xml:space="preserve"> </w:t>
      </w:r>
      <w:r>
        <w:rPr>
          <w:i/>
        </w:rPr>
        <w:t xml:space="preserve">t</w:t>
      </w:r>
      <w:r>
        <w:t xml:space="preserve"> </w:t>
      </w:r>
      <w:r>
        <w:t xml:space="preserve">= −2.210,</w:t>
      </w:r>
      <w:r>
        <w:t xml:space="preserve"> </w:t>
      </w:r>
      <w:r>
        <w:rPr>
          <w:i/>
        </w:rPr>
        <w:t xml:space="preserve">p</w:t>
      </w:r>
      <w:r>
        <w:t xml:space="preserve"> </w:t>
      </w:r>
      <w:r>
        <w:t xml:space="preserve">= .027).</w:t>
      </w:r>
    </w:p>
    <w:p>
      <w:pPr>
        <w:pStyle w:val="Textkrper"/>
      </w:pPr>
      <w:r>
        <w:t xml:space="preserve">The data in this study revealed that all groups except IM anticipated.</w:t>
      </w:r>
      <w:r>
        <w:t xml:space="preserve"> </w:t>
      </w:r>
      <w:r>
        <w:t xml:space="preserve">SS was the group that anticipated most and the earliest.</w:t>
      </w:r>
      <w:r>
        <w:t xml:space="preserve"> </w:t>
      </w:r>
      <w:r>
        <w:t xml:space="preserve">Within-group performance was similar across tense conditions for the intermediate groups and SS.</w:t>
      </w:r>
      <w:r>
        <w:t xml:space="preserve"> </w:t>
      </w:r>
      <w:r>
        <w:t xml:space="preserve">For both advanced groups, preterit tense was easier to anticipate than present.</w:t>
      </w:r>
      <w:r>
        <w:t xml:space="preserve"> </w:t>
      </w:r>
      <w:r>
        <w:t xml:space="preserve">Over proficiency, Mandarin speakers improved their prediction ability; English speakers improved overall although the anticipation performance difference is smaller.</w:t>
      </w:r>
    </w:p>
    <w:bookmarkEnd w:id="31"/>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Title</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Title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23" Target="media/rId23.png" /><Relationship Type="http://schemas.openxmlformats.org/officeDocument/2006/relationships/image" Id="rId24" Target="media/rId2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dc:title>
  <dc:creator/>
  <cp:keywords/>
  <dcterms:created xsi:type="dcterms:W3CDTF">2021-02-17T15:17:41Z</dcterms:created>
  <dcterms:modified xsi:type="dcterms:W3CDTF">2021-02-17T15:17:41Z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classoption">
    <vt:lpwstr>man</vt:lpwstr>
  </property>
  <property fmtid="{D5CDD505-2E9C-101B-9397-08002B2CF9AE}" pid="4" name="csl">
    <vt:lpwstr>/Users/lfa/Desktop/Dissertation/packrat/lib/x86_64-apple-darwin15.6.0/3.6.1/papaja/rmd/apa6.csl</vt:lpwstr>
  </property>
  <property fmtid="{D5CDD505-2E9C-101B-9397-08002B2CF9AE}" pid="5" name="documentclass">
    <vt:lpwstr>apa6</vt:lpwstr>
  </property>
  <property fmtid="{D5CDD505-2E9C-101B-9397-08002B2CF9AE}" pid="6" name="draft">
    <vt:lpwstr>yes</vt:lpwstr>
  </property>
  <property fmtid="{D5CDD505-2E9C-101B-9397-08002B2CF9AE}" pid="7" name="figurelist">
    <vt:lpwstr>yes</vt:lpwstr>
  </property>
  <property fmtid="{D5CDD505-2E9C-101B-9397-08002B2CF9AE}" pid="8" name="floatsintext">
    <vt:lpwstr>yes</vt:lpwstr>
  </property>
  <property fmtid="{D5CDD505-2E9C-101B-9397-08002B2CF9AE}" pid="9" name="footnotelist">
    <vt:lpwstr>yes</vt:lpwstr>
  </property>
  <property fmtid="{D5CDD505-2E9C-101B-9397-08002B2CF9AE}" pid="10" name="linenumbers">
    <vt:lpwstr>yes</vt:lpwstr>
  </property>
  <property fmtid="{D5CDD505-2E9C-101B-9397-08002B2CF9AE}" pid="11" name="mask">
    <vt:lpwstr>yes</vt:lpwstr>
  </property>
  <property fmtid="{D5CDD505-2E9C-101B-9397-08002B2CF9AE}" pid="12" name="output">
    <vt:lpwstr>papaja::apa6_word</vt:lpwstr>
  </property>
  <property fmtid="{D5CDD505-2E9C-101B-9397-08002B2CF9AE}" pid="13" name="shorttitle">
    <vt:lpwstr>Title</vt:lpwstr>
  </property>
  <property fmtid="{D5CDD505-2E9C-101B-9397-08002B2CF9AE}" pid="14" name="tablelist">
    <vt:lpwstr>yes</vt:lpwstr>
  </property>
  <property fmtid="{D5CDD505-2E9C-101B-9397-08002B2CF9AE}" pid="15" name="wordcount">
    <vt:lpwstr/>
  </property>
</Properties>
</file>