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b8742581bc7b959d0cee8779aed71eb4be60c91"/>
      <w:r>
        <w:t xml:space="preserve">BLC article (stress, natives, late advanced learners and interpreters)</w:t>
      </w:r>
      <w:bookmarkEnd w:id="20"/>
    </w:p>
    <w:p>
      <w:pPr>
        <w:pStyle w:val="berschrift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document contains updates to the statistical analysis for BLC article</w:t>
      </w:r>
      <w:r>
        <w:t xml:space="preserve"> </w:t>
      </w:r>
      <w:r>
        <w:t xml:space="preserve">(3rd revisions).</w:t>
      </w:r>
      <w:r>
        <w:t xml:space="preserve"> </w:t>
      </w:r>
      <w:r>
        <w:t xml:space="preserve">Last updated on 2019-06-06.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2" w:name="main-changes"/>
      <w:r>
        <w:t xml:space="preserve">Main changes</w:t>
      </w:r>
      <w:bookmarkEnd w:id="22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t xml:space="preserve">The updated analysis includes more participants in the interpreter (IN) group</w:t>
      </w:r>
      <w:r>
        <w:t xml:space="preserve"> </w:t>
      </w:r>
      <w:r>
        <w:t xml:space="preserve">and a few different participants in the monolingual (M) and advanced learner</w:t>
      </w:r>
      <w:r>
        <w:t xml:space="preserve"> </w:t>
      </w:r>
      <w:r>
        <w:t xml:space="preserve">non-interpreter (NIN) groups.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Textkrper"/>
      </w:pPr>
      <w:r>
        <w:t xml:space="preserve">The analysis has been simplified to in 2 major ways:</w:t>
      </w:r>
      <w:r>
        <w:t xml:space="preserve"> </w:t>
      </w:r>
      <w:r>
        <w:t xml:space="preserve">by</w:t>
      </w:r>
      <w:r>
        <w:t xml:space="preserve"> </w:t>
      </w:r>
      <w:r>
        <w:rPr>
          <w:b/>
        </w:rPr>
        <w:t xml:space="preserve">removing the t-test and GLMM analyses</w:t>
      </w:r>
      <w:r>
        <w:t xml:space="preserve">.</w:t>
      </w:r>
      <w:r>
        <w:t xml:space="preserve"> </w:t>
      </w:r>
      <w:r>
        <w:t xml:space="preserve">The motivation behind using the t-tests was to see if participants fixated on</w:t>
      </w:r>
      <w:r>
        <w:t xml:space="preserve"> </w:t>
      </w:r>
      <w:r>
        <w:t xml:space="preserve">targets above chance levels (50%) at the offset of the first syllable of the</w:t>
      </w:r>
      <w:r>
        <w:t xml:space="preserve"> </w:t>
      </w:r>
      <w:r>
        <w:t xml:space="preserve">target items.</w:t>
      </w:r>
      <w:r>
        <w:t xml:space="preserve"> </w:t>
      </w:r>
      <w:r>
        <w:t xml:space="preserve">The problem with this analysis is that is reduced a lot of data to</w:t>
      </w:r>
      <w:r>
        <w:t xml:space="preserve"> </w:t>
      </w:r>
      <w:r>
        <w:t xml:space="preserve">approximately 50 data points (and 10ish in the IN group).</w:t>
      </w:r>
      <w:r>
        <w:t xml:space="preserve"> </w:t>
      </w:r>
      <w:r>
        <w:t xml:space="preserve">This forced us to run multiple tests and correct for family-wise error using a</w:t>
      </w:r>
      <w:r>
        <w:t xml:space="preserve"> </w:t>
      </w:r>
      <w:r>
        <w:t xml:space="preserve">Bonferroni adjustment (and killing our power).</w:t>
      </w:r>
      <w:r>
        <w:t xml:space="preserve"> </w:t>
      </w:r>
      <w:r>
        <w:t xml:space="preserve">This was particularly troubling because it was apparent that there was a stress</w:t>
      </w:r>
      <w:r>
        <w:t xml:space="preserve"> </w:t>
      </w:r>
      <w:r>
        <w:t xml:space="preserve">effect (oxytones consistently had higher fixation rates), but we refrained</w:t>
      </w:r>
      <w:r>
        <w:t xml:space="preserve"> </w:t>
      </w:r>
      <w:r>
        <w:t xml:space="preserve">from testing syllable structure to avoid (1) further correcting alpha and (2)</w:t>
      </w:r>
      <w:r>
        <w:t xml:space="preserve"> </w:t>
      </w:r>
      <w:r>
        <w:t xml:space="preserve">harking.</w:t>
      </w:r>
      <w:r>
        <w:t xml:space="preserve"> </w:t>
      </w:r>
      <w:r>
        <w:t xml:space="preserve">In place of the t-tests I have included model estimates from the growth curve</w:t>
      </w:r>
      <w:r>
        <w:t xml:space="preserve"> </w:t>
      </w:r>
      <w:r>
        <w:t xml:space="preserve">analysis at the target syllable offset ± SE.</w:t>
      </w:r>
      <w:r>
        <w:t xml:space="preserve"> </w:t>
      </w:r>
      <w:r>
        <w:t xml:space="preserve">This is not a formal test against chance, but is clearly more reliable than the</w:t>
      </w:r>
      <w:r>
        <w:t xml:space="preserve"> </w:t>
      </w:r>
      <w:r>
        <w:t xml:space="preserve">t-tests.</w:t>
      </w:r>
      <w:r>
        <w:t xml:space="preserve"> </w:t>
      </w:r>
      <w:r>
        <w:t xml:space="preserve">It also includes the 50ms bin, which I believe will make one of the reviewers</w:t>
      </w:r>
      <w:r>
        <w:t xml:space="preserve"> </w:t>
      </w:r>
      <w:r>
        <w:t xml:space="preserve">happy.</w:t>
      </w:r>
      <w:r>
        <w:t xml:space="preserve"> </w:t>
      </w:r>
      <w:r>
        <w:t xml:space="preserve">The downside is that it inevitably includes some acoustic information from</w:t>
      </w:r>
      <w:r>
        <w:t xml:space="preserve"> </w:t>
      </w:r>
      <w:r>
        <w:t xml:space="preserve">slightly after the initial syllable.</w:t>
      </w:r>
      <w:r>
        <w:t xml:space="preserve"> </w:t>
      </w:r>
      <w:r>
        <w:t xml:space="preserve">We don’t know how much, but we can examine the time course to see how close</w:t>
      </w:r>
      <w:r>
        <w:t xml:space="preserve"> </w:t>
      </w:r>
      <w:r>
        <w:t xml:space="preserve">target fixations are to chance before and after the relevant bin (bin #4,</w:t>
      </w:r>
      <w:r>
        <w:t xml:space="preserve"> </w:t>
      </w:r>
      <w:r>
        <w:t xml:space="preserve">4 x 50 = 200 ms).</w:t>
      </w:r>
      <w:r>
        <w:t xml:space="preserve"> </w:t>
      </w:r>
      <w:r>
        <w:t xml:space="preserve">With regard to the GLMMs, I believe we can obtain the same information (and</w:t>
      </w:r>
      <w:r>
        <w:t xml:space="preserve"> </w:t>
      </w:r>
      <w:r>
        <w:t xml:space="preserve">more) from the GCA.</w:t>
      </w:r>
    </w:p>
    <w:p>
      <w:pPr>
        <w:pStyle w:val="berschrift2"/>
      </w:pPr>
      <w:bookmarkStart w:id="23" w:name="main-findings"/>
      <w:r>
        <w:t xml:space="preserve">Main findings</w:t>
      </w:r>
      <w:bookmarkEnd w:id="23"/>
    </w:p>
    <w:p>
      <w:pPr>
        <w:pStyle w:val="FirstParagraph"/>
      </w:pPr>
      <w:r>
        <w:t xml:space="preserve">The most important change regarding the findings is the</w:t>
      </w:r>
      <w:r>
        <w:t xml:space="preserve"> </w:t>
      </w:r>
      <w:r>
        <w:rPr>
          <w:b/>
        </w:rPr>
        <w:t xml:space="preserve">significant effect of</w:t>
      </w:r>
      <w:r>
        <w:rPr>
          <w:b/>
        </w:rPr>
        <w:t xml:space="preserve"> </w:t>
      </w:r>
      <w:r>
        <w:rPr>
          <w:b/>
        </w:rPr>
        <w:t xml:space="preserve">lexical stress</w:t>
      </w:r>
      <w:r>
        <w:t xml:space="preserve">.</w:t>
      </w:r>
      <w:r>
        <w:t xml:space="preserve"> </w:t>
      </w:r>
      <w:r>
        <w:t xml:space="preserve">I believe the power increase due to additional participants is the principle</w:t>
      </w:r>
      <w:r>
        <w:t xml:space="preserve"> </w:t>
      </w:r>
      <w:r>
        <w:t xml:space="preserve">explanation for this.</w:t>
      </w:r>
      <w:r>
        <w:t xml:space="preserve"> </w:t>
      </w:r>
      <w:r>
        <w:t xml:space="preserve">I was able to get the most complex (maximal) random effects structure to</w:t>
      </w:r>
      <w:r>
        <w:t xml:space="preserve"> </w:t>
      </w:r>
      <w:r>
        <w:t xml:space="preserve">converge.</w:t>
      </w:r>
      <w:r>
        <w:t xml:space="preserve"> </w:t>
      </w:r>
      <w:r>
        <w:t xml:space="preserve">The story seems to be the following: native speakers anticipate target suffixes</w:t>
      </w:r>
      <w:r>
        <w:t xml:space="preserve"> </w:t>
      </w:r>
      <w:r>
        <w:t xml:space="preserve">in all conditions, though certain conditions seem to facilitate processing.</w:t>
      </w:r>
      <w:r>
        <w:t xml:space="preserve"> </w:t>
      </w:r>
      <w:r>
        <w:t xml:space="preserve">Specifically, if we consider paroxytone words with open syllables to be the</w:t>
      </w:r>
      <w:r>
        <w:t xml:space="preserve"> </w:t>
      </w:r>
      <w:r>
        <w:t xml:space="preserve">default (the most common syllable in Spanish), we see earlier target fixations</w:t>
      </w:r>
      <w:r>
        <w:t xml:space="preserve"> </w:t>
      </w:r>
      <w:r>
        <w:t xml:space="preserve">with the addition of the coda and with a shift of stress to the final syllable,</w:t>
      </w:r>
      <w:r>
        <w:t xml:space="preserve"> </w:t>
      </w:r>
      <w:r>
        <w:t xml:space="preserve">but the effects are not compounding.</w:t>
      </w:r>
      <w:r>
        <w:t xml:space="preserve"> </w:t>
      </w:r>
      <w:r>
        <w:t xml:space="preserve">For example, an unstressed penult is associated more looks to target, but the</w:t>
      </w:r>
      <w:r>
        <w:t xml:space="preserve"> </w:t>
      </w:r>
      <w:r>
        <w:t xml:space="preserve">addition of a coda doesn’t help that much more.</w:t>
      </w:r>
    </w:p>
    <w:p>
      <w:pPr>
        <w:pStyle w:val="berschrift1"/>
      </w:pPr>
      <w:bookmarkStart w:id="24" w:name="plots"/>
      <w:r>
        <w:t xml:space="preserve">Plots</w:t>
      </w:r>
      <w:bookmarkEnd w:id="24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7" w:name="tables"/>
      <w:r>
        <w:t xml:space="preserve">Tables</w:t>
      </w:r>
      <w:bookmarkEnd w:id="27"/>
    </w:p>
    <w:p>
      <w:pPr>
        <w:pStyle w:val="berschrift2"/>
      </w:pPr>
      <w:bookmarkStart w:id="28" w:name="X9b2b96a316890a159a0f403610d5494f12cefd4"/>
      <w:r>
        <w:t xml:space="preserve">Model estimates at target syllable offset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584"/>
        <w:gridCol w:w="1872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0.840</w:t>
            </w:r>
          </w:p>
        </w:tc>
      </w:tr>
    </w:tbl>
    <w:p>
      <w:pPr>
        <w:pStyle w:val="FirstParagraph"/>
      </w:pPr>
      <w:r>
        <w:rPr>
          <w:i/>
        </w:rPr>
        <w:t xml:space="preserve">Table 1</w:t>
      </w:r>
      <w:r>
        <w:t xml:space="preserve">: Model estimates for probability of target fixations ±SE at 200 ms</w:t>
      </w:r>
      <w:r>
        <w:t xml:space="preserve"> </w:t>
      </w:r>
      <w:r>
        <w:t xml:space="preserve">after the target syllable offset.</w:t>
      </w:r>
    </w:p>
    <w:p>
      <w:pPr>
        <w:pStyle w:val="berschrift2"/>
      </w:pPr>
      <w:bookmarkStart w:id="29" w:name="fixed-effects"/>
      <w:r>
        <w:t xml:space="preserve">Fixed effects</w:t>
      </w:r>
      <w:bookmarkEnd w:id="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1.167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3.810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5.704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5.476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−1.373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−3.246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−1.711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−4.658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−0.365</w:t>
            </w:r>
          </w:p>
        </w:tc>
        <w:tc>
          <w:p>
            <w:pPr>
              <w:pStyle w:val="Compact"/>
              <w:jc w:val="right"/>
            </w:pPr>
            <w:r>
              <w:t xml:space="preserve">.715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1.243</w:t>
            </w:r>
          </w:p>
        </w:tc>
        <w:tc>
          <w:p>
            <w:pPr>
              <w:pStyle w:val="Compact"/>
              <w:jc w:val="right"/>
            </w:pPr>
            <w:r>
              <w:t xml:space="preserve">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1.842</w:t>
            </w:r>
          </w:p>
        </w:tc>
        <w:tc>
          <w:p>
            <w:pPr>
              <w:pStyle w:val="Compact"/>
              <w:jc w:val="right"/>
            </w:pPr>
            <w:r>
              <w:t xml:space="preserve">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−0.594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−2.283</w:t>
            </w:r>
          </w:p>
        </w:tc>
        <w:tc>
          <w:p>
            <w:pPr>
              <w:pStyle w:val="Compact"/>
              <w:jc w:val="right"/>
            </w:pPr>
            <w:r>
              <w:t xml:space="preserve">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−0.092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−0.373</w:t>
            </w:r>
          </w:p>
        </w:tc>
        <w:tc>
          <w:p>
            <w:pPr>
              <w:pStyle w:val="Compact"/>
              <w:jc w:val="right"/>
            </w:pPr>
            <w:r>
              <w:t xml:space="preserve">.709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2.184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−1.269</w:t>
            </w:r>
          </w:p>
        </w:tc>
        <w:tc>
          <w:p>
            <w:pPr>
              <w:pStyle w:val="Compact"/>
              <w:jc w:val="right"/>
            </w:pPr>
            <w:r>
              <w:t xml:space="preserve">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−0.131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.689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1.819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4.060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−0.889</w:t>
            </w:r>
          </w:p>
        </w:tc>
        <w:tc>
          <w:p>
            <w:pPr>
              <w:pStyle w:val="Compact"/>
              <w:jc w:val="right"/>
            </w:pPr>
            <w:r>
              <w:t xml:space="preserve">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3.496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−0.233</w:t>
            </w:r>
          </w:p>
        </w:tc>
        <w:tc>
          <w:p>
            <w:pPr>
              <w:pStyle w:val="Compact"/>
              <w:jc w:val="right"/>
            </w:pPr>
            <w:r>
              <w:t xml:space="preserve">.816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−1.047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p>
            <w:pPr>
              <w:pStyle w:val="Compact"/>
              <w:jc w:val="right"/>
            </w:pPr>
            <w:r>
              <w:t xml:space="preserve">−2.255</w:t>
            </w:r>
          </w:p>
        </w:tc>
        <w:tc>
          <w:p>
            <w:pPr>
              <w:pStyle w:val="Compact"/>
              <w:jc w:val="right"/>
            </w:pPr>
            <w:r>
              <w:t xml:space="preserve">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−0.405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−1.811</w:t>
            </w:r>
          </w:p>
        </w:tc>
        <w:tc>
          <w:p>
            <w:pPr>
              <w:pStyle w:val="Compact"/>
              <w:jc w:val="right"/>
            </w:pPr>
            <w:r>
              <w:t xml:space="preserve">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3.708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−0.034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−0.127</w:t>
            </w:r>
          </w:p>
        </w:tc>
        <w:tc>
          <w:p>
            <w:pPr>
              <w:pStyle w:val="Compact"/>
              <w:jc w:val="right"/>
            </w:pPr>
            <w:r>
              <w:t xml:space="preserve">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−0.014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−0.199</w:t>
            </w:r>
          </w:p>
        </w:tc>
        <w:tc>
          <w:p>
            <w:pPr>
              <w:pStyle w:val="Compact"/>
              <w:jc w:val="right"/>
            </w:pPr>
            <w:r>
              <w:t xml:space="preserve">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−1.821</w:t>
            </w:r>
          </w:p>
        </w:tc>
        <w:tc>
          <w:p>
            <w:pPr>
              <w:pStyle w:val="Compact"/>
              <w:jc w:val="right"/>
            </w:pPr>
            <w:r>
              <w:t xml:space="preserve">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2.816</w:t>
            </w:r>
          </w:p>
        </w:tc>
        <w:tc>
          <w:p>
            <w:pPr>
              <w:pStyle w:val="Compact"/>
              <w:jc w:val="righ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Appendix 1: Growth curve model fixed effects</w:t>
      </w:r>
    </w:p>
    <w:p>
      <w:pPr>
        <w:pStyle w:val="berschrift2"/>
      </w:pPr>
      <w:bookmarkStart w:id="30" w:name="random-effects"/>
      <w:r>
        <w:t xml:space="preserve">Random effects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−.20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9.548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−.17</w:t>
            </w:r>
          </w:p>
        </w:tc>
        <w:tc>
          <w:p>
            <w:pPr>
              <w:pStyle w:val="Compact"/>
              <w:jc w:val="right"/>
            </w:pPr>
            <w:r>
              <w:t xml:space="preserve">.02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1.640</w:t>
            </w:r>
          </w:p>
        </w:tc>
        <w:tc>
          <w:p>
            <w:pPr>
              <w:pStyle w:val="Compact"/>
              <w:jc w:val="right"/>
            </w:pPr>
            <w:r>
              <w:t xml:space="preserve">1.281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.22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−.40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−.18</w:t>
            </w:r>
          </w:p>
        </w:tc>
        <w:tc>
          <w:p>
            <w:pPr>
              <w:pStyle w:val="Compact"/>
              <w:jc w:val="right"/>
            </w:pPr>
            <w:r>
              <w:t xml:space="preserve">−.83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3.831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.28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−.74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−.37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.19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13.507</w:t>
            </w:r>
          </w:p>
        </w:tc>
        <w:tc>
          <w:p>
            <w:pPr>
              <w:pStyle w:val="Compact"/>
              <w:jc w:val="right"/>
            </w:pPr>
            <w:r>
              <w:t xml:space="preserve">3.675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Textkrper"/>
      </w:pPr>
      <w:r>
        <w:t xml:space="preserve">Appendix 2: Growth curve model random effects</w:t>
      </w:r>
    </w:p>
    <w:p>
      <w:pPr>
        <w:pStyle w:val="berschrift2"/>
      </w:pPr>
      <w:bookmarkStart w:id="31" w:name="pairwise-comparisons"/>
      <w:r>
        <w:t xml:space="preserve">Pairwise comparisons</w:t>
      </w:r>
      <w:bookmarkEnd w:id="3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 - NIN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  <w:tc>
          <w:p>
            <w:pPr>
              <w:pStyle w:val="Compact"/>
              <w:jc w:val="right"/>
            </w:pPr>
            <w:r>
              <w:t xml:space="preserve">0.436</w:t>
            </w:r>
          </w:p>
        </w:tc>
        <w:tc>
          <w:p>
            <w:pPr>
              <w:pStyle w:val="Compact"/>
              <w:jc w:val="right"/>
            </w:pPr>
            <w:r>
              <w:t xml:space="preserve">.663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−0.302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.745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.655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38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.795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.538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1.511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5.463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29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39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−0.807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−2.954</w:t>
            </w:r>
          </w:p>
        </w:tc>
        <w:tc>
          <w:p>
            <w:pPr>
              <w:pStyle w:val="Compact"/>
              <w:jc w:val="right"/>
            </w:pPr>
            <w:r>
              <w:t xml:space="preserve">.003</w:t>
            </w:r>
          </w:p>
        </w:tc>
      </w:tr>
    </w:tbl>
    <w:p>
      <w:pPr>
        <w:pStyle w:val="Textkrper"/>
      </w:pPr>
      <w:r>
        <w:t xml:space="preserve">Appendix 3: Pairwise comparisons between learner groups.</w:t>
      </w:r>
    </w:p>
    <w:p>
      <w:pPr>
        <w:pStyle w:val="berschrift1"/>
      </w:pPr>
      <w:bookmarkStart w:id="32" w:name="statistical-analysis"/>
      <w:r>
        <w:t xml:space="preserve">Statistical Analysis</w:t>
      </w:r>
      <w:bookmarkEnd w:id="32"/>
    </w:p>
    <w:p>
      <w:pPr>
        <w:pStyle w:val="FirstParagraph"/>
      </w:pPr>
      <w:r>
        <w:t xml:space="preserve">The time course data from the eye-tracking task were analyzed using weighted</w:t>
      </w:r>
      <w:r>
        <w:t xml:space="preserve"> </w:t>
      </w:r>
      <w:r>
        <w:t xml:space="preserve">empirical-logit growth curve analysis (GCA, Mirman, 2016).</w:t>
      </w:r>
      <w:r>
        <w:t xml:space="preserve"> </w:t>
      </w:r>
      <w:r>
        <w:t xml:space="preserve">We used GCA to model how the probability of fixating on target items changed</w:t>
      </w:r>
      <w:r>
        <w:t xml:space="preserve"> </w:t>
      </w:r>
      <w:r>
        <w:t xml:space="preserve">over time and under different suprasegmental and segmental conditions.</w:t>
      </w:r>
      <w:r>
        <w:t xml:space="preserve"> </w:t>
      </w:r>
      <w:r>
        <w:t xml:space="preserve">We downsampled the data to bins of 50 ms which were centered at the offset of</w:t>
      </w:r>
      <w:r>
        <w:t xml:space="preserve"> </w:t>
      </w:r>
      <w:r>
        <w:t xml:space="preserve">the first syllable of target items.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 </w:t>
      </w:r>
      <w:r>
        <w:t xml:space="preserve">The time course of fixation ranged from 200 ms before target syllable offset</w:t>
      </w:r>
      <w:r>
        <w:t xml:space="preserve"> </w:t>
      </w:r>
      <w:r>
        <w:t xml:space="preserve">to 600 ms after.</w:t>
      </w:r>
      <w:r>
        <w:t xml:space="preserve"> </w:t>
      </w:r>
      <w:r>
        <w:t xml:space="preserve">We chose this window because it captured the portion of the time course in</w:t>
      </w:r>
      <w:r>
        <w:t xml:space="preserve"> </w:t>
      </w:r>
      <w:r>
        <w:t xml:space="preserve">which target fixations began to steadily increase from chance.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We modeled the time course using linear, quadratic, and cubic orthogonal</w:t>
      </w:r>
      <w:r>
        <w:t xml:space="preserve"> </w:t>
      </w:r>
      <w:r>
        <w:t xml:space="preserve">polynomials with fixed effects of group, lexical stress, and syllable</w:t>
      </w:r>
      <w:r>
        <w:t xml:space="preserve"> </w:t>
      </w:r>
      <w:r>
        <w:t xml:space="preserve">structure on all time terms.</w:t>
      </w:r>
      <w:r>
        <w:t xml:space="preserve"> </w:t>
      </w:r>
      <w:r>
        <w:t xml:space="preserve">For the group predictor M was set as the baseline, thus the IN and NIN</w:t>
      </w:r>
      <w:r>
        <w:t xml:space="preserve"> </w:t>
      </w:r>
      <w:r>
        <w:t xml:space="preserve">parameters described how the growth curve of the learners differed from that</w:t>
      </w:r>
      <w:r>
        <w:t xml:space="preserve"> </w:t>
      </w:r>
      <w:r>
        <w:t xml:space="preserve">of the native controls.</w:t>
      </w:r>
      <w:r>
        <w:t xml:space="preserve"> </w:t>
      </w:r>
      <w:r>
        <w:t xml:space="preserve">Lexical stress and syllable structure were sum coded such that parameter</w:t>
      </w:r>
      <w:r>
        <w:t xml:space="preserve"> </w:t>
      </w:r>
      <w:r>
        <w:t xml:space="preserve">estimates represent effect sizes of change from CV to CVC syllables and</w:t>
      </w:r>
      <w:r>
        <w:t xml:space="preserve"> </w:t>
      </w:r>
      <w:r>
        <w:t xml:space="preserve">paroxytone to oxytone stress.</w:t>
      </w:r>
      <w:r>
        <w:t xml:space="preserve"> </w:t>
      </w:r>
      <w:r>
        <w:t xml:space="preserve">All models included by-subject random effects on all time terms and the</w:t>
      </w:r>
      <w:r>
        <w:t xml:space="preserve"> </w:t>
      </w:r>
      <w:r>
        <w:t xml:space="preserve">syllable structure and lexical stress predictors, as well as by-item random</w:t>
      </w:r>
      <w:r>
        <w:t xml:space="preserve"> </w:t>
      </w:r>
      <w:r>
        <w:t xml:space="preserve">effects on all time terms.</w:t>
      </w:r>
      <w:r>
        <w:t xml:space="preserve"> </w:t>
      </w:r>
      <w:r>
        <w:t xml:space="preserve">Main effects and higher order interactions were assessed using nested model</w:t>
      </w:r>
      <w:r>
        <w:t xml:space="preserve"> </w:t>
      </w:r>
      <w:r>
        <w:t xml:space="preserve">comparisons.</w:t>
      </w:r>
      <w:r>
        <w:t xml:space="preserve"> </w:t>
      </w:r>
      <w:r>
        <w:t xml:space="preserve">The analysis was conducted in R (R Core Team, 2019) and the GCA models were</w:t>
      </w:r>
      <w:r>
        <w:t xml:space="preserve"> </w:t>
      </w:r>
      <w:r>
        <w:t xml:space="preserve">fit using</w:t>
      </w:r>
      <w:r>
        <w:t xml:space="preserve"> </w:t>
      </w:r>
      <w:r>
        <w:rPr>
          <w:rStyle w:val="VerbatimChar"/>
        </w:rPr>
        <w:t xml:space="preserve">lme4</w:t>
      </w:r>
      <w:r>
        <w:t xml:space="preserve"> </w:t>
      </w:r>
      <w:r>
        <w:t xml:space="preserve">(Bates, Mächler, Bolker, &amp; Walker, 2009).</w:t>
      </w:r>
      <w:r>
        <w:t xml:space="preserve"> </w:t>
      </w:r>
      <w:r>
        <w:t xml:space="preserve">Pairwise comparisons between learners groups were conducted using the R</w:t>
      </w:r>
      <w:r>
        <w:t xml:space="preserve"> </w:t>
      </w:r>
      <w:r>
        <w:t xml:space="preserve">package</w:t>
      </w:r>
      <w:r>
        <w:t xml:space="preserve"> </w:t>
      </w:r>
      <w:r>
        <w:rPr>
          <w:rStyle w:val="VerbatimChar"/>
        </w:rPr>
        <w:t xml:space="preserve">multcomp</w:t>
      </w:r>
      <w:r>
        <w:t xml:space="preserve"> </w:t>
      </w:r>
      <w:r>
        <w:t xml:space="preserve">(Hothorn, Bretz, &amp; Westfall, 2008).</w:t>
      </w:r>
    </w:p>
    <w:p>
      <w:pPr>
        <w:pStyle w:val="berschrift1"/>
      </w:pPr>
      <w:bookmarkStart w:id="33" w:name="results"/>
      <w:r>
        <w:t xml:space="preserve">Results</w:t>
      </w:r>
      <w:bookmarkEnd w:id="33"/>
    </w:p>
    <w:p>
      <w:pPr>
        <w:pStyle w:val="FirstParagraph"/>
      </w:pPr>
      <w:r>
        <w:t xml:space="preserve">Figure 1 plots the model estimates from the GCA and the full model summary is</w:t>
      </w:r>
      <w:r>
        <w:t xml:space="preserve"> </w:t>
      </w:r>
      <w:r>
        <w:t xml:space="preserve">available in Appendices 1 and 2.</w:t>
      </w:r>
      <w:r>
        <w:t xml:space="preserve"> </w:t>
      </w:r>
      <w:r>
        <w:t xml:space="preserve">We report the results for the M group and then provide comparisons with and</w:t>
      </w:r>
      <w:r>
        <w:t xml:space="preserve"> </w:t>
      </w:r>
      <w:r>
        <w:t xml:space="preserve">between the learner groups.</w:t>
      </w:r>
      <w:r>
        <w:t xml:space="preserve"> </w:t>
      </w:r>
      <w:r>
        <w:t xml:space="preserve">The model intercept estimates the log odds of M fixating on the target,</w:t>
      </w:r>
      <w:r>
        <w:t xml:space="preserve"> </w:t>
      </w:r>
      <w:r>
        <w:t xml:space="preserve">averaging over the time course, lexical stress and syllable structure.</w:t>
      </w:r>
      <w:r>
        <w:t xml:space="preserve"> </w:t>
      </w:r>
      <w:r>
        <w:t xml:space="preserve">The log odds were</w:t>
      </w:r>
      <w:r>
        <w:t xml:space="preserve"> </w:t>
      </w:r>
      <w:r>
        <w:rPr>
          <w:i/>
        </w:rPr>
        <w:t xml:space="preserve">γ</w:t>
      </w:r>
      <w:r>
        <w:rPr>
          <w:vertAlign w:val="subscript"/>
        </w:rPr>
        <w:t xml:space="preserve">00</w:t>
      </w:r>
      <w:r>
        <w:t xml:space="preserve"> = 1.17</w:t>
      </w:r>
      <w:r>
        <w:t xml:space="preserve"> </w:t>
      </w:r>
      <w:r>
        <w:t xml:space="preserve">(proportion: .76).</w:t>
      </w:r>
      <w:r>
        <w:t xml:space="preserve"> </w:t>
      </w:r>
      <w:r>
        <w:t xml:space="preserve">The linear, quadratic, and cubic polynomial time terms captured the sigmoid</w:t>
      </w:r>
      <w:r>
        <w:t xml:space="preserve"> </w:t>
      </w:r>
      <w:r>
        <w:t xml:space="preserve">shape of the time course and were retained in the model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10</w:t>
      </w:r>
      <w:r>
        <w:t xml:space="preserve"> = 5.704; SE = 1.042;</w:t>
      </w:r>
      <w:r>
        <w:t xml:space="preserve"> </w:t>
      </w:r>
      <w:r>
        <w:rPr>
          <w:i/>
        </w:rPr>
        <w:t xml:space="preserve">t</w:t>
      </w:r>
      <w:r>
        <w:t xml:space="preserve"> = 5.476;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20</w:t>
      </w:r>
      <w:r>
        <w:t xml:space="preserve"> = −1.373; SE = 0.423;</w:t>
      </w:r>
      <w:r>
        <w:t xml:space="preserve"> </w:t>
      </w:r>
      <w:r>
        <w:rPr>
          <w:i/>
        </w:rPr>
        <w:t xml:space="preserve">t</w:t>
      </w:r>
      <w:r>
        <w:t xml:space="preserve"> = −3.246;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30</w:t>
      </w:r>
      <w:r>
        <w:t xml:space="preserve"> = −1.711; SE = 0.367;</w:t>
      </w:r>
      <w:r>
        <w:t xml:space="preserve"> </w:t>
      </w:r>
      <w:r>
        <w:rPr>
          <w:i/>
        </w:rPr>
        <w:t xml:space="preserve">t</w:t>
      </w:r>
      <w:r>
        <w:t xml:space="preserve"> = −4.658;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</w:p>
    <w:p>
      <w:pPr>
        <w:pStyle w:val="Textkrper"/>
      </w:pPr>
      <w:r>
        <w:t xml:space="preserve">&lt;INSERT FIGURE 1 HERE&gt;</w:t>
      </w:r>
    </w:p>
    <w:p>
      <w:pPr>
        <w:pStyle w:val="Textkrper"/>
      </w:pPr>
      <w:r>
        <w:t xml:space="preserve">There was a main effect of lexical stress on the quadratic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.036).</w:t>
      </w:r>
      <w:r>
        <w:t xml:space="preserve"> </w:t>
      </w:r>
      <w:r>
        <w:t xml:space="preserve">Averaging over syllable structure, a change from paroxytonic (e.g. LAva) to</w:t>
      </w:r>
      <w:r>
        <w:t xml:space="preserve"> </w:t>
      </w:r>
      <w:r>
        <w:t xml:space="preserve">oxytonic (e.g. laVÓ) stress decreased the bowing of the trajectory at the</w:t>
      </w:r>
      <w:r>
        <w:t xml:space="preserve"> </w:t>
      </w:r>
      <w:r>
        <w:t xml:space="preserve">center of the time course (</w:t>
      </w:r>
      <w:r>
        <w:t xml:space="preserve">γ</w:t>
      </w:r>
      <w:r>
        <w:rPr>
          <w:vertAlign w:val="subscript"/>
        </w:rPr>
        <w:t xml:space="preserve">22</w:t>
      </w:r>
      <w:r>
        <w:t xml:space="preserve"> = 0.666; SE = 0.305;</w:t>
      </w:r>
      <w:r>
        <w:t xml:space="preserve"> </w:t>
      </w:r>
      <w:r>
        <w:rPr>
          <w:i/>
        </w:rPr>
        <w:t xml:space="preserve">t</w:t>
      </w:r>
      <w:r>
        <w:t xml:space="preserve"> = 2.184;</w:t>
      </w:r>
      <w:r>
        <w:t xml:space="preserve"> </w:t>
      </w:r>
      <w:r>
        <w:rPr>
          <w:i/>
        </w:rPr>
        <w:t xml:space="preserve">p</w:t>
      </w:r>
      <w:r>
        <w:t xml:space="preserve"> = .029) indicating that M fixated on</w:t>
      </w:r>
      <w:r>
        <w:t xml:space="preserve"> </w:t>
      </w:r>
      <w:r>
        <w:t xml:space="preserve">oxytonic targets earlier than paroxytonic targets.</w:t>
      </w:r>
      <w:r>
        <w:t xml:space="preserve"> </w:t>
      </w:r>
      <w:r>
        <w:t xml:space="preserve">There was also a main effect of syllable structure on the cubic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.037), as well as a syllable structure × lexical</w:t>
      </w:r>
      <w:r>
        <w:t xml:space="preserve"> </w:t>
      </w:r>
      <w:r>
        <w:t xml:space="preserve">stress interaction on the linear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4.6,</w:t>
      </w:r>
      <w:r>
        <w:t xml:space="preserve"> </w:t>
      </w:r>
      <w:r>
        <w:rPr>
          <w:i/>
        </w:rPr>
        <w:t xml:space="preserve">p</w:t>
      </w:r>
      <w:r>
        <w:t xml:space="preserve"> = .032), such that the effect of lexical stress decreased the</w:t>
      </w:r>
      <w:r>
        <w:t xml:space="preserve"> </w:t>
      </w:r>
      <w:r>
        <w:t xml:space="preserve">overall slope (</w:t>
      </w:r>
      <w:r>
        <w:t xml:space="preserve">γ</w:t>
      </w:r>
      <w:r>
        <w:rPr>
          <w:vertAlign w:val="subscript"/>
        </w:rPr>
        <w:t xml:space="preserve">31</w:t>
      </w:r>
      <w:r>
        <w:t xml:space="preserve"> = −0.594; SE = 0.260;</w:t>
      </w:r>
      <w:r>
        <w:t xml:space="preserve"> </w:t>
      </w:r>
      <w:r>
        <w:rPr>
          <w:i/>
        </w:rPr>
        <w:t xml:space="preserve">t</w:t>
      </w:r>
      <w:r>
        <w:t xml:space="preserve"> = −2.283;</w:t>
      </w:r>
      <w:r>
        <w:t xml:space="preserve"> </w:t>
      </w:r>
      <w:r>
        <w:rPr>
          <w:i/>
        </w:rPr>
        <w:t xml:space="preserve">p</w:t>
      </w:r>
      <w:r>
        <w:t xml:space="preserve"> = .022) and the bowing of the vertices (i.e.,</w:t>
      </w:r>
      <w:r>
        <w:t xml:space="preserve"> </w:t>
      </w:r>
      <w:r>
        <w:t xml:space="preserve">turning points) of closed, paroxytonic syllables (</w:t>
      </w:r>
      <w:r>
        <w:t xml:space="preserve">γ</w:t>
      </w:r>
      <w:r>
        <w:rPr>
          <w:vertAlign w:val="subscript"/>
        </w:rPr>
        <w:t xml:space="preserve">15</w:t>
      </w:r>
      <w:r>
        <w:t xml:space="preserve"> = −1.047; SE = 0.464;</w:t>
      </w:r>
      <w:r>
        <w:t xml:space="preserve"> </w:t>
      </w:r>
      <w:r>
        <w:rPr>
          <w:i/>
        </w:rPr>
        <w:t xml:space="preserve">t</w:t>
      </w:r>
      <w:r>
        <w:t xml:space="preserve"> = −2.255;</w:t>
      </w:r>
      <w:r>
        <w:t xml:space="preserve"> </w:t>
      </w:r>
      <w:r>
        <w:rPr>
          <w:i/>
        </w:rPr>
        <w:t xml:space="preserve">p</w:t>
      </w:r>
      <w:r>
        <w:t xml:space="preserve"> = .024).</w:t>
      </w:r>
      <w:r>
        <w:t xml:space="preserve"> </w:t>
      </w:r>
      <w:r>
        <w:t xml:space="preserve">This indicates that M fixated on the paroxytone targets slightly later in the</w:t>
      </w:r>
      <w:r>
        <w:t xml:space="preserve"> </w:t>
      </w:r>
      <w:r>
        <w:t xml:space="preserve">time course, whereas they fixated on oxytone targets earlier, but at a slower,</w:t>
      </w:r>
      <w:r>
        <w:t xml:space="preserve"> </w:t>
      </w:r>
      <w:r>
        <w:t xml:space="preserve">more steady rate.</w:t>
      </w:r>
      <w:r>
        <w:t xml:space="preserve"> </w:t>
      </w:r>
      <w:r>
        <w:t xml:space="preserve">The presence of the coda increased the rate of target fixation on paroxytone</w:t>
      </w:r>
      <w:r>
        <w:t xml:space="preserve"> </w:t>
      </w:r>
      <w:r>
        <w:t xml:space="preserve">items, but had little effect on oxytone items (see the upper panels of Figure</w:t>
      </w:r>
      <w:r>
        <w:t xml:space="preserve"> </w:t>
      </w:r>
      <w:r>
        <w:t xml:space="preserve">1).</w:t>
      </w:r>
    </w:p>
    <w:p>
      <w:pPr>
        <w:pStyle w:val="Textkrper"/>
      </w:pPr>
      <w:r>
        <w:t xml:space="preserve">Focusing on the offset of the target syllable, the model estimated target</w:t>
      </w:r>
      <w:r>
        <w:t xml:space="preserve"> </w:t>
      </w:r>
      <w:r>
        <w:t xml:space="preserve">fixations above 50% in all conditions</w:t>
      </w:r>
      <w:r>
        <w:t xml:space="preserve"> </w:t>
      </w:r>
      <w:r>
        <w:t xml:space="preserve">(Paroxytone CV: Probability = 0.702; LB = 0.608; UB = 0.782;</w:t>
      </w:r>
      <w:r>
        <w:t xml:space="preserve"> </w:t>
      </w:r>
      <w:r>
        <w:t xml:space="preserve">Paroxytone CVC: Probability = 0.842; LB = 0.787; UB = 0.884;</w:t>
      </w:r>
      <w:r>
        <w:t xml:space="preserve"> </w:t>
      </w:r>
      <w:r>
        <w:t xml:space="preserve">Oxytone CV: Probability = 0.839; LB = 0.779; UB = 0.886;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Table 1 provides estimates ±SE for all groups in all conditions.</w:t>
      </w:r>
      <w:r>
        <w:t xml:space="preserve"> </w:t>
      </w:r>
      <w:r>
        <w:t xml:space="preserve">Taken together, the analysis indicated that the M group anticipated target</w:t>
      </w:r>
      <w:r>
        <w:t xml:space="preserve"> </w:t>
      </w:r>
      <w:r>
        <w:t xml:space="preserve">suffixes in all conditions, though certain conditions seem to facilitate</w:t>
      </w:r>
      <w:r>
        <w:t xml:space="preserve"> </w:t>
      </w:r>
      <w:r>
        <w:t xml:space="preserve">prediction.</w:t>
      </w:r>
      <w:r>
        <w:t xml:space="preserve"> </w:t>
      </w:r>
      <w:r>
        <w:t xml:space="preserve">Specifically, defaulting from a paroxytone with a CV penult (e.g. LAva),</w:t>
      </w:r>
      <w:r>
        <w:t xml:space="preserve"> </w:t>
      </w:r>
      <w:r>
        <w:t xml:space="preserve">one observes earlier target fixations with the addition of a coda and with a</w:t>
      </w:r>
      <w:r>
        <w:t xml:space="preserve"> </w:t>
      </w:r>
      <w:r>
        <w:t xml:space="preserve">shift of stress to the final syllable (e.g. firMÓ), suggesting that marked</w:t>
      </w:r>
      <w:r>
        <w:t xml:space="preserve"> </w:t>
      </w:r>
      <w:r>
        <w:t xml:space="preserve">sequences facilitate lexical access in native speakers.</w:t>
      </w:r>
    </w:p>
    <w:p>
      <w:pPr>
        <w:pStyle w:val="Textkrper"/>
      </w:pPr>
      <w:r>
        <w:t xml:space="preserve">&lt;INSERT TABLE 1 HERE&gt;</w:t>
      </w:r>
    </w:p>
    <w:p>
      <w:pPr>
        <w:pStyle w:val="Textkrper"/>
      </w:pPr>
      <w:r>
        <w:t xml:space="preserve">With regard to IN and NIN, there was a simple interaction of the quadratic</w:t>
      </w:r>
      <w:r>
        <w:t xml:space="preserve"> </w:t>
      </w:r>
      <w:r>
        <w:t xml:space="preserve">time term on the intercept for the NIN group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That is, the NIN had a more bowed trajectory at the offset of the target</w:t>
      </w:r>
      <w:r>
        <w:t xml:space="preserve"> </w:t>
      </w:r>
      <w:r>
        <w:t xml:space="preserve">syllable than M, indicating that, overall, NIN fixated on targets later than</w:t>
      </w:r>
      <w:r>
        <w:t xml:space="preserve"> </w:t>
      </w:r>
      <w:r>
        <w:t xml:space="preserve">M.</w:t>
      </w:r>
      <w:r>
        <w:t xml:space="preserve"> </w:t>
      </w:r>
      <w:r>
        <w:t xml:space="preserve">Additionally, there was a lexical stress × syllable structure</w:t>
      </w:r>
      <w:r>
        <w:t xml:space="preserve"> </w:t>
      </w:r>
      <w:r>
        <w:t xml:space="preserve">interaction on the linear slope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.001), such that NIN had a</w:t>
      </w:r>
      <w:r>
        <w:t xml:space="preserve"> </w:t>
      </w:r>
      <w:r>
        <w:t xml:space="preserve">steeper slope than M in CV syllables of paroxytone words.</w:t>
      </w:r>
      <w:r>
        <w:t xml:space="preserve"> </w:t>
      </w:r>
      <w:r>
        <w:t xml:space="preserve">This indicates that NIN fixated on targets later the default condition</w:t>
      </w:r>
      <w:r>
        <w:t xml:space="preserve"> </w:t>
      </w:r>
      <w:r>
        <w:t xml:space="preserve">(i.e., LAva), but earlier in other conditions (i.e., laVÓ, FIRma, firMÓ).</w:t>
      </w:r>
      <w:r>
        <w:t xml:space="preserve"> </w:t>
      </w:r>
      <w:r>
        <w:t xml:space="preserve">For the IN group, there was also a simple interaction of the quadratic time</w:t>
      </w:r>
      <w:r>
        <w:t xml:space="preserve"> </w:t>
      </w:r>
      <w:r>
        <w:t xml:space="preserve">term on the intercept (</w:t>
      </w:r>
      <w:r>
        <w:t xml:space="preserve">γ</w:t>
      </w:r>
      <w:r>
        <w:rPr>
          <w:vertAlign w:val="subscript"/>
        </w:rPr>
        <w:t xml:space="preserve">24</w:t>
      </w:r>
      <w:r>
        <w:t xml:space="preserve"> = 1.615; SE = 0.462;</w:t>
      </w:r>
      <w:r>
        <w:t xml:space="preserve"> </w:t>
      </w:r>
      <w:r>
        <w:rPr>
          <w:i/>
        </w:rPr>
        <w:t xml:space="preserve">t</w:t>
      </w:r>
      <w:r>
        <w:t xml:space="preserve"> = 3.496;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Thus, with regard to M, IN also fixated later on targets overall.</w:t>
      </w:r>
      <w:r>
        <w:t xml:space="preserve"> </w:t>
      </w:r>
      <w:r>
        <w:t xml:space="preserve">Finally, there was a lexical stress × syllable structure</w:t>
      </w:r>
      <w:r>
        <w:t xml:space="preserve"> </w:t>
      </w:r>
      <w:r>
        <w:t xml:space="preserve">interaction with IN on the cubic time term (</w:t>
      </w:r>
      <w:r>
        <w:t xml:space="preserve">γ</w:t>
      </w:r>
      <w:r>
        <w:rPr>
          <w:vertAlign w:val="subscript"/>
        </w:rPr>
        <w:t xml:space="preserve">37</w:t>
      </w:r>
      <w:r>
        <w:t xml:space="preserve"> = 0.773; SE = 0.275;</w:t>
      </w:r>
      <w:r>
        <w:t xml:space="preserve"> </w:t>
      </w:r>
      <w:r>
        <w:rPr>
          <w:i/>
        </w:rPr>
        <w:t xml:space="preserve">t</w:t>
      </w:r>
      <w:r>
        <w:t xml:space="preserve"> = 2.816;</w:t>
      </w:r>
      <w:r>
        <w:t xml:space="preserve"> </w:t>
      </w:r>
      <w:r>
        <w:rPr>
          <w:i/>
        </w:rPr>
        <w:t xml:space="preserve">p</w:t>
      </w:r>
      <w:r>
        <w:t xml:space="preserve"> = .005), indicative</w:t>
      </w:r>
      <w:r>
        <w:t xml:space="preserve"> </w:t>
      </w:r>
      <w:r>
        <w:t xml:space="preserve">of sharper vertices for CV oxytone targets.</w:t>
      </w:r>
      <w:r>
        <w:t xml:space="preserve"> </w:t>
      </w:r>
      <w:r>
        <w:t xml:space="preserve">Thus, IN fixated on CV oxytones (i.e., laVÓ) at a faster rate than M, though</w:t>
      </w:r>
      <w:r>
        <w:t xml:space="preserve"> </w:t>
      </w:r>
      <w:r>
        <w:t xml:space="preserve">they did so later in the time course.</w:t>
      </w:r>
      <w:r>
        <w:t xml:space="preserve"> </w:t>
      </w:r>
      <w:r>
        <w:t xml:space="preserve">IN also showed a lower proportion of target fixations than M 200 ms after the</w:t>
      </w:r>
      <w:r>
        <w:t xml:space="preserve"> </w:t>
      </w:r>
      <w:r>
        <w:t xml:space="preserve">target syllable offset (see the upper right panel of Figure 2).</w:t>
      </w:r>
    </w:p>
    <w:p>
      <w:pPr>
        <w:pStyle w:val="Textkrper"/>
      </w:pPr>
      <w:r>
        <w:t xml:space="preserve">&lt;INSERT FIGURE 2 HERE&gt;</w:t>
      </w:r>
    </w:p>
    <w:p>
      <w:pPr>
        <w:pStyle w:val="Textkrper"/>
      </w:pPr>
      <w:r>
        <w:t xml:space="preserve">To sum up, both learner groups showed later target fixations in the default,</w:t>
      </w:r>
      <w:r>
        <w:t xml:space="preserve"> </w:t>
      </w:r>
      <w:r>
        <w:t xml:space="preserve">CV paroxytone condition (i.e., LAva).</w:t>
      </w:r>
      <w:r>
        <w:t xml:space="preserve"> </w:t>
      </w:r>
      <w:r>
        <w:t xml:space="preserve">This assertion is corroborated by examining the NIN and INs’ proportion of</w:t>
      </w:r>
      <w:r>
        <w:t xml:space="preserve"> </w:t>
      </w:r>
      <w:r>
        <w:t xml:space="preserve">target fixations at the target syllable offset (see Table 1).</w:t>
      </w:r>
      <w:r>
        <w:t xml:space="preserve"> </w:t>
      </w:r>
      <w:r>
        <w:t xml:space="preserve">Specifically, the model estimates suggest that NIN did not anticipate with CV</w:t>
      </w:r>
      <w:r>
        <w:t xml:space="preserve"> </w:t>
      </w:r>
      <w:r>
        <w:t xml:space="preserve">paroxytones (Probability = 0.55; LB = 0.446; UB = 0.649), but</w:t>
      </w:r>
      <w:r>
        <w:t xml:space="preserve"> </w:t>
      </w:r>
      <w:r>
        <w:t xml:space="preserve">did so at a higher rate in all other conditions</w:t>
      </w:r>
      <w:r>
        <w:t xml:space="preserve"> </w:t>
      </w:r>
      <w:r>
        <w:t xml:space="preserve">(Paroxytone CVC: Probability = 0.745; LB = 0.672; UB = 0.807;</w:t>
      </w:r>
      <w:r>
        <w:t xml:space="preserve"> </w:t>
      </w:r>
      <w:r>
        <w:t xml:space="preserve">Oxytone CV: Probability = 0.742; LB = 0.661; UB = 0.81;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The same was true for the IN group</w:t>
      </w:r>
      <w:r>
        <w:t xml:space="preserve"> </w:t>
      </w:r>
      <w:r>
        <w:t xml:space="preserve">(Paroxytone CV: Probability = 0.526; LB = 0.42; UB = 0.629;</w:t>
      </w:r>
      <w:r>
        <w:t xml:space="preserve"> </w:t>
      </w:r>
      <w:r>
        <w:t xml:space="preserve">Paroxytone CVC: Probability = 0.738; LB = 0.661; UB = 0.802;</w:t>
      </w:r>
      <w:r>
        <w:t xml:space="preserve"> </w:t>
      </w:r>
      <w:r>
        <w:t xml:space="preserve">Oxytone CV: Probability = 0.735; LB = 0.65; UB = 0.805;</w:t>
      </w:r>
      <w:r>
        <w:t xml:space="preserve"> </w:t>
      </w:r>
      <w:r>
        <w:t xml:space="preserve">Oxytone CVC: Probability = 0.779; LB = 0.704; UB = 0.84).</w:t>
      </w:r>
      <w:r>
        <w:t xml:space="preserve"> </w:t>
      </w:r>
      <w:r>
        <w:t xml:space="preserve">Importantly, pairwise comparisons (see Appendix 3) showed that the learner</w:t>
      </w:r>
      <w:r>
        <w:t xml:space="preserve"> </w:t>
      </w:r>
      <w:r>
        <w:t xml:space="preserve">groups also differed from each other.</w:t>
      </w:r>
      <w:r>
        <w:t xml:space="preserve"> </w:t>
      </w:r>
      <w:r>
        <w:t xml:space="preserve">Specifically, there was a lexical stress × syllable structure</w:t>
      </w:r>
      <w:r>
        <w:t xml:space="preserve"> </w:t>
      </w:r>
      <w:r>
        <w:t xml:space="preserve">interaction on the linear and cubic time terms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19</w:t>
      </w:r>
      <w:r>
        <w:t xml:space="preserve"> = 1.51; SE = 0.28;</w:t>
      </w:r>
      <w:r>
        <w:t xml:space="preserve"> </w:t>
      </w:r>
      <w:r>
        <w:rPr>
          <w:i/>
        </w:rPr>
        <w:t xml:space="preserve">t</w:t>
      </w:r>
      <w:r>
        <w:t xml:space="preserve"> = 5.46;</w:t>
      </w:r>
      <w:r>
        <w:t xml:space="preserve"> </w:t>
      </w:r>
      <w:r>
        <w:rPr>
          <w:i/>
        </w:rPr>
        <w:t xml:space="preserve">p</w:t>
      </w:r>
      <w:r>
        <w:t xml:space="preserve"> &lt;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39</w:t>
      </w:r>
      <w:r>
        <w:t xml:space="preserve"> = −0.81; SE = 0.27;</w:t>
      </w:r>
      <w:r>
        <w:t xml:space="preserve"> </w:t>
      </w:r>
      <w:r>
        <w:rPr>
          <w:i/>
        </w:rPr>
        <w:t xml:space="preserve">t</w:t>
      </w:r>
      <w:r>
        <w:t xml:space="preserve"> = −2.95;</w:t>
      </w:r>
      <w:r>
        <w:t xml:space="preserve"> </w:t>
      </w:r>
      <w:r>
        <w:rPr>
          <w:i/>
        </w:rPr>
        <w:t xml:space="preserve">p</w:t>
      </w:r>
      <w:r>
        <w:t xml:space="preserve"> = .003, respectively).</w:t>
      </w:r>
      <w:r>
        <w:t xml:space="preserve"> </w:t>
      </w:r>
      <w:r>
        <w:t xml:space="preserve">Figure 2 shows that the learners have nearly identical trajectories for CV</w:t>
      </w:r>
      <w:r>
        <w:t xml:space="preserve"> </w:t>
      </w:r>
      <w:r>
        <w:t xml:space="preserve">paroxytones.</w:t>
      </w:r>
      <w:r>
        <w:t xml:space="preserve"> </w:t>
      </w:r>
      <w:r>
        <w:t xml:space="preserve">In all other conditions IN have steeper slopes with more bowed vertices,</w:t>
      </w:r>
      <w:r>
        <w:t xml:space="preserve"> </w:t>
      </w:r>
      <w:r>
        <w:t xml:space="preserve">indicating later target fixations with regard to NIN.</w:t>
      </w:r>
      <w:r>
        <w:t xml:space="preserve"> </w:t>
      </w:r>
      <w:r>
        <w:t xml:space="preserve">That said, in all conditions the IN group fixated on targets in equal</w:t>
      </w:r>
      <w:r>
        <w:t xml:space="preserve"> </w:t>
      </w:r>
      <w:r>
        <w:t xml:space="preserve">proportion to NIN at the offset of the target syllable (the dotted vertical</w:t>
      </w:r>
      <w:r>
        <w:t xml:space="preserve"> </w:t>
      </w:r>
      <w:r>
        <w:t xml:space="preserve">lines), suggesting IN fixate on targets later but at a faster rate.</w:t>
      </w:r>
      <w:r>
        <w:rPr>
          <w:rStyle w:val="Funotenzeichen"/>
        </w:rPr>
        <w:footnoteReference w:id="34"/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unotentext"/>
      </w:pPr>
      <w:r>
        <w:rPr>
          <w:rStyle w:val="Funotenzeichen"/>
        </w:rPr>
        <w:footnoteRef/>
      </w:r>
      <w:r>
        <w:t xml:space="preserve"> </w:t>
      </w:r>
      <w:r>
        <w:t xml:space="preserve">The range</w:t>
      </w:r>
      <w:r>
        <w:t xml:space="preserve"> </w:t>
      </w:r>
      <w:r>
        <w:t xml:space="preserve">of participant ages was wider for IN (see Table 1).</w:t>
      </w:r>
      <w:r>
        <w:t xml:space="preserve"> </w:t>
      </w:r>
      <w:r>
        <w:t xml:space="preserve">Specifically, the three groups were comparable regarding minimum age, but the</w:t>
      </w:r>
      <w:r>
        <w:t xml:space="preserve"> </w:t>
      </w:r>
      <w:r>
        <w:t xml:space="preserve">max age (76) exceeded that of the other groups.</w:t>
      </w:r>
      <w:r>
        <w:t xml:space="preserve"> </w:t>
      </w:r>
      <w:r>
        <w:t xml:space="preserve">To address this possible confound we fit an additional model to the IN data</w:t>
      </w:r>
      <w:r>
        <w:t xml:space="preserve"> </w:t>
      </w:r>
      <w:r>
        <w:t xml:space="preserve">including age as a continuous predictor.</w:t>
      </w:r>
      <w:r>
        <w:t xml:space="preserve"> </w:t>
      </w:r>
      <w:r>
        <w:t xml:space="preserve">There was no effect of age on the intercept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0.13,</w:t>
      </w:r>
      <w:r>
        <w:t xml:space="preserve"> </w:t>
      </w:r>
      <w:r>
        <w:rPr>
          <w:i/>
        </w:rPr>
        <w:t xml:space="preserve">p</w:t>
      </w:r>
      <w:r>
        <w:t xml:space="preserve"> = .721), nor on any of the</w:t>
      </w:r>
      <w:r>
        <w:t xml:space="preserve"> </w:t>
      </w:r>
      <w:r>
        <w:t xml:space="preserve">orthogonal polynomial time terms (Time</w:t>
      </w:r>
      <w:r>
        <w:rPr>
          <w:vertAlign w:val="superscript"/>
        </w:rPr>
        <w:t xml:space="preserve">1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0.21,</w:t>
      </w:r>
      <w:r>
        <w:t xml:space="preserve"> </w:t>
      </w:r>
      <w:r>
        <w:rPr>
          <w:i/>
        </w:rPr>
        <w:t xml:space="preserve">p</w:t>
      </w:r>
      <w:r>
        <w:t xml:space="preserve"> = .648; Time</w:t>
      </w:r>
      <w:r>
        <w:rPr>
          <w:vertAlign w:val="superscript"/>
        </w:rPr>
        <w:t xml:space="preserve">2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1.4,</w:t>
      </w:r>
      <w:r>
        <w:t xml:space="preserve"> </w:t>
      </w:r>
      <w:r>
        <w:rPr>
          <w:i/>
        </w:rPr>
        <w:t xml:space="preserve">p</w:t>
      </w:r>
      <w:r>
        <w:t xml:space="preserve"> = .23; Time</w:t>
      </w:r>
      <w:r>
        <w:rPr>
          <w:vertAlign w:val="superscript"/>
        </w:rPr>
        <w:t xml:space="preserve">3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0.24,</w:t>
      </w:r>
      <w:r>
        <w:t xml:space="preserve"> </w:t>
      </w:r>
      <w:r>
        <w:rPr>
          <w:i/>
        </w:rPr>
        <w:t xml:space="preserve">p</w:t>
      </w:r>
      <w:r>
        <w:t xml:space="preserve"> = .621).</w:t>
      </w:r>
      <w:r>
        <w:t xml:space="preserve"> </w:t>
      </w:r>
      <w:r>
        <w:t xml:space="preserve">Thus, we found no evidence suggesting that the probability of fixating on</w:t>
      </w:r>
      <w:r>
        <w:t xml:space="preserve"> </w:t>
      </w:r>
      <w:r>
        <w:t xml:space="preserve">targets was modulated by age in the IN group, and, to the extent possible, we</w:t>
      </w:r>
      <w:r>
        <w:t xml:space="preserve"> </w:t>
      </w:r>
      <w:r>
        <w:t xml:space="preserve">discard the possibility that variations in the time courses of IN and NIN can</w:t>
      </w:r>
      <w:r>
        <w:t xml:space="preserve"> </w:t>
      </w:r>
      <w:r>
        <w:t xml:space="preserve">be explained by age-related processing differences.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2019-06-06T16:27:41Z</dcterms:created>
  <dcterms:modified xsi:type="dcterms:W3CDTF">2019-06-06T16:27:41Z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