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Compact"/>
        <w:pStyle w:val="Titel"/>
      </w:pPr>
      <w:r>
        <w:t xml:space="preserve">Abstract</w:t>
      </w:r>
    </w:p>
    <w:p>
      <w:pPr>
        <w:pStyle w:val="Textkrper"/>
      </w:pPr>
      <w:r>
        <w:rPr>
          <w:i/>
        </w:rPr>
        <w:t xml:space="preserve">Keywords:</w:t>
      </w:r>
    </w:p>
    <w:p>
      <w:pPr>
        <w:pStyle w:val="Textkrper"/>
      </w:pPr>
      <w:r>
        <w:t xml:space="preserve">Word count:</w:t>
      </w:r>
    </w:p>
    <w:p>
      <w:pPr>
        <w:pStyle w:val="berschrift1"/>
      </w:pPr>
      <w:bookmarkStart w:id="20" w:name="blc-article-stress-natives-late-advanced-learners-and-interpreters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ristinalozanoarguelles/Documents/GitHub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ristinalozanoarguelles/Documents/GitHub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0.12, 0.50, 0.88, and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model-estimates-at-target-syllable-offset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584"/>
        <w:gridCol w:w="1872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weighted</w:t>
      </w:r>
      <w:r>
        <w:t xml:space="preserve"> </w:t>
      </w:r>
      <w:r>
        <w:t xml:space="preserve">empirical-logit growth curve analysis (GCA, Mirman, 2016).</w:t>
      </w:r>
      <w:r>
        <w:t xml:space="preserve"> </w:t>
      </w:r>
      <w:r>
        <w:t xml:space="preserve">We used GCA to model how the probability of fixating on target items changed</w:t>
      </w:r>
      <w:r>
        <w:t xml:space="preserve"> </w:t>
      </w:r>
      <w:r>
        <w:t xml:space="preserve">over time and under different suprasegmental and segmental conditions.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We chose this window because it captured the portion of the time course in</w:t>
      </w:r>
      <w:r>
        <w:t xml:space="preserve"> </w:t>
      </w:r>
      <w:r>
        <w:t xml:space="preserve">which target fixations began to steadily increase from chance.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GCA, and the full model summary is</w:t>
      </w:r>
      <w:r>
        <w:t xml:space="preserve"> </w:t>
      </w:r>
      <w:r>
        <w:t xml:space="preserve">available in Appendices 1 and 2.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t xml:space="preserve">&lt;INSERT FIGURE 1 HERE&gt;</w:t>
      </w:r>
    </w:p>
    <w:p>
      <w:pPr>
        <w:pStyle w:val="Textkrper"/>
      </w:pPr>
      <w:r>
        <w:t xml:space="preserve">There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(e.g. LAva) to</w:t>
      </w:r>
      <w:r>
        <w:t xml:space="preserve"> </w:t>
      </w:r>
      <w:r>
        <w:t xml:space="preserve">oxytonic (e.g. laVÓ) stress decreased the bowing of the trajectory at the</w:t>
      </w:r>
      <w:r>
        <w:t xml:space="preserve"> </w:t>
      </w:r>
      <w:r>
        <w:t xml:space="preserve">center of the time 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indicating that M fixated on</w:t>
      </w:r>
      <w:r>
        <w:t xml:space="preserve"> </w:t>
      </w:r>
      <w:r>
        <w:t xml:space="preserve">oxytonic targets earlier 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a syllable structure × lexical</w:t>
      </w:r>
      <w:r>
        <w:t xml:space="preserve"> </w:t>
      </w:r>
      <w:r>
        <w:t xml:space="preserve">stress interaction on the linear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vertices (i.e.,</w:t>
      </w:r>
      <w:r>
        <w:t xml:space="preserve"> </w:t>
      </w:r>
      <w:r>
        <w:t xml:space="preserve">turning points) 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  <w:r>
        <w:t xml:space="preserve"> </w:t>
      </w:r>
      <w:r>
        <w:t xml:space="preserve">This indicates that M fixated on the paroxytone targets slightly later in the</w:t>
      </w:r>
      <w:r>
        <w:t xml:space="preserve"> </w:t>
      </w:r>
      <w:r>
        <w:t xml:space="preserve">time course, whereas they fixated on oxytone targets earlier, but at a slower,</w:t>
      </w:r>
      <w:r>
        <w:t xml:space="preserve"> </w:t>
      </w:r>
      <w:r>
        <w:t xml:space="preserve">more steady rate.</w:t>
      </w:r>
      <w:r>
        <w:t xml:space="preserve"> </w:t>
      </w:r>
      <w:r>
        <w:t xml:space="preserve">The presence of the coda increased the rate of target fixation on paroxytone</w:t>
      </w:r>
      <w:r>
        <w:t xml:space="preserve"> </w:t>
      </w:r>
      <w:r>
        <w:t xml:space="preserve">items, but had little effect on oxytone items (see the upper panels of Figure</w:t>
      </w:r>
      <w:r>
        <w:t xml:space="preserve"> </w:t>
      </w:r>
      <w:r>
        <w:t xml:space="preserve">1).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1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prediction.</w:t>
      </w:r>
      <w:r>
        <w:t xml:space="preserve"> </w:t>
      </w:r>
      <w:r>
        <w:t xml:space="preserve">Specifically, defaulting from a paroxytone with a CV penult (e.g. LAva),</w:t>
      </w:r>
      <w:r>
        <w:t xml:space="preserve"> </w:t>
      </w:r>
      <w:r>
        <w:t xml:space="preserve">one observes earlier target fixations with the addition of a coda and with a</w:t>
      </w:r>
      <w:r>
        <w:t xml:space="preserve"> </w:t>
      </w:r>
      <w:r>
        <w:t xml:space="preserve">shift of stress to the final syllable (e.g. firMÓ), suggesting that marked</w:t>
      </w:r>
      <w:r>
        <w:t xml:space="preserve"> </w:t>
      </w:r>
      <w:r>
        <w:t xml:space="preserve">sequences facilitate lexical access in native speakers.</w:t>
      </w:r>
    </w:p>
    <w:p>
      <w:pPr>
        <w:pStyle w:val="Textkrper"/>
      </w:pPr>
      <w:r>
        <w:t xml:space="preserve">&lt;INSERT TABLE 1 HERE&gt;</w:t>
      </w:r>
    </w:p>
    <w:p>
      <w:pPr>
        <w:pStyle w:val="Textkrper"/>
      </w:pPr>
      <w:r>
        <w:t xml:space="preserve">With regard to IN and NIN,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 than M, indicating that, overall, NIN fixated on targets later than</w:t>
      </w:r>
      <w:r>
        <w:t xml:space="preserve"> </w:t>
      </w:r>
      <w:r>
        <w:t xml:space="preserve">M.</w:t>
      </w:r>
      <w:r>
        <w:t xml:space="preserve"> </w:t>
      </w:r>
      <w:r>
        <w:t xml:space="preserve">Additionally, there was a lexical stress × syllable structure ×</w:t>
      </w:r>
      <w:r>
        <w:t xml:space="preserve"> </w:t>
      </w:r>
      <w:r>
        <w:t xml:space="preserve">group NIN interaction on the linear slope (</w:t>
      </w:r>
      <w:r>
        <w:t xml:space="preserve">γ</w:t>
      </w:r>
      <w:r>
        <w:rPr>
          <w:vertAlign w:val="subscript"/>
        </w:rPr>
        <w:t xml:space="preserve">16</w:t>
      </w:r>
      <w:r>
        <w:t xml:space="preserve"> = 1.004; SE = 0.271;</w:t>
      </w:r>
      <w:r>
        <w:t xml:space="preserve"> </w:t>
      </w:r>
      <w:r>
        <w:rPr>
          <w:i/>
        </w:rPr>
        <w:t xml:space="preserve">t</w:t>
      </w:r>
      <w:r>
        <w:t xml:space="preserve"> = 3.708;</w:t>
      </w:r>
      <w:r>
        <w:t xml:space="preserve"> </w:t>
      </w:r>
      <w:r>
        <w:rPr>
          <w:i/>
        </w:rPr>
        <w:t xml:space="preserve">p</w:t>
      </w:r>
      <w:r>
        <w:t xml:space="preserve"> = .001), such that</w:t>
      </w:r>
      <w:r>
        <w:t xml:space="preserve"> </w:t>
      </w:r>
      <w:r>
        <w:t xml:space="preserve">NIN had a steeper slope than M in CV syllables of paroxytone words.</w:t>
      </w:r>
      <w:r>
        <w:t xml:space="preserve"> </w:t>
      </w:r>
      <w:r>
        <w:t xml:space="preserve">This indicates that NIN fixated on targets later the default condition</w:t>
      </w:r>
      <w:r>
        <w:t xml:space="preserve"> </w:t>
      </w:r>
      <w:r>
        <w:t xml:space="preserve">(i.e., LAva), but earlier in other conditions (i.e., laVÓ, FIRma, firMÓ).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vertices for CV oxytone targets.</w:t>
      </w:r>
      <w:r>
        <w:t xml:space="preserve"> </w:t>
      </w:r>
      <w:r>
        <w:t xml:space="preserve">Thus, IN fixated on CV oxytones (i.e., laVÓ) at a faster rate than M, though</w:t>
      </w:r>
      <w:r>
        <w:t xml:space="preserve"> </w:t>
      </w:r>
      <w:r>
        <w:t xml:space="preserve">they did so later in the time course.</w:t>
      </w:r>
      <w:r>
        <w:t xml:space="preserve"> </w:t>
      </w:r>
      <w:r>
        <w:t xml:space="preserve">IN also showed a lower proportion of target fixations than M 200 ms after the</w:t>
      </w:r>
      <w:r>
        <w:t xml:space="preserve"> </w:t>
      </w:r>
      <w:r>
        <w:t xml:space="preserve">target syllable offset (see the upper right panel of Figure 2).</w:t>
      </w:r>
    </w:p>
    <w:p>
      <w:pPr>
        <w:pStyle w:val="Textkrper"/>
      </w:pPr>
      <w:r>
        <w:t xml:space="preserve">&lt;INSERT FIGURE 2 HERE&gt;</w:t>
      </w:r>
    </w:p>
    <w:p>
      <w:pPr>
        <w:pStyle w:val="Textkrper"/>
      </w:pPr>
      <w:r>
        <w:t xml:space="preserve">To sum up, both learner groups showed later target fixations in the default,</w:t>
      </w:r>
      <w:r>
        <w:t xml:space="preserve"> </w:t>
      </w:r>
      <w:r>
        <w:t xml:space="preserve">CV paroxytone condition (i.e., LAva).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1).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Importantly, pairwise comparisons (see Appendix 3) showed that the learner</w:t>
      </w:r>
      <w:r>
        <w:t xml:space="preserve"> </w:t>
      </w:r>
      <w:r>
        <w:t xml:space="preserve">groups also 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Figure 2 shows that the learners have nearly identical trajectories for CV</w:t>
      </w:r>
      <w:r>
        <w:t xml:space="preserve"> </w:t>
      </w:r>
      <w:r>
        <w:t xml:space="preserve">paroxytones.</w:t>
      </w:r>
      <w:r>
        <w:t xml:space="preserve"> </w:t>
      </w:r>
      <w:r>
        <w:t xml:space="preserve">In all other conditions IN have steeper slopes with more bowed vertices,</w:t>
      </w:r>
      <w:r>
        <w:t xml:space="preserve"> </w:t>
      </w:r>
      <w:r>
        <w:t xml:space="preserve">indicating later target fixations with regard to NIN.</w:t>
      </w:r>
      <w:r>
        <w:t xml:space="preserve"> </w:t>
      </w:r>
      <w:r>
        <w:t xml:space="preserve">That said, in all conditions the IN group fixated on targets in equal</w:t>
      </w:r>
      <w:r>
        <w:t xml:space="preserve"> </w:t>
      </w:r>
      <w:r>
        <w:t xml:space="preserve">proportion to NIN at the offset of the target syllable (the dotted vertical</w:t>
      </w:r>
      <w:r>
        <w:t xml:space="preserve"> </w:t>
      </w:r>
      <w:r>
        <w:t xml:space="preserve">lines), suggesting IN fixate on targets later but at a faster rate.</w:t>
      </w:r>
      <w:r>
        <w:rPr>
          <w:rStyle w:val="Funotenzeichen"/>
        </w:rPr>
        <w:footnoteReference w:id="34"/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The range</w:t>
      </w:r>
      <w:r>
        <w:t xml:space="preserve"> </w:t>
      </w:r>
      <w:r>
        <w:t xml:space="preserve">of participant ages was wider for IN (see Table 1).</w:t>
      </w:r>
      <w:r>
        <w:t xml:space="preserve"> </w:t>
      </w:r>
      <w:r>
        <w:t xml:space="preserve">Specifically, the three groups were comparable regarding minimum age, but the</w:t>
      </w:r>
      <w:r>
        <w:t xml:space="preserve"> </w:t>
      </w:r>
      <w:r>
        <w:t xml:space="preserve">max age (76) exceeded that of the other groups.</w:t>
      </w:r>
      <w:r>
        <w:t xml:space="preserve"> </w:t>
      </w:r>
      <w:r>
        <w:t xml:space="preserve">To address this possible confound we fit an additional model to the IN data</w:t>
      </w:r>
      <w:r>
        <w:t xml:space="preserve"> </w:t>
      </w:r>
      <w:r>
        <w:t xml:space="preserve">including age as a continuous predictor.</w:t>
      </w:r>
      <w:r>
        <w:t xml:space="preserve"> </w:t>
      </w:r>
      <w:r>
        <w:t xml:space="preserve">There was no effect of age on the intercept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0.13,</w:t>
      </w:r>
      <w:r>
        <w:t xml:space="preserve"> </w:t>
      </w:r>
      <w:r>
        <w:rPr>
          <w:i/>
        </w:rPr>
        <w:t xml:space="preserve">p</w:t>
      </w:r>
      <w:r>
        <w:t xml:space="preserve"> = .721), nor on any of the</w:t>
      </w:r>
      <w:r>
        <w:t xml:space="preserve"> </w:t>
      </w:r>
      <w:r>
        <w:t xml:space="preserve">orthogonal polynomial time terms (Time</w:t>
      </w:r>
      <w:r>
        <w:rPr>
          <w:vertAlign w:val="superscript"/>
        </w:rPr>
        <w:t xml:space="preserve">1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0.21,</w:t>
      </w:r>
      <w:r>
        <w:t xml:space="preserve"> </w:t>
      </w:r>
      <w:r>
        <w:rPr>
          <w:i/>
        </w:rPr>
        <w:t xml:space="preserve">p</w:t>
      </w:r>
      <w:r>
        <w:t xml:space="preserve"> = .648; Time</w:t>
      </w:r>
      <w:r>
        <w:rPr>
          <w:vertAlign w:val="superscript"/>
        </w:rPr>
        <w:t xml:space="preserve">2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1.4,</w:t>
      </w:r>
      <w:r>
        <w:t xml:space="preserve"> </w:t>
      </w:r>
      <w:r>
        <w:rPr>
          <w:i/>
        </w:rPr>
        <w:t xml:space="preserve">p</w:t>
      </w:r>
      <w:r>
        <w:t xml:space="preserve"> = .23; Time</w:t>
      </w:r>
      <w:r>
        <w:rPr>
          <w:vertAlign w:val="superscript"/>
        </w:rPr>
        <w:t xml:space="preserve">3</w:t>
      </w:r>
      <w:r>
        <w:t xml:space="preserve"> </w:t>
      </w:r>
      <w:r>
        <w:t xml:space="preserve">× Age:</w:t>
      </w:r>
      <w:r>
        <w:t xml:space="preserve"> 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0.24,</w:t>
      </w:r>
      <w:r>
        <w:t xml:space="preserve"> </w:t>
      </w:r>
      <w:r>
        <w:rPr>
          <w:i/>
        </w:rPr>
        <w:t xml:space="preserve">p</w:t>
      </w:r>
      <w:r>
        <w:t xml:space="preserve"> = .621).</w:t>
      </w:r>
      <w:r>
        <w:t xml:space="preserve"> </w:t>
      </w:r>
      <w:r>
        <w:t xml:space="preserve">Thus, we found no evidence suggesting that the probability of fixating on</w:t>
      </w:r>
      <w:r>
        <w:t xml:space="preserve"> </w:t>
      </w:r>
      <w:r>
        <w:t xml:space="preserve">targets was modulated by age in the IN group, and, to the extent possible, we</w:t>
      </w:r>
      <w:r>
        <w:t xml:space="preserve"> </w:t>
      </w:r>
      <w:r>
        <w:t xml:space="preserve">discard the possibility that variations in the time courses of IN and NIN can</w:t>
      </w:r>
      <w:r>
        <w:t xml:space="preserve"> </w:t>
      </w:r>
      <w:r>
        <w:t xml:space="preserve">be explained by age-related processing differences.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2019-11-11T15:29:32Z</dcterms:created>
  <dcterms:modified xsi:type="dcterms:W3CDTF">2019-11-11T15:29:32Z</dcterms:modified>
</cp:coreProperties>
</file>