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udpated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becuase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taret fixations are to chance before and after the relvant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results"/>
      <w:r>
        <w:t xml:space="preserve">Results</w:t>
      </w:r>
      <w:bookmarkEnd w:id="24"/>
    </w:p>
    <w:p>
      <w:pPr>
        <w:pStyle w:val="berschrift1"/>
      </w:pPr>
      <w:bookmarkStart w:id="25" w:name="plots"/>
      <w:r>
        <w:t xml:space="preserve">Plots</w:t>
      </w:r>
      <w:bookmarkEnd w:id="25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8" w:name="tables"/>
      <w:r>
        <w:t xml:space="preserve">Tables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t xml:space="preserve">Table 1: Probability of target fixations ±SE at 200 ms after the target</w:t>
      </w:r>
      <w:r>
        <w:t xml:space="preserve"> </w:t>
      </w:r>
      <w:r>
        <w:t xml:space="preserve">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1.177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5.363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5.567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7.483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−1.365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  <w:tc>
          <w:p>
            <w:pPr>
              <w:pStyle w:val="Compact"/>
              <w:jc w:val="right"/>
            </w:pPr>
            <w:r>
              <w:t xml:space="preserve">−3.568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−1.652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−5.511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−0.178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−1.539</w:t>
            </w:r>
          </w:p>
        </w:tc>
        <w:tc>
          <w:p>
            <w:pPr>
              <w:pStyle w:val="Compact"/>
              <w:jc w:val="right"/>
            </w:pPr>
            <w:r>
              <w:t xml:space="preserve">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1.918</w:t>
            </w:r>
          </w:p>
        </w:tc>
        <w:tc>
          <w:p>
            <w:pPr>
              <w:pStyle w:val="Compact"/>
              <w:jc w:val="right"/>
            </w:pPr>
            <w:r>
              <w:t xml:space="preserve">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1.804</w:t>
            </w:r>
          </w:p>
        </w:tc>
        <w:tc>
          <w:p>
            <w:pPr>
              <w:pStyle w:val="Compact"/>
              <w:jc w:val="right"/>
            </w:pPr>
            <w:r>
              <w:t xml:space="preserve">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−0.240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−1.484</w:t>
            </w:r>
          </w:p>
        </w:tc>
        <w:tc>
          <w:p>
            <w:pPr>
              <w:pStyle w:val="Compact"/>
              <w:jc w:val="right"/>
            </w:pPr>
            <w:r>
              <w:t xml:space="preserve">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−0.126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−0.878</w:t>
            </w:r>
          </w:p>
        </w:tc>
        <w:tc>
          <w:p>
            <w:pPr>
              <w:pStyle w:val="Compact"/>
              <w:jc w:val="right"/>
            </w:pPr>
            <w:r>
              <w:t xml:space="preserve">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−0.141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−0.381</w:t>
            </w:r>
          </w:p>
        </w:tc>
        <w:tc>
          <w:p>
            <w:pPr>
              <w:pStyle w:val="Compact"/>
              <w:jc w:val="right"/>
            </w:pPr>
            <w:r>
              <w:t xml:space="preserve">.704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2.494</w:t>
            </w:r>
          </w:p>
        </w:tc>
        <w:tc>
          <w:p>
            <w:pPr>
              <w:pStyle w:val="Compact"/>
              <w:jc w:val="right"/>
            </w:pPr>
            <w:r>
              <w:t xml:space="preserve">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−0.586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−3.627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−0.697</w:t>
            </w:r>
          </w:p>
        </w:tc>
        <w:tc>
          <w:p>
            <w:pPr>
              <w:pStyle w:val="Compact"/>
              <w:jc w:val="right"/>
            </w:pPr>
            <w:r>
              <w:t xml:space="preserve">.486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−0.381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−0.943</w:t>
            </w:r>
          </w:p>
        </w:tc>
        <w:tc>
          <w:p>
            <w:pPr>
              <w:pStyle w:val="Compact"/>
              <w:jc w:val="right"/>
            </w:pPr>
            <w:r>
              <w:t xml:space="preserve">.346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Table 2: Growth curve model fixed effects (must reduce font size and single space).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p>
      <w:pPr>
        <w:pStyle w:val="TableCaption"/>
      </w:pPr>
      <w:r>
        <w:t xml:space="preserve">Table 1: Model random effects</w:t>
      </w:r>
    </w:p>
    <w:tbl>
      <w:tblPr>
        <w:tblStyle w:val="Table"/>
        <w:tblW w:type="pct" w:w="0.0"/>
        <w:tblLook w:firstRow="1"/>
        <w:tblCaption w:val="Table 1: Model random effec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target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2019-05-24T06:42:35Z</dcterms:created>
  <dcterms:modified xsi:type="dcterms:W3CDTF">2019-05-24T06:42:35Z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