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berschrift1"/>
      </w:pPr>
      <w:bookmarkStart w:id="20" w:name="X70c1bd27defbd13fdce34f7a48bcab235aa677e"/>
      <w:r>
        <w:t xml:space="preserve">Language learning article (stress and working memory with natives, late advanced learners and interpreters)</w:t>
      </w:r>
      <w:bookmarkEnd w:id="20"/>
    </w:p>
    <w:p>
      <w:pPr>
        <w:pStyle w:val="berschrift1"/>
      </w:pPr>
      <w:bookmarkStart w:id="21" w:name="plots"/>
      <w:r>
        <w:t xml:space="preserve">Plots</w:t>
      </w:r>
      <w:bookmarkEnd w:id="21"/>
    </w:p>
    <w:p>
      <w:pPr>
        <w:pStyle w:val="CaptionedFigure"/>
      </w:pPr>
      <w:r>
        <w:drawing>
          <wp:inline>
            <wp:extent cx="5969000" cy="4774526"/>
            <wp:effectExtent b="0" l="0" r="0" t="0"/>
            <wp:docPr descr="Figure 1: Growth curve estimates of target fixations as a function of lexical stress and syllable structure and working memory for each group during the analysis window. Lines represent model estimates at -1, 0, and 1 standard deviations of working memory. The transparent ribbons represents ±SE. Empirical logit values on the y-axis correspond to proportions of 0.12, 0.50, 0.88, and 0.98. The thick horizontal white line represents the 50% probability of fixating on the target. The thick vertical white line indicates 200 ms after the offset of the target syllable." title="" id="1" name="Picture"/>
            <a:graphic>
              <a:graphicData uri="http://schemas.openxmlformats.org/drawingml/2006/picture">
                <pic:pic>
                  <pic:nvPicPr>
                    <pic:cNvPr descr="/Users/casillas/academia/research/in_progress/morph_pred/figs/stress/s3_adv_int_nat/eye_track/lang_learn/stress_p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7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Growth curve estimates of target fixations as a function of lexical stress and syllable structure and working memory for each group during the analysis window. Lines represent model estimates at -1, 0, and 1 standard deviations of working memory. The transparent ribbons represents ±SE. Empirical logit values on the y-axis correspond to proportions of 0.12, 0.50, 0.88, and 0.98. The thick horizontal white line represents the 50% probability of fixating on the target. The thick vertical white line indicates 200 ms after the offset of the target syllable.</w:t>
      </w:r>
    </w:p>
    <w:p>
      <w:pPr>
        <w:pStyle w:val="CaptionedFigure"/>
      </w:pPr>
      <w:r>
        <w:drawing>
          <wp:inline>
            <wp:extent cx="5969000" cy="4774526"/>
            <wp:effectExtent b="0" l="0" r="0" t="0"/>
            <wp:docPr descr="Figure 2: Growth curve estimates of target fixations as a function of lexical stress and syllable structure for each group during the analysis window. Symbols and lines represent model estimates at mean working memory, and the transparent ribbons represents ±SE. Empirical logit values on the y-axis correspond to proportions of 0.12, 0.50, 0.88, and 0.98. The thick horizontal white line represents the 50% probability of fixating on the target. The thick vertical white line indicates 200 ms after the offset of the target syllable." title="" id="1" name="Picture"/>
            <a:graphic>
              <a:graphicData uri="http://schemas.openxmlformats.org/drawingml/2006/picture">
                <pic:pic>
                  <pic:nvPicPr>
                    <pic:cNvPr descr="/Users/casillas/academia/research/in_progress/morph_pred/figs/stress/s3_adv_int_nat/eye_track/lang_learn/stress_p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7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Growth curve estimates of target fixations as a function of lexical stress and syllable structure for each group during the analysis window. Symbols and lines represent model estimates at mean working memory, and the transparent ribbons represents ±SE. Empirical logit values on the y-axis correspond to proportions of 0.12, 0.50, 0.88, and 0.98. The thick horizontal white line represents the 50% probability of fixating on the target. The thick vertical white line indicates 200 ms after the offset of the target syllable.</w:t>
      </w:r>
    </w:p>
    <w:p>
      <w:pPr>
        <w:pStyle w:val="berschrift1"/>
      </w:pPr>
      <w:bookmarkStart w:id="24" w:name="tables"/>
      <w:r>
        <w:t xml:space="preserve">Tables</w:t>
      </w:r>
      <w:bookmarkEnd w:id="24"/>
    </w:p>
    <w:p>
      <w:pPr>
        <w:pStyle w:val="berschrift2"/>
      </w:pPr>
      <w:bookmarkStart w:id="25" w:name="X9b2b96a316890a159a0f403610d5494f12cefd4"/>
      <w:r>
        <w:t xml:space="preserve">Model estimates at target syllable offset</w:t>
      </w:r>
      <w:bookmarkEnd w:id="25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584"/>
        <w:gridCol w:w="1872"/>
        <w:gridCol w:w="1584"/>
        <w:gridCol w:w="1080"/>
        <w:gridCol w:w="1080"/>
      </w:tblGrid>
      <w:tr>
        <w:trPr>
          <w:cantSplit/>
          <w:trHeight w:val="360"/>
          <w:tblHeader/>
        </w:trPr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Group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Lexical stress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Syllable structure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Probability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LB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UB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0.786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0.877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0.879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0.921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NIN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0.657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0.813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0.816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0.857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0.637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0.799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0.802</w:t>
            </w:r>
          </w:p>
        </w:tc>
      </w:tr>
      <w:tr>
        <w:trPr>
          <w:cantSplit/>
          <w:trHeight w:val="360"/>
        </w:trPr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0.791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0.722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0.847</w:t>
            </w:r>
          </w:p>
        </w:tc>
      </w:tr>
    </w:tbl>
    <w:p>
      <w:pPr>
        <w:pStyle w:val="FirstParagraph"/>
      </w:pPr>
      <w:r>
        <w:rPr>
          <w:i/>
        </w:rPr>
        <w:t xml:space="preserve">Table 1</w:t>
      </w:r>
      <w:r>
        <w:t xml:space="preserve">: Model estimates at mean working memory for probability of target fixations ±SE at 200 ms after the target syllable offset.</w:t>
      </w:r>
    </w:p>
    <w:p>
      <w:pPr>
        <w:pStyle w:val="berschrift2"/>
      </w:pPr>
      <w:bookmarkStart w:id="26" w:name="fixed-effects"/>
      <w:r>
        <w:t xml:space="preserve">Fixed effects</w:t>
      </w:r>
      <w:bookmarkEnd w:id="2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rPr>
                <w:i/>
              </w:rPr>
              <w:t xml:space="preserve">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rPr>
                <w:i/>
              </w:rPr>
              <w:t xml:space="preserve">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Intercept (</w:t>
            </w:r>
            <w:r>
              <w:t xml:space="preserve">γ</w:t>
            </w:r>
            <w:r>
              <w:rPr>
                <w:vertAlign w:val="subscript"/>
              </w:rPr>
              <w:t xml:space="preserve">00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1.174</w:t>
            </w:r>
          </w:p>
        </w:tc>
        <w:tc>
          <w:p>
            <w:pPr>
              <w:pStyle w:val="Compact"/>
              <w:jc w:val="right"/>
            </w:pPr>
            <w:r>
              <w:t xml:space="preserve">0.214</w:t>
            </w:r>
          </w:p>
        </w:tc>
        <w:tc>
          <w:p>
            <w:pPr>
              <w:pStyle w:val="Compact"/>
              <w:jc w:val="right"/>
            </w:pPr>
            <w:r>
              <w:t xml:space="preserve">5.483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10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5.413</w:t>
            </w:r>
          </w:p>
        </w:tc>
        <w:tc>
          <w:p>
            <w:pPr>
              <w:pStyle w:val="Compact"/>
              <w:jc w:val="right"/>
            </w:pPr>
            <w:r>
              <w:t xml:space="preserve">0.746</w:t>
            </w:r>
          </w:p>
        </w:tc>
        <w:tc>
          <w:p>
            <w:pPr>
              <w:pStyle w:val="Compact"/>
              <w:jc w:val="right"/>
            </w:pPr>
            <w:r>
              <w:t xml:space="preserve">7.253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20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−1.374</w:t>
            </w:r>
          </w:p>
        </w:tc>
        <w:tc>
          <w:p>
            <w:pPr>
              <w:pStyle w:val="Compact"/>
              <w:jc w:val="right"/>
            </w:pPr>
            <w:r>
              <w:t xml:space="preserve">0.396</w:t>
            </w:r>
          </w:p>
        </w:tc>
        <w:tc>
          <w:p>
            <w:pPr>
              <w:pStyle w:val="Compact"/>
              <w:jc w:val="right"/>
            </w:pPr>
            <w:r>
              <w:t xml:space="preserve">−3.470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30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−1.666</w:t>
            </w:r>
          </w:p>
        </w:tc>
        <w:tc>
          <w:p>
            <w:pPr>
              <w:pStyle w:val="Compact"/>
              <w:jc w:val="right"/>
            </w:pPr>
            <w:r>
              <w:t xml:space="preserve">0.297</w:t>
            </w:r>
          </w:p>
        </w:tc>
        <w:tc>
          <w:p>
            <w:pPr>
              <w:pStyle w:val="Compact"/>
              <w:jc w:val="right"/>
            </w:pPr>
            <w:r>
              <w:t xml:space="preserve">−5.614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01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−0.191</w:t>
            </w:r>
          </w:p>
        </w:tc>
        <w:tc>
          <w:p>
            <w:pPr>
              <w:pStyle w:val="Compact"/>
              <w:jc w:val="right"/>
            </w:pPr>
            <w:r>
              <w:t xml:space="preserve">0.105</w:t>
            </w:r>
          </w:p>
        </w:tc>
        <w:tc>
          <w:p>
            <w:pPr>
              <w:pStyle w:val="Compact"/>
              <w:jc w:val="right"/>
            </w:pPr>
            <w:r>
              <w:t xml:space="preserve">−1.822</w:t>
            </w:r>
          </w:p>
        </w:tc>
        <w:tc>
          <w:p>
            <w:pPr>
              <w:pStyle w:val="Compact"/>
              <w:jc w:val="right"/>
            </w:pPr>
            <w:r>
              <w:t xml:space="preserve">.068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11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0.831</w:t>
            </w:r>
          </w:p>
        </w:tc>
        <w:tc>
          <w:p>
            <w:pPr>
              <w:pStyle w:val="Compact"/>
              <w:jc w:val="right"/>
            </w:pPr>
            <w:r>
              <w:t xml:space="preserve">0.374</w:t>
            </w:r>
          </w:p>
        </w:tc>
        <w:tc>
          <w:p>
            <w:pPr>
              <w:pStyle w:val="Compact"/>
              <w:jc w:val="right"/>
            </w:pPr>
            <w:r>
              <w:t xml:space="preserve">2.223</w:t>
            </w:r>
          </w:p>
        </w:tc>
        <w:tc>
          <w:p>
            <w:pPr>
              <w:pStyle w:val="Compact"/>
              <w:jc w:val="right"/>
            </w:pPr>
            <w:r>
              <w:t xml:space="preserve">.026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21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0.434</w:t>
            </w:r>
          </w:p>
        </w:tc>
        <w:tc>
          <w:p>
            <w:pPr>
              <w:pStyle w:val="Compact"/>
              <w:jc w:val="right"/>
            </w:pPr>
            <w:r>
              <w:t xml:space="preserve">0.241</w:t>
            </w:r>
          </w:p>
        </w:tc>
        <w:tc>
          <w:p>
            <w:pPr>
              <w:pStyle w:val="Compact"/>
              <w:jc w:val="right"/>
            </w:pPr>
            <w:r>
              <w:t xml:space="preserve">1.805</w:t>
            </w:r>
          </w:p>
        </w:tc>
        <w:tc>
          <w:p>
            <w:pPr>
              <w:pStyle w:val="Compact"/>
              <w:jc w:val="right"/>
            </w:pPr>
            <w:r>
              <w:t xml:space="preserve">.071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31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−0.252</w:t>
            </w:r>
          </w:p>
        </w:tc>
        <w:tc>
          <w:p>
            <w:pPr>
              <w:pStyle w:val="Compact"/>
              <w:jc w:val="right"/>
            </w:pPr>
            <w:r>
              <w:t xml:space="preserve">0.161</w:t>
            </w:r>
          </w:p>
        </w:tc>
        <w:tc>
          <w:p>
            <w:pPr>
              <w:pStyle w:val="Compact"/>
              <w:jc w:val="right"/>
            </w:pPr>
            <w:r>
              <w:t xml:space="preserve">−1.565</w:t>
            </w:r>
          </w:p>
        </w:tc>
        <w:tc>
          <w:p>
            <w:pPr>
              <w:pStyle w:val="Compact"/>
              <w:jc w:val="right"/>
            </w:pPr>
            <w:r>
              <w:t xml:space="preserve">.118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02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−0.116</w:t>
            </w:r>
          </w:p>
        </w:tc>
        <w:tc>
          <w:p>
            <w:pPr>
              <w:pStyle w:val="Compact"/>
              <w:jc w:val="right"/>
            </w:pPr>
            <w:r>
              <w:t xml:space="preserve">0.136</w:t>
            </w:r>
          </w:p>
        </w:tc>
        <w:tc>
          <w:p>
            <w:pPr>
              <w:pStyle w:val="Compact"/>
              <w:jc w:val="right"/>
            </w:pPr>
            <w:r>
              <w:t xml:space="preserve">−0.853</w:t>
            </w:r>
          </w:p>
        </w:tc>
        <w:tc>
          <w:p>
            <w:pPr>
              <w:pStyle w:val="Compact"/>
              <w:jc w:val="right"/>
            </w:pPr>
            <w:r>
              <w:t xml:space="preserve">.394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12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−0.215</w:t>
            </w:r>
          </w:p>
        </w:tc>
        <w:tc>
          <w:p>
            <w:pPr>
              <w:pStyle w:val="Compact"/>
              <w:jc w:val="right"/>
            </w:pPr>
            <w:r>
              <w:t xml:space="preserve">0.374</w:t>
            </w:r>
          </w:p>
        </w:tc>
        <w:tc>
          <w:p>
            <w:pPr>
              <w:pStyle w:val="Compact"/>
              <w:jc w:val="right"/>
            </w:pPr>
            <w:r>
              <w:t xml:space="preserve">−0.575</w:t>
            </w:r>
          </w:p>
        </w:tc>
        <w:tc>
          <w:p>
            <w:pPr>
              <w:pStyle w:val="Compact"/>
              <w:jc w:val="right"/>
            </w:pPr>
            <w:r>
              <w:t xml:space="preserve">.565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22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0.605</w:t>
            </w:r>
          </w:p>
        </w:tc>
        <w:tc>
          <w:p>
            <w:pPr>
              <w:pStyle w:val="Compact"/>
              <w:jc w:val="right"/>
            </w:pPr>
            <w:r>
              <w:t xml:space="preserve">0.241</w:t>
            </w:r>
          </w:p>
        </w:tc>
        <w:tc>
          <w:p>
            <w:pPr>
              <w:pStyle w:val="Compact"/>
              <w:jc w:val="right"/>
            </w:pPr>
            <w:r>
              <w:t xml:space="preserve">2.516</w:t>
            </w:r>
          </w:p>
        </w:tc>
        <w:tc>
          <w:p>
            <w:pPr>
              <w:pStyle w:val="Compact"/>
              <w:jc w:val="right"/>
            </w:pPr>
            <w:r>
              <w:t xml:space="preserve">.012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32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−0.577</w:t>
            </w:r>
          </w:p>
        </w:tc>
        <w:tc>
          <w:p>
            <w:pPr>
              <w:pStyle w:val="Compact"/>
              <w:jc w:val="right"/>
            </w:pPr>
            <w:r>
              <w:t xml:space="preserve">0.161</w:t>
            </w:r>
          </w:p>
        </w:tc>
        <w:tc>
          <w:p>
            <w:pPr>
              <w:pStyle w:val="Compact"/>
              <w:jc w:val="right"/>
            </w:pPr>
            <w:r>
              <w:t xml:space="preserve">−3.587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NIN (</w:t>
            </w:r>
            <w:r>
              <w:t xml:space="preserve">γ</w:t>
            </w:r>
            <w:r>
              <w:rPr>
                <w:vertAlign w:val="subscript"/>
              </w:rPr>
              <w:t xml:space="preserve">03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−0.078</w:t>
            </w:r>
          </w:p>
        </w:tc>
        <w:tc>
          <w:p>
            <w:pPr>
              <w:pStyle w:val="Compact"/>
              <w:jc w:val="right"/>
            </w:pPr>
            <w:r>
              <w:t xml:space="preserve">0.276</w:t>
            </w:r>
          </w:p>
        </w:tc>
        <w:tc>
          <w:p>
            <w:pPr>
              <w:pStyle w:val="Compact"/>
              <w:jc w:val="right"/>
            </w:pPr>
            <w:r>
              <w:t xml:space="preserve">−0.284</w:t>
            </w:r>
          </w:p>
        </w:tc>
        <w:tc>
          <w:p>
            <w:pPr>
              <w:pStyle w:val="Compact"/>
              <w:jc w:val="right"/>
            </w:pPr>
            <w:r>
              <w:t xml:space="preserve">.777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Group NIN (</w:t>
            </w:r>
            <w:r>
              <w:t xml:space="preserve">γ</w:t>
            </w:r>
            <w:r>
              <w:rPr>
                <w:vertAlign w:val="subscript"/>
              </w:rPr>
              <w:t xml:space="preserve">13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0.456</w:t>
            </w:r>
          </w:p>
        </w:tc>
        <w:tc>
          <w:p>
            <w:pPr>
              <w:pStyle w:val="Compact"/>
              <w:jc w:val="right"/>
            </w:pPr>
            <w:r>
              <w:t xml:space="preserve">0.925</w:t>
            </w:r>
          </w:p>
        </w:tc>
        <w:tc>
          <w:p>
            <w:pPr>
              <w:pStyle w:val="Compact"/>
              <w:jc w:val="right"/>
            </w:pPr>
            <w:r>
              <w:t xml:space="preserve">0.493</w:t>
            </w:r>
          </w:p>
        </w:tc>
        <w:tc>
          <w:p>
            <w:pPr>
              <w:pStyle w:val="Compact"/>
              <w:jc w:val="right"/>
            </w:pPr>
            <w:r>
              <w:t xml:space="preserve">.622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Group NIN (</w:t>
            </w:r>
            <w:r>
              <w:t xml:space="preserve">γ</w:t>
            </w:r>
            <w:r>
              <w:rPr>
                <w:vertAlign w:val="subscript"/>
              </w:rPr>
              <w:t xml:space="preserve">23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1.828</w:t>
            </w:r>
          </w:p>
        </w:tc>
        <w:tc>
          <w:p>
            <w:pPr>
              <w:pStyle w:val="Compact"/>
              <w:jc w:val="right"/>
            </w:pPr>
            <w:r>
              <w:t xml:space="preserve">0.470</w:t>
            </w:r>
          </w:p>
        </w:tc>
        <w:tc>
          <w:p>
            <w:pPr>
              <w:pStyle w:val="Compact"/>
              <w:jc w:val="right"/>
            </w:pPr>
            <w:r>
              <w:t xml:space="preserve">3.888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Group NIN (</w:t>
            </w:r>
            <w:r>
              <w:t xml:space="preserve">γ</w:t>
            </w:r>
            <w:r>
              <w:rPr>
                <w:vertAlign w:val="subscript"/>
              </w:rPr>
              <w:t xml:space="preserve">33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0.133</w:t>
            </w:r>
          </w:p>
        </w:tc>
        <w:tc>
          <w:p>
            <w:pPr>
              <w:pStyle w:val="Compact"/>
              <w:jc w:val="right"/>
            </w:pPr>
            <w:r>
              <w:t xml:space="preserve">0.384</w:t>
            </w:r>
          </w:p>
        </w:tc>
        <w:tc>
          <w:p>
            <w:pPr>
              <w:pStyle w:val="Compact"/>
              <w:jc w:val="right"/>
            </w:pPr>
            <w:r>
              <w:t xml:space="preserve">0.345</w:t>
            </w:r>
          </w:p>
        </w:tc>
        <w:tc>
          <w:p>
            <w:pPr>
              <w:pStyle w:val="Compact"/>
              <w:jc w:val="right"/>
            </w:pPr>
            <w:r>
              <w:t xml:space="preserve">.730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IN (</w:t>
            </w:r>
            <w:r>
              <w:t xml:space="preserve">γ</w:t>
            </w:r>
            <w:r>
              <w:rPr>
                <w:vertAlign w:val="subscript"/>
              </w:rPr>
              <w:t xml:space="preserve">04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−0.227</w:t>
            </w:r>
          </w:p>
        </w:tc>
        <w:tc>
          <w:p>
            <w:pPr>
              <w:pStyle w:val="Compact"/>
              <w:jc w:val="right"/>
            </w:pPr>
            <w:r>
              <w:t xml:space="preserve">0.282</w:t>
            </w:r>
          </w:p>
        </w:tc>
        <w:tc>
          <w:p>
            <w:pPr>
              <w:pStyle w:val="Compact"/>
              <w:jc w:val="right"/>
            </w:pPr>
            <w:r>
              <w:t xml:space="preserve">−0.804</w:t>
            </w:r>
          </w:p>
        </w:tc>
        <w:tc>
          <w:p>
            <w:pPr>
              <w:pStyle w:val="Compact"/>
              <w:jc w:val="right"/>
            </w:pPr>
            <w:r>
              <w:t xml:space="preserve">.421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Group IN (</w:t>
            </w:r>
            <w:r>
              <w:t xml:space="preserve">γ</w:t>
            </w:r>
            <w:r>
              <w:rPr>
                <w:vertAlign w:val="subscript"/>
              </w:rPr>
              <w:t xml:space="preserve">14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0.908</w:t>
            </w:r>
          </w:p>
        </w:tc>
        <w:tc>
          <w:p>
            <w:pPr>
              <w:pStyle w:val="Compact"/>
              <w:jc w:val="right"/>
            </w:pPr>
            <w:r>
              <w:t xml:space="preserve">0.945</w:t>
            </w:r>
          </w:p>
        </w:tc>
        <w:tc>
          <w:p>
            <w:pPr>
              <w:pStyle w:val="Compact"/>
              <w:jc w:val="right"/>
            </w:pPr>
            <w:r>
              <w:t xml:space="preserve">0.961</w:t>
            </w:r>
          </w:p>
        </w:tc>
        <w:tc>
          <w:p>
            <w:pPr>
              <w:pStyle w:val="Compact"/>
              <w:jc w:val="right"/>
            </w:pPr>
            <w:r>
              <w:t xml:space="preserve">.337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Group IN (</w:t>
            </w:r>
            <w:r>
              <w:t xml:space="preserve">γ</w:t>
            </w:r>
            <w:r>
              <w:rPr>
                <w:vertAlign w:val="subscript"/>
              </w:rPr>
              <w:t xml:space="preserve">24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1.624</w:t>
            </w:r>
          </w:p>
        </w:tc>
        <w:tc>
          <w:p>
            <w:pPr>
              <w:pStyle w:val="Compact"/>
              <w:jc w:val="right"/>
            </w:pPr>
            <w:r>
              <w:t xml:space="preserve">0.480</w:t>
            </w:r>
          </w:p>
        </w:tc>
        <w:tc>
          <w:p>
            <w:pPr>
              <w:pStyle w:val="Compact"/>
              <w:jc w:val="right"/>
            </w:pPr>
            <w:r>
              <w:t xml:space="preserve">3.384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Group IN (</w:t>
            </w:r>
            <w:r>
              <w:t xml:space="preserve">γ</w:t>
            </w:r>
            <w:r>
              <w:rPr>
                <w:vertAlign w:val="subscript"/>
              </w:rPr>
              <w:t xml:space="preserve">34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p>
            <w:pPr>
              <w:pStyle w:val="Compact"/>
              <w:jc w:val="right"/>
            </w:pPr>
            <w:r>
              <w:t xml:space="preserve">0.392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  <w:tc>
          <w:p>
            <w:pPr>
              <w:pStyle w:val="Compact"/>
              <w:jc w:val="right"/>
            </w:pPr>
            <w:r>
              <w:t xml:space="preserve">.965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05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−0.029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  <w:tc>
          <w:p>
            <w:pPr>
              <w:pStyle w:val="Compact"/>
              <w:jc w:val="right"/>
            </w:pPr>
            <w:r>
              <w:t xml:space="preserve">−0.289</w:t>
            </w:r>
          </w:p>
        </w:tc>
        <w:tc>
          <w:p>
            <w:pPr>
              <w:pStyle w:val="Compact"/>
              <w:jc w:val="right"/>
            </w:pPr>
            <w:r>
              <w:t xml:space="preserve">.773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15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−0.111</w:t>
            </w:r>
          </w:p>
        </w:tc>
        <w:tc>
          <w:p>
            <w:pPr>
              <w:pStyle w:val="Compact"/>
              <w:jc w:val="right"/>
            </w:pPr>
            <w:r>
              <w:t xml:space="preserve">0.409</w:t>
            </w:r>
          </w:p>
        </w:tc>
        <w:tc>
          <w:p>
            <w:pPr>
              <w:pStyle w:val="Compact"/>
              <w:jc w:val="right"/>
            </w:pPr>
            <w:r>
              <w:t xml:space="preserve">−0.271</w:t>
            </w:r>
          </w:p>
        </w:tc>
        <w:tc>
          <w:p>
            <w:pPr>
              <w:pStyle w:val="Compact"/>
              <w:jc w:val="right"/>
            </w:pPr>
            <w:r>
              <w:t xml:space="preserve">.787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25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0.110</w:t>
            </w:r>
          </w:p>
        </w:tc>
        <w:tc>
          <w:p>
            <w:pPr>
              <w:pStyle w:val="Compact"/>
              <w:jc w:val="right"/>
            </w:pPr>
            <w:r>
              <w:t xml:space="preserve">0.289</w:t>
            </w:r>
          </w:p>
        </w:tc>
        <w:tc>
          <w:p>
            <w:pPr>
              <w:pStyle w:val="Compact"/>
              <w:jc w:val="right"/>
            </w:pPr>
            <w:r>
              <w:t xml:space="preserve">0.380</w:t>
            </w:r>
          </w:p>
        </w:tc>
        <w:tc>
          <w:p>
            <w:pPr>
              <w:pStyle w:val="Compact"/>
              <w:jc w:val="right"/>
            </w:pPr>
            <w:r>
              <w:t xml:space="preserve">.704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35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−0.492</w:t>
            </w:r>
          </w:p>
        </w:tc>
        <w:tc>
          <w:p>
            <w:pPr>
              <w:pStyle w:val="Compact"/>
              <w:jc w:val="right"/>
            </w:pPr>
            <w:r>
              <w:t xml:space="preserve">0.226</w:t>
            </w:r>
          </w:p>
        </w:tc>
        <w:tc>
          <w:p>
            <w:pPr>
              <w:pStyle w:val="Compact"/>
              <w:jc w:val="right"/>
            </w:pPr>
            <w:r>
              <w:t xml:space="preserve">−2.179</w:t>
            </w:r>
          </w:p>
        </w:tc>
        <w:tc>
          <w:p>
            <w:pPr>
              <w:pStyle w:val="Compact"/>
              <w:jc w:val="right"/>
            </w:pPr>
            <w:r>
              <w:t xml:space="preserve">.029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Lexical stress × Working memory (</w:t>
            </w:r>
            <w:r>
              <w:t xml:space="preserve">γ</w:t>
            </w:r>
            <w:r>
              <w:rPr>
                <w:vertAlign w:val="subscript"/>
              </w:rPr>
              <w:t xml:space="preserve">06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  <w:tc>
          <w:p>
            <w:pPr>
              <w:pStyle w:val="Compact"/>
              <w:jc w:val="right"/>
            </w:pPr>
            <w:r>
              <w:t xml:space="preserve">0.104</w:t>
            </w:r>
          </w:p>
        </w:tc>
        <w:tc>
          <w:p>
            <w:pPr>
              <w:pStyle w:val="Compact"/>
              <w:jc w:val="right"/>
            </w:pPr>
            <w:r>
              <w:t xml:space="preserve">0.480</w:t>
            </w:r>
          </w:p>
        </w:tc>
        <w:tc>
          <w:p>
            <w:pPr>
              <w:pStyle w:val="Compact"/>
              <w:jc w:val="right"/>
            </w:pPr>
            <w:r>
              <w:t xml:space="preserve">.632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Lexical stress × Working memory (</w:t>
            </w:r>
            <w:r>
              <w:t xml:space="preserve">γ</w:t>
            </w:r>
            <w:r>
              <w:rPr>
                <w:vertAlign w:val="subscript"/>
              </w:rPr>
              <w:t xml:space="preserve">16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0.263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  <w:tc>
          <w:p>
            <w:pPr>
              <w:pStyle w:val="Compact"/>
              <w:jc w:val="right"/>
            </w:pPr>
            <w:r>
              <w:t xml:space="preserve">2.347</w:t>
            </w:r>
          </w:p>
        </w:tc>
        <w:tc>
          <w:p>
            <w:pPr>
              <w:pStyle w:val="Compact"/>
              <w:jc w:val="right"/>
            </w:pPr>
            <w:r>
              <w:t xml:space="preserve">.019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Lexical stress × Working memory (</w:t>
            </w:r>
            <w:r>
              <w:t xml:space="preserve">γ</w:t>
            </w:r>
            <w:r>
              <w:rPr>
                <w:vertAlign w:val="subscript"/>
              </w:rPr>
              <w:t xml:space="preserve">26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−0.264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  <w:tc>
          <w:p>
            <w:pPr>
              <w:pStyle w:val="Compact"/>
              <w:jc w:val="right"/>
            </w:pPr>
            <w:r>
              <w:t xml:space="preserve">−2.364</w:t>
            </w:r>
          </w:p>
        </w:tc>
        <w:tc>
          <w:p>
            <w:pPr>
              <w:pStyle w:val="Compact"/>
              <w:jc w:val="right"/>
            </w:pPr>
            <w:r>
              <w:t xml:space="preserve">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Lexical stress × Working memory (</w:t>
            </w:r>
            <w:r>
              <w:t xml:space="preserve">γ</w:t>
            </w:r>
            <w:r>
              <w:rPr>
                <w:vertAlign w:val="subscript"/>
              </w:rPr>
              <w:t xml:space="preserve">36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−0.032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  <w:tc>
          <w:p>
            <w:pPr>
              <w:pStyle w:val="Compact"/>
              <w:jc w:val="right"/>
            </w:pPr>
            <w:r>
              <w:t xml:space="preserve">−0.289</w:t>
            </w:r>
          </w:p>
        </w:tc>
        <w:tc>
          <w:p>
            <w:pPr>
              <w:pStyle w:val="Compact"/>
              <w:jc w:val="right"/>
            </w:pPr>
            <w:r>
              <w:t xml:space="preserve">.772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Working memory (</w:t>
            </w:r>
            <w:r>
              <w:t xml:space="preserve">γ</w:t>
            </w:r>
            <w:r>
              <w:rPr>
                <w:vertAlign w:val="subscript"/>
              </w:rPr>
              <w:t xml:space="preserve">07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−0.003</w:t>
            </w:r>
          </w:p>
        </w:tc>
        <w:tc>
          <w:p>
            <w:pPr>
              <w:pStyle w:val="Compact"/>
              <w:jc w:val="right"/>
            </w:pPr>
            <w:r>
              <w:t xml:space="preserve">0.057</w:t>
            </w:r>
          </w:p>
        </w:tc>
        <w:tc>
          <w:p>
            <w:pPr>
              <w:pStyle w:val="Compact"/>
              <w:jc w:val="right"/>
            </w:pPr>
            <w:r>
              <w:t xml:space="preserve">−0.052</w:t>
            </w:r>
          </w:p>
        </w:tc>
        <w:tc>
          <w:p>
            <w:pPr>
              <w:pStyle w:val="Compact"/>
              <w:jc w:val="right"/>
            </w:pPr>
            <w:r>
              <w:t xml:space="preserve">.958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Working memory (</w:t>
            </w:r>
            <w:r>
              <w:t xml:space="preserve">γ</w:t>
            </w:r>
            <w:r>
              <w:rPr>
                <w:vertAlign w:val="subscript"/>
              </w:rPr>
              <w:t xml:space="preserve">17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0.231</w:t>
            </w:r>
          </w:p>
        </w:tc>
        <w:tc>
          <w:p>
            <w:pPr>
              <w:pStyle w:val="Compact"/>
              <w:jc w:val="right"/>
            </w:pPr>
            <w:r>
              <w:t xml:space="preserve">0.113</w:t>
            </w:r>
          </w:p>
        </w:tc>
        <w:tc>
          <w:p>
            <w:pPr>
              <w:pStyle w:val="Compact"/>
              <w:jc w:val="right"/>
            </w:pPr>
            <w:r>
              <w:t xml:space="preserve">2.041</w:t>
            </w:r>
          </w:p>
        </w:tc>
        <w:tc>
          <w:p>
            <w:pPr>
              <w:pStyle w:val="Compact"/>
              <w:jc w:val="right"/>
            </w:pPr>
            <w:r>
              <w:t xml:space="preserve">.041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Working memory (</w:t>
            </w:r>
            <w:r>
              <w:t xml:space="preserve">γ</w:t>
            </w:r>
            <w:r>
              <w:rPr>
                <w:vertAlign w:val="subscript"/>
              </w:rPr>
              <w:t xml:space="preserve">27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0.076</w:t>
            </w:r>
          </w:p>
        </w:tc>
        <w:tc>
          <w:p>
            <w:pPr>
              <w:pStyle w:val="Compact"/>
              <w:jc w:val="right"/>
            </w:pPr>
            <w:r>
              <w:t xml:space="preserve">0.113</w:t>
            </w:r>
          </w:p>
        </w:tc>
        <w:tc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p>
            <w:pPr>
              <w:pStyle w:val="Compact"/>
              <w:jc w:val="right"/>
            </w:pPr>
            <w:r>
              <w:t xml:space="preserve">.499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Working memory (</w:t>
            </w:r>
            <w:r>
              <w:t xml:space="preserve">γ</w:t>
            </w:r>
            <w:r>
              <w:rPr>
                <w:vertAlign w:val="subscript"/>
              </w:rPr>
              <w:t xml:space="preserve">37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0.188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  <w:tc>
          <w:p>
            <w:pPr>
              <w:pStyle w:val="Compact"/>
              <w:jc w:val="right"/>
            </w:pPr>
            <w:r>
              <w:t xml:space="preserve">1.676</w:t>
            </w:r>
          </w:p>
        </w:tc>
        <w:tc>
          <w:p>
            <w:pPr>
              <w:pStyle w:val="Compact"/>
              <w:jc w:val="right"/>
            </w:pPr>
            <w:r>
              <w:t xml:space="preserve">.094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08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.983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18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0.893</w:t>
            </w:r>
          </w:p>
        </w:tc>
        <w:tc>
          <w:p>
            <w:pPr>
              <w:pStyle w:val="Compact"/>
              <w:jc w:val="right"/>
            </w:pPr>
            <w:r>
              <w:t xml:space="preserve">0.277</w:t>
            </w:r>
          </w:p>
        </w:tc>
        <w:tc>
          <w:p>
            <w:pPr>
              <w:pStyle w:val="Compact"/>
              <w:jc w:val="right"/>
            </w:pPr>
            <w:r>
              <w:t xml:space="preserve">3.222</w:t>
            </w:r>
          </w:p>
        </w:tc>
        <w:tc>
          <w:p>
            <w:pPr>
              <w:pStyle w:val="Compact"/>
              <w:jc w:val="right"/>
            </w:pPr>
            <w:r>
              <w:t xml:space="preserve">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28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0.300</w:t>
            </w:r>
          </w:p>
        </w:tc>
        <w:tc>
          <w:p>
            <w:pPr>
              <w:pStyle w:val="Compact"/>
              <w:jc w:val="right"/>
            </w:pPr>
            <w:r>
              <w:t xml:space="preserve">0.275</w:t>
            </w:r>
          </w:p>
        </w:tc>
        <w:tc>
          <w:p>
            <w:pPr>
              <w:pStyle w:val="Compact"/>
              <w:jc w:val="right"/>
            </w:pPr>
            <w:r>
              <w:t xml:space="preserve">1.090</w:t>
            </w:r>
          </w:p>
        </w:tc>
        <w:tc>
          <w:p>
            <w:pPr>
              <w:pStyle w:val="Compact"/>
              <w:jc w:val="right"/>
            </w:pPr>
            <w:r>
              <w:t xml:space="preserve">.276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38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−0.003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−0.010</w:t>
            </w:r>
          </w:p>
        </w:tc>
        <w:tc>
          <w:p>
            <w:pPr>
              <w:pStyle w:val="Compact"/>
              <w:jc w:val="right"/>
            </w:pPr>
            <w:r>
              <w:t xml:space="preserve">.992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09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−0.033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  <w:tc>
          <w:p>
            <w:pPr>
              <w:pStyle w:val="Compact"/>
              <w:jc w:val="right"/>
            </w:pPr>
            <w:r>
              <w:t xml:space="preserve">−0.472</w:t>
            </w:r>
          </w:p>
        </w:tc>
        <w:tc>
          <w:p>
            <w:pPr>
              <w:pStyle w:val="Compact"/>
              <w:jc w:val="right"/>
            </w:pPr>
            <w:r>
              <w:t xml:space="preserve">.637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19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−0.681</w:t>
            </w:r>
          </w:p>
        </w:tc>
        <w:tc>
          <w:p>
            <w:pPr>
              <w:pStyle w:val="Compact"/>
              <w:jc w:val="right"/>
            </w:pPr>
            <w:r>
              <w:t xml:space="preserve">0.281</w:t>
            </w:r>
          </w:p>
        </w:tc>
        <w:tc>
          <w:p>
            <w:pPr>
              <w:pStyle w:val="Compact"/>
              <w:jc w:val="right"/>
            </w:pPr>
            <w:r>
              <w:t xml:space="preserve">−2.419</w:t>
            </w:r>
          </w:p>
        </w:tc>
        <w:tc>
          <w:p>
            <w:pPr>
              <w:pStyle w:val="Compact"/>
              <w:jc w:val="right"/>
            </w:pPr>
            <w:r>
              <w:t xml:space="preserve">.016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29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0.171</w:t>
            </w:r>
          </w:p>
        </w:tc>
        <w:tc>
          <w:p>
            <w:pPr>
              <w:pStyle w:val="Compact"/>
              <w:jc w:val="right"/>
            </w:pPr>
            <w:r>
              <w:t xml:space="preserve">0.280</w:t>
            </w:r>
          </w:p>
        </w:tc>
        <w:tc>
          <w:p>
            <w:pPr>
              <w:pStyle w:val="Compact"/>
              <w:jc w:val="right"/>
            </w:pPr>
            <w:r>
              <w:t xml:space="preserve">0.613</w:t>
            </w:r>
          </w:p>
        </w:tc>
        <w:tc>
          <w:p>
            <w:pPr>
              <w:pStyle w:val="Compact"/>
              <w:jc w:val="right"/>
            </w:pPr>
            <w:r>
              <w:t xml:space="preserve">.540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39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0.277</w:t>
            </w:r>
          </w:p>
        </w:tc>
        <w:tc>
          <w:p>
            <w:pPr>
              <w:pStyle w:val="Compact"/>
              <w:jc w:val="right"/>
            </w:pPr>
            <w:r>
              <w:t xml:space="preserve">3.039</w:t>
            </w:r>
          </w:p>
        </w:tc>
        <w:tc>
          <w:p>
            <w:pPr>
              <w:pStyle w:val="Compact"/>
              <w:jc w:val="right"/>
            </w:pPr>
            <w:r>
              <w:t xml:space="preserve">.002</w:t>
            </w:r>
          </w:p>
        </w:tc>
      </w:tr>
    </w:tbl>
    <w:p>
      <w:pPr>
        <w:pStyle w:val="Textkrper"/>
      </w:pPr>
      <w:r>
        <w:t xml:space="preserve">Appendix 1: Growth curve model fixed effects</w:t>
      </w:r>
    </w:p>
    <w:p>
      <w:pPr>
        <w:pStyle w:val="berschrift2"/>
      </w:pPr>
      <w:bookmarkStart w:id="27" w:name="random-effects"/>
      <w:r>
        <w:t xml:space="preserve">Random effects</w:t>
      </w:r>
      <w:bookmarkEnd w:id="2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Variance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Correlations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Participant</w:t>
            </w:r>
          </w:p>
        </w:tc>
        <w:tc>
          <w:p>
            <w:pPr>
              <w:pStyle w:val="Compact"/>
              <w:jc w:val="left"/>
            </w:pPr>
            <w:r>
              <w:t xml:space="preserve">Intercept</w:t>
            </w:r>
          </w:p>
        </w:tc>
        <w:tc>
          <w:p>
            <w:pPr>
              <w:pStyle w:val="Compact"/>
              <w:jc w:val="right"/>
            </w:pPr>
            <w:r>
              <w:t xml:space="preserve">0.869</w:t>
            </w:r>
          </w:p>
        </w:tc>
        <w:tc>
          <w:p>
            <w:pPr>
              <w:pStyle w:val="Compact"/>
              <w:jc w:val="right"/>
            </w:pPr>
            <w:r>
              <w:t xml:space="preserve">0.932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Syllable structure</w:t>
            </w:r>
          </w:p>
        </w:tc>
        <w:tc>
          <w:p>
            <w:pPr>
              <w:pStyle w:val="Compact"/>
              <w:jc w:val="right"/>
            </w:pPr>
            <w:r>
              <w:t xml:space="preserve">0.179</w:t>
            </w:r>
          </w:p>
        </w:tc>
        <w:tc>
          <w:p>
            <w:pPr>
              <w:pStyle w:val="Compact"/>
              <w:jc w:val="right"/>
            </w:pPr>
            <w:r>
              <w:t xml:space="preserve">0.423</w:t>
            </w:r>
          </w:p>
        </w:tc>
        <w:tc>
          <w:p>
            <w:pPr>
              <w:pStyle w:val="Compact"/>
              <w:jc w:val="right"/>
            </w:pPr>
            <w:r>
              <w:t xml:space="preserve">−.15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Lexical stress</w:t>
            </w:r>
          </w:p>
        </w:tc>
        <w:tc>
          <w:p>
            <w:pPr>
              <w:pStyle w:val="Compact"/>
              <w:jc w:val="right"/>
            </w:pPr>
            <w:r>
              <w:t xml:space="preserve">0.719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  <w:tc>
          <w:p>
            <w:pPr>
              <w:pStyle w:val="Compact"/>
              <w:jc w:val="right"/>
            </w:pPr>
            <w:r>
              <w:t xml:space="preserve">−.06</w:t>
            </w:r>
          </w:p>
        </w:tc>
        <w:tc>
          <w:p>
            <w:pPr>
              <w:pStyle w:val="Compact"/>
              <w:jc w:val="right"/>
            </w:pPr>
            <w:r>
              <w:t xml:space="preserve">.16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9.492</w:t>
            </w:r>
          </w:p>
        </w:tc>
        <w:tc>
          <w:p>
            <w:pPr>
              <w:pStyle w:val="Compact"/>
              <w:jc w:val="right"/>
            </w:pPr>
            <w:r>
              <w:t xml:space="preserve">3.081</w:t>
            </w:r>
          </w:p>
        </w:tc>
        <w:tc>
          <w:p>
            <w:pPr>
              <w:pStyle w:val="Compact"/>
              <w:jc w:val="right"/>
            </w:pPr>
            <w:r>
              <w:t xml:space="preserve">.42</w:t>
            </w:r>
          </w:p>
        </w:tc>
        <w:tc>
          <w:p>
            <w:pPr>
              <w:pStyle w:val="Compact"/>
              <w:jc w:val="right"/>
            </w:pPr>
            <w:r>
              <w:t xml:space="preserve">−.14</w:t>
            </w:r>
          </w:p>
        </w:tc>
        <w:tc>
          <w:p>
            <w:pPr>
              <w:pStyle w:val="Compact"/>
              <w:jc w:val="right"/>
            </w:pPr>
            <w:r>
              <w:t xml:space="preserve">.04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1.793</w:t>
            </w:r>
          </w:p>
        </w:tc>
        <w:tc>
          <w:p>
            <w:pPr>
              <w:pStyle w:val="Compact"/>
              <w:jc w:val="right"/>
            </w:pPr>
            <w:r>
              <w:t xml:space="preserve">1.339</w:t>
            </w:r>
          </w:p>
        </w:tc>
        <w:tc>
          <w:p>
            <w:pPr>
              <w:pStyle w:val="Compact"/>
              <w:jc w:val="right"/>
            </w:pPr>
            <w:r>
              <w:t xml:space="preserve">−.06</w:t>
            </w:r>
          </w:p>
        </w:tc>
        <w:tc>
          <w:p>
            <w:pPr>
              <w:pStyle w:val="Compact"/>
              <w:jc w:val="right"/>
            </w:pPr>
            <w:r>
              <w:t xml:space="preserve">.18</w:t>
            </w:r>
          </w:p>
        </w:tc>
        <w:tc>
          <w:p>
            <w:pPr>
              <w:pStyle w:val="Compact"/>
              <w:jc w:val="right"/>
            </w:pPr>
            <w:r>
              <w:t xml:space="preserve">.05</w:t>
            </w:r>
          </w:p>
        </w:tc>
        <w:tc>
          <w:p>
            <w:pPr>
              <w:pStyle w:val="Compact"/>
              <w:jc w:val="right"/>
            </w:pPr>
            <w:r>
              <w:t xml:space="preserve">.38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0.959</w:t>
            </w:r>
          </w:p>
        </w:tc>
        <w:tc>
          <w:p>
            <w:pPr>
              <w:pStyle w:val="Compact"/>
              <w:jc w:val="right"/>
            </w:pPr>
            <w:r>
              <w:t xml:space="preserve">−.35</w:t>
            </w:r>
          </w:p>
        </w:tc>
        <w:tc>
          <w:p>
            <w:pPr>
              <w:pStyle w:val="Compact"/>
              <w:jc w:val="right"/>
            </w:pPr>
            <w:r>
              <w:t xml:space="preserve">.01</w:t>
            </w:r>
          </w:p>
        </w:tc>
        <w:tc>
          <w:p>
            <w:pPr>
              <w:pStyle w:val="Compact"/>
              <w:jc w:val="right"/>
            </w:pPr>
            <w:r>
              <w:t xml:space="preserve">−.21</w:t>
            </w:r>
          </w:p>
        </w:tc>
        <w:tc>
          <w:p>
            <w:pPr>
              <w:pStyle w:val="Compact"/>
              <w:jc w:val="right"/>
            </w:pPr>
            <w:r>
              <w:t xml:space="preserve">−.80</w:t>
            </w:r>
          </w:p>
        </w:tc>
        <w:tc>
          <w:p>
            <w:pPr>
              <w:pStyle w:val="Compact"/>
              <w:jc w:val="center"/>
            </w:pPr>
            <w:r>
              <w:t xml:space="preserve">−.17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Item</w:t>
            </w:r>
          </w:p>
        </w:tc>
        <w:tc>
          <w:p>
            <w:pPr>
              <w:pStyle w:val="Compact"/>
              <w:jc w:val="left"/>
            </w:pPr>
            <w:r>
              <w:t xml:space="preserve">Intercept</w:t>
            </w:r>
          </w:p>
        </w:tc>
        <w:tc>
          <w:p>
            <w:pPr>
              <w:pStyle w:val="Compact"/>
              <w:jc w:val="right"/>
            </w:pPr>
            <w:r>
              <w:t xml:space="preserve">0.230</w:t>
            </w:r>
          </w:p>
        </w:tc>
        <w:tc>
          <w:p>
            <w:pPr>
              <w:pStyle w:val="Compact"/>
              <w:jc w:val="right"/>
            </w:pPr>
            <w:r>
              <w:t xml:space="preserve">0.480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3.886</w:t>
            </w:r>
          </w:p>
        </w:tc>
        <w:tc>
          <w:p>
            <w:pPr>
              <w:pStyle w:val="Compact"/>
              <w:jc w:val="right"/>
            </w:pPr>
            <w:r>
              <w:t xml:space="preserve">1.971</w:t>
            </w:r>
          </w:p>
        </w:tc>
        <w:tc>
          <w:p>
            <w:pPr>
              <w:pStyle w:val="Compact"/>
              <w:jc w:val="right"/>
            </w:pPr>
            <w:r>
              <w:t xml:space="preserve">.21</w:t>
            </w:r>
          </w:p>
        </w:tc>
        <w:tc>
          <w:p/>
        </w:tc>
        <w:tc>
          <w:p/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1.377</w:t>
            </w:r>
          </w:p>
        </w:tc>
        <w:tc>
          <w:p>
            <w:pPr>
              <w:pStyle w:val="Compact"/>
              <w:jc w:val="right"/>
            </w:pPr>
            <w:r>
              <w:t xml:space="preserve">1.174</w:t>
            </w:r>
          </w:p>
        </w:tc>
        <w:tc>
          <w:p>
            <w:pPr>
              <w:pStyle w:val="Compact"/>
              <w:jc w:val="right"/>
            </w:pPr>
            <w:r>
              <w:t xml:space="preserve">−.76</w:t>
            </w:r>
          </w:p>
        </w:tc>
        <w:tc>
          <w:p/>
        </w:tc>
        <w:tc>
          <w:p/>
        </w:tc>
        <w:tc>
          <w:p>
            <w:pPr>
              <w:pStyle w:val="Compact"/>
              <w:jc w:val="right"/>
            </w:pPr>
            <w:r>
              <w:t xml:space="preserve">−.42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0.397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.26</w:t>
            </w:r>
          </w:p>
        </w:tc>
        <w:tc>
          <w:p/>
        </w:tc>
        <w:tc>
          <w:p/>
        </w:tc>
        <w:tc>
          <w:p>
            <w:pPr>
              <w:pStyle w:val="Compact"/>
              <w:jc w:val="right"/>
            </w:pPr>
            <w:r>
              <w:t xml:space="preserve">−.86</w:t>
            </w:r>
          </w:p>
        </w:tc>
        <w:tc>
          <w:p>
            <w:pPr>
              <w:pStyle w:val="Compact"/>
              <w:jc w:val="center"/>
            </w:pPr>
            <w:r>
              <w:t xml:space="preserve">−.08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Residual</w:t>
            </w:r>
          </w:p>
        </w:tc>
        <w:tc>
          <w:p/>
        </w:tc>
        <w:tc>
          <w:p>
            <w:pPr>
              <w:pStyle w:val="Compact"/>
              <w:jc w:val="right"/>
            </w:pPr>
            <w:r>
              <w:t xml:space="preserve">13.492</w:t>
            </w:r>
          </w:p>
        </w:tc>
        <w:tc>
          <w:p>
            <w:pPr>
              <w:pStyle w:val="Compact"/>
              <w:jc w:val="right"/>
            </w:pPr>
            <w:r>
              <w:t xml:space="preserve">3.673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</w:tbl>
    <w:p>
      <w:pPr>
        <w:pStyle w:val="Textkrper"/>
      </w:pPr>
      <w:r>
        <w:t xml:space="preserve">Appendix 2: Growth curve model random effects</w:t>
      </w:r>
    </w:p>
    <w:p>
      <w:pPr>
        <w:pStyle w:val="berschrift1"/>
      </w:pPr>
      <w:bookmarkStart w:id="28" w:name="statistical-analysis"/>
      <w:r>
        <w:t xml:space="preserve">Statistical Analysis</w:t>
      </w:r>
      <w:bookmarkEnd w:id="28"/>
    </w:p>
    <w:p>
      <w:pPr>
        <w:pStyle w:val="FirstParagraph"/>
      </w:pPr>
      <w:r>
        <w:t xml:space="preserve">Example write up (must be rewritten)</w:t>
      </w:r>
    </w:p>
    <w:p>
      <w:pPr>
        <w:pStyle w:val="Textkrper"/>
      </w:pPr>
      <w:r>
        <w:t xml:space="preserve">(Reporting rows from final model)</w:t>
      </w:r>
    </w:p>
    <w:p>
      <w:pPr>
        <w:pStyle w:val="Textkrper"/>
      </w:pPr>
      <w:r>
        <w:t xml:space="preserve">Figure 1 plots the model estimates from the GCA, and the full model summary is</w:t>
      </w:r>
      <w:r>
        <w:t xml:space="preserve"> </w:t>
      </w:r>
      <w:r>
        <w:t xml:space="preserve">available in Appendices 1 and 2.</w:t>
      </w:r>
      <w:r>
        <w:t xml:space="preserve"> </w:t>
      </w:r>
      <w:r>
        <w:t xml:space="preserve">We report the results for the M group and then provide comparisons with and</w:t>
      </w:r>
      <w:r>
        <w:t xml:space="preserve"> </w:t>
      </w:r>
      <w:r>
        <w:t xml:space="preserve">between the learner groups.</w:t>
      </w:r>
      <w:r>
        <w:t xml:space="preserve"> </w:t>
      </w:r>
      <w:r>
        <w:t xml:space="preserve">The model intercept estimates the log odds of M fixating on the target,</w:t>
      </w:r>
      <w:r>
        <w:t xml:space="preserve"> </w:t>
      </w:r>
      <w:r>
        <w:t xml:space="preserve">averaging over the time course, lexical stress, and syllable structure, at the</w:t>
      </w:r>
      <w:r>
        <w:t xml:space="preserve"> </w:t>
      </w:r>
      <w:r>
        <w:t xml:space="preserve">mean working memory (XXX).</w:t>
      </w:r>
      <w:r>
        <w:t xml:space="preserve"> </w:t>
      </w:r>
      <w:r>
        <w:t xml:space="preserve">The log odds were</w:t>
      </w:r>
      <w:r>
        <w:t xml:space="preserve"> </w:t>
      </w:r>
      <w:r>
        <w:rPr>
          <w:i/>
        </w:rPr>
        <w:t xml:space="preserve">γ</w:t>
      </w:r>
      <w:r>
        <w:rPr>
          <w:vertAlign w:val="subscript"/>
        </w:rPr>
        <w:t xml:space="preserve">00</w:t>
      </w:r>
      <w:r>
        <w:t xml:space="preserve"> = 1.17</w:t>
      </w:r>
      <w:r>
        <w:t xml:space="preserve"> </w:t>
      </w:r>
      <w:r>
        <w:t xml:space="preserve">(proportion: .76).</w:t>
      </w:r>
      <w:r>
        <w:t xml:space="preserve"> </w:t>
      </w:r>
      <w:r>
        <w:t xml:space="preserve">The linear, quadratic, and cubic polynomial time terms captured the sigmoid</w:t>
      </w:r>
      <w:r>
        <w:t xml:space="preserve"> </w:t>
      </w:r>
      <w:r>
        <w:t xml:space="preserve">shape of the time course and were retained in the model</w:t>
      </w:r>
      <w:r>
        <w:t xml:space="preserve"> </w:t>
      </w:r>
      <w:r>
        <w:t xml:space="preserve">(</w:t>
      </w:r>
      <w:r>
        <w:t xml:space="preserve">γ</w:t>
      </w:r>
      <w:r>
        <w:rPr>
          <w:vertAlign w:val="subscript"/>
        </w:rPr>
        <w:t xml:space="preserve">10</w:t>
      </w:r>
      <w:r>
        <w:t xml:space="preserve"> = 5.413; SE = 0.746;</w:t>
      </w:r>
      <w:r>
        <w:t xml:space="preserve"> </w:t>
      </w:r>
      <w:r>
        <w:rPr>
          <w:i/>
        </w:rPr>
        <w:t xml:space="preserve">t</w:t>
      </w:r>
      <w:r>
        <w:t xml:space="preserve"> = 7.253;</w:t>
      </w:r>
      <w:r>
        <w:t xml:space="preserve"> </w:t>
      </w:r>
      <w:r>
        <w:rPr>
          <w:i/>
        </w:rPr>
        <w:t xml:space="preserve">p</w:t>
      </w:r>
      <w:r>
        <w:t xml:space="preserve"> = .001;</w:t>
      </w:r>
      <w:r>
        <w:t xml:space="preserve"> </w:t>
      </w:r>
      <w:r>
        <w:t xml:space="preserve">γ</w:t>
      </w:r>
      <w:r>
        <w:rPr>
          <w:vertAlign w:val="subscript"/>
        </w:rPr>
        <w:t xml:space="preserve">20</w:t>
      </w:r>
      <w:r>
        <w:t xml:space="preserve"> = −1.374; SE = 0.396;</w:t>
      </w:r>
      <w:r>
        <w:t xml:space="preserve"> </w:t>
      </w:r>
      <w:r>
        <w:rPr>
          <w:i/>
        </w:rPr>
        <w:t xml:space="preserve">t</w:t>
      </w:r>
      <w:r>
        <w:t xml:space="preserve"> = −3.470;</w:t>
      </w:r>
      <w:r>
        <w:t xml:space="preserve"> </w:t>
      </w:r>
      <w:r>
        <w:rPr>
          <w:i/>
        </w:rPr>
        <w:t xml:space="preserve">p</w:t>
      </w:r>
      <w:r>
        <w:t xml:space="preserve"> = .001;</w:t>
      </w:r>
      <w:r>
        <w:t xml:space="preserve"> </w:t>
      </w:r>
      <w:r>
        <w:t xml:space="preserve">γ</w:t>
      </w:r>
      <w:r>
        <w:rPr>
          <w:vertAlign w:val="subscript"/>
        </w:rPr>
        <w:t xml:space="preserve">30</w:t>
      </w:r>
      <w:r>
        <w:t xml:space="preserve"> = −1.666; SE = 0.297;</w:t>
      </w:r>
      <w:r>
        <w:t xml:space="preserve"> </w:t>
      </w:r>
      <w:r>
        <w:rPr>
          <w:i/>
        </w:rPr>
        <w:t xml:space="preserve">t</w:t>
      </w:r>
      <w:r>
        <w:t xml:space="preserve"> = −5.614;</w:t>
      </w:r>
      <w:r>
        <w:t xml:space="preserve"> </w:t>
      </w:r>
      <w:r>
        <w:rPr>
          <w:i/>
        </w:rPr>
        <w:t xml:space="preserve">p</w:t>
      </w:r>
      <w:r>
        <w:t xml:space="preserve"> = .001).</w:t>
      </w:r>
    </w:p>
    <w:p>
      <w:pPr>
        <w:pStyle w:val="Textkrper"/>
      </w:pPr>
      <w:r>
        <w:t xml:space="preserve">(Reporting nested model comparisons)</w:t>
      </w:r>
    </w:p>
    <w:p>
      <w:pPr>
        <w:pStyle w:val="Textkrper"/>
      </w:pPr>
      <w:r>
        <w:t xml:space="preserve">There was (was not) a main effect of XXX on the quadratic time term</w:t>
      </w:r>
      <w:r>
        <w:t xml:space="preserve"> </w:t>
      </w:r>
      <w:r>
        <w:t xml:space="preserve">(</w:t>
      </w:r>
      <w:r>
        <w:rPr>
          <w:i/>
        </w:rPr>
        <w:t xml:space="preserve">χ</w:t>
      </w:r>
      <w:r>
        <w:rPr>
          <w:vertAlign w:val="superscript"/>
        </w:rPr>
        <w:t xml:space="preserve">2</w:t>
      </w:r>
      <w:r>
        <w:t xml:space="preserve">(1) = 0.035,</w:t>
      </w:r>
      <w:r>
        <w:t xml:space="preserve"> </w:t>
      </w:r>
      <w:r>
        <w:rPr>
          <w:i/>
        </w:rPr>
        <w:t xml:space="preserve">p</w:t>
      </w:r>
      <w:r>
        <w:t xml:space="preserve"> = .852).</w:t>
      </w:r>
    </w:p>
    <w:sectPr w:rsidR="007407D0" w:rsidRPr="007407D0" w:rsidSect="003C3842">
      <w:pgSz w:w="12240" w:h="15840"/>
      <w:pgMar w:top="1418" w:right="1418" w:bottom="1418" w:left="1418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2298BB6"/>
    <w:multiLevelType w:val="multilevel"/>
    <w:tmpl w:val="80AA5CA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E17F69BA"/>
    <w:multiLevelType w:val="multilevel"/>
    <w:tmpl w:val="9C56148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FFFFFF7C"/>
    <w:multiLevelType w:val="singleLevel"/>
    <w:tmpl w:val="A3126B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>
    <w:nsid w:val="FFFFFF7D"/>
    <w:multiLevelType w:val="singleLevel"/>
    <w:tmpl w:val="413CF14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4">
    <w:nsid w:val="FFFFFF7E"/>
    <w:multiLevelType w:val="singleLevel"/>
    <w:tmpl w:val="26F02DE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5">
    <w:nsid w:val="FFFFFF7F"/>
    <w:multiLevelType w:val="singleLevel"/>
    <w:tmpl w:val="2248904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6">
    <w:nsid w:val="FFFFFF80"/>
    <w:multiLevelType w:val="singleLevel"/>
    <w:tmpl w:val="874AA4F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7">
    <w:nsid w:val="FFFFFF81"/>
    <w:multiLevelType w:val="singleLevel"/>
    <w:tmpl w:val="3126C8A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8">
    <w:nsid w:val="FFFFFF82"/>
    <w:multiLevelType w:val="singleLevel"/>
    <w:tmpl w:val="9AC861A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9">
    <w:nsid w:val="FFFFFF83"/>
    <w:multiLevelType w:val="singleLevel"/>
    <w:tmpl w:val="92F2DE4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0">
    <w:nsid w:val="FFFFFF88"/>
    <w:multiLevelType w:val="singleLevel"/>
    <w:tmpl w:val="F2AA1BE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>
    <w:nsid w:val="FFFFFF89"/>
    <w:multiLevelType w:val="singleLevel"/>
    <w:tmpl w:val="DCDED57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11"/>
  </w:num>
  <w:num w:numId="4">
    <w:abstractNumId w:val="9"/>
  </w:num>
  <w:num w:numId="5">
    <w:abstractNumId w:val="8"/>
  </w:num>
  <w:num w:numId="6">
    <w:abstractNumId w:val="7"/>
  </w:num>
  <w:num w:numId="7">
    <w:abstractNumId w:val="6"/>
  </w:num>
  <w:num w:numId="8">
    <w:abstractNumId w:val="10"/>
  </w:num>
  <w:num w:numId="9">
    <w:abstractNumId w:val="5"/>
  </w:num>
  <w:num w:numId="10">
    <w:abstractNumId w:val="4"/>
  </w:num>
  <w:num w:numId="11">
    <w:abstractNumId w:val="3"/>
  </w:num>
  <w:num w:numId="12">
    <w:abstractNumId w:val="2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heading 2" w:uiPriority="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Textkrper"/>
    <w:uiPriority w:val="9"/>
    <w:qFormat/>
    <w:rsid w:val="003C3842"/>
    <w:pPr>
      <w:keepNext/>
      <w:keepLines/>
      <w:spacing w:before="480" w:after="0" w:line="480" w:lineRule="auto"/>
      <w:jc w:val="center"/>
      <w:outlineLvl w:val="0"/>
    </w:pPr>
    <w:rPr>
      <w:rFonts w:ascii="Times New Roman" w:eastAsiaTheme="majorEastAsia" w:hAnsi="Times New Roman" w:cstheme="majorBidi"/>
      <w:b/>
      <w:bCs/>
      <w:szCs w:val="32"/>
    </w:rPr>
  </w:style>
  <w:style w:type="paragraph" w:styleId="berschrift2">
    <w:name w:val="heading 2"/>
    <w:basedOn w:val="Standard"/>
    <w:next w:val="Textkrper"/>
    <w:link w:val="berschrift2Zchn"/>
    <w:uiPriority w:val="9"/>
    <w:unhideWhenUsed/>
    <w:qFormat/>
    <w:rsid w:val="003C3842"/>
    <w:pPr>
      <w:keepNext/>
      <w:keepLines/>
      <w:spacing w:before="240" w:after="0" w:line="360" w:lineRule="auto"/>
      <w:outlineLvl w:val="1"/>
    </w:pPr>
    <w:rPr>
      <w:rFonts w:ascii="Times New Roman" w:eastAsiaTheme="majorEastAsia" w:hAnsi="Times New Roman" w:cstheme="majorBidi"/>
      <w:b/>
      <w:bCs/>
      <w:szCs w:val="32"/>
    </w:rPr>
  </w:style>
  <w:style w:type="paragraph" w:styleId="berschrift3">
    <w:name w:val="heading 3"/>
    <w:basedOn w:val="Standard"/>
    <w:next w:val="Textkrper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2"/>
    </w:pPr>
    <w:rPr>
      <w:rFonts w:ascii="Times New Roman" w:eastAsiaTheme="majorEastAsia" w:hAnsi="Times New Roman" w:cstheme="majorBidi"/>
      <w:b/>
      <w:bCs/>
      <w:szCs w:val="28"/>
    </w:rPr>
  </w:style>
  <w:style w:type="paragraph" w:styleId="berschrift4">
    <w:name w:val="heading 4"/>
    <w:basedOn w:val="Standard"/>
    <w:next w:val="Textkrper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3"/>
    </w:pPr>
    <w:rPr>
      <w:rFonts w:ascii="Times New Roman" w:eastAsiaTheme="majorEastAsia" w:hAnsi="Times New Roman" w:cstheme="majorBidi"/>
      <w:b/>
      <w:bCs/>
      <w:i/>
    </w:rPr>
  </w:style>
  <w:style w:type="paragraph" w:styleId="berschrift5">
    <w:name w:val="heading 5"/>
    <w:basedOn w:val="Standard"/>
    <w:next w:val="Textkrper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4"/>
    </w:pPr>
    <w:rPr>
      <w:rFonts w:ascii="Times New Roman" w:eastAsiaTheme="majorEastAsia" w:hAnsi="Times New Roman" w:cstheme="majorBidi"/>
      <w:i/>
      <w:iCs/>
    </w:rPr>
  </w:style>
  <w:style w:type="paragraph" w:styleId="berschrift6">
    <w:name w:val="heading 6"/>
    <w:basedOn w:val="Standard"/>
    <w:next w:val="Textkrpe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link w:val="TextkrperZchn"/>
    <w:qFormat/>
    <w:rsid w:val="001272F2"/>
    <w:pPr>
      <w:spacing w:before="180" w:after="240" w:line="480" w:lineRule="auto"/>
      <w:ind w:firstLine="680"/>
    </w:pPr>
    <w:rPr>
      <w:rFonts w:ascii="Times New Roman" w:hAnsi="Times New Roman"/>
    </w:rPr>
  </w:style>
  <w:style w:type="paragraph" w:customStyle="1" w:styleId="FirstParagraph">
    <w:name w:val="First Paragraph"/>
    <w:basedOn w:val="Textkrper"/>
    <w:next w:val="Textkrper"/>
    <w:qFormat/>
  </w:style>
  <w:style w:type="paragraph" w:customStyle="1" w:styleId="Compact">
    <w:name w:val="Compact"/>
    <w:basedOn w:val="Textkrper"/>
    <w:qFormat/>
    <w:rsid w:val="00331F8D"/>
    <w:pPr>
      <w:spacing w:before="36" w:after="36"/>
      <w:ind w:firstLine="0"/>
    </w:pPr>
  </w:style>
  <w:style w:type="paragraph" w:styleId="Titel">
    <w:name w:val="Title"/>
    <w:basedOn w:val="Standard"/>
    <w:next w:val="Textkrper"/>
    <w:qFormat/>
    <w:rsid w:val="00B75796"/>
    <w:pPr>
      <w:keepNext/>
      <w:keepLines/>
      <w:pageBreakBefore/>
      <w:spacing w:before="480" w:after="240" w:line="480" w:lineRule="auto"/>
      <w:jc w:val="center"/>
    </w:pPr>
    <w:rPr>
      <w:rFonts w:ascii="Times New Roman" w:eastAsiaTheme="majorEastAsia" w:hAnsi="Times New Roman" w:cstheme="majorBidi"/>
      <w:bCs/>
      <w:szCs w:val="36"/>
    </w:rPr>
  </w:style>
  <w:style w:type="paragraph" w:styleId="Untertitel">
    <w:name w:val="Subtitle"/>
    <w:basedOn w:val="Titel"/>
    <w:next w:val="Textkrper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krper"/>
    <w:qFormat/>
    <w:rsid w:val="003C3842"/>
    <w:pPr>
      <w:keepNext/>
      <w:keepLines/>
      <w:spacing w:line="480" w:lineRule="auto"/>
      <w:jc w:val="center"/>
    </w:pPr>
    <w:rPr>
      <w:rFonts w:ascii="Times New Roman" w:hAnsi="Times New Roman"/>
    </w:rPr>
  </w:style>
  <w:style w:type="paragraph" w:styleId="Datum">
    <w:name w:val="Date"/>
    <w:next w:val="Textkrper"/>
    <w:qFormat/>
    <w:rsid w:val="001272F2"/>
    <w:pPr>
      <w:keepNext/>
      <w:keepLines/>
      <w:spacing w:line="480" w:lineRule="auto"/>
      <w:jc w:val="center"/>
    </w:pPr>
    <w:rPr>
      <w:rFonts w:ascii="Times New Roman" w:hAnsi="Times New Roman"/>
    </w:rPr>
  </w:style>
  <w:style w:type="paragraph" w:customStyle="1" w:styleId="Abstract">
    <w:name w:val="Abstract"/>
    <w:basedOn w:val="Standard"/>
    <w:next w:val="Textkrper"/>
    <w:qFormat/>
    <w:rsid w:val="001272F2"/>
    <w:pPr>
      <w:keepNext/>
      <w:keepLines/>
      <w:spacing w:before="300" w:after="300" w:line="480" w:lineRule="auto"/>
    </w:pPr>
    <w:rPr>
      <w:rFonts w:ascii="Times New Roman" w:hAnsi="Times New Roman"/>
      <w:szCs w:val="20"/>
    </w:rPr>
  </w:style>
  <w:style w:type="paragraph" w:styleId="Literaturverzeichnis">
    <w:name w:val="Bibliography"/>
    <w:basedOn w:val="Standard"/>
    <w:qFormat/>
    <w:rsid w:val="001272F2"/>
    <w:pPr>
      <w:spacing w:line="480" w:lineRule="auto"/>
      <w:ind w:left="680" w:hanging="680"/>
    </w:pPr>
    <w:rPr>
      <w:rFonts w:ascii="Times New Roman" w:hAnsi="Times New Roman"/>
    </w:rPr>
  </w:style>
  <w:style w:type="paragraph" w:styleId="Blocktext">
    <w:name w:val="Block Text"/>
    <w:basedOn w:val="Textkrper"/>
    <w:next w:val="Textkrper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unotentext">
    <w:name w:val="footnote text"/>
    <w:basedOn w:val="Standard"/>
    <w:uiPriority w:val="9"/>
    <w:unhideWhenUsed/>
    <w:qFormat/>
    <w:rsid w:val="001272F2"/>
    <w:pPr>
      <w:spacing w:line="480" w:lineRule="auto"/>
    </w:pPr>
    <w:rPr>
      <w:rFonts w:ascii="Times New Roman" w:hAnsi="Times New Roman"/>
    </w:rPr>
  </w:style>
  <w:style w:type="paragraph" w:customStyle="1" w:styleId="DefinitionTerm">
    <w:name w:val="Definition Term"/>
    <w:basedOn w:val="Standard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Standard"/>
  </w:style>
  <w:style w:type="paragraph" w:styleId="Beschriftung">
    <w:name w:val="caption"/>
    <w:basedOn w:val="Standard"/>
    <w:link w:val="BeschriftungZchn"/>
    <w:pPr>
      <w:spacing w:after="120"/>
    </w:pPr>
    <w:rPr>
      <w:i/>
    </w:rPr>
  </w:style>
  <w:style w:type="paragraph" w:customStyle="1" w:styleId="TableCaption">
    <w:name w:val="Table Caption"/>
    <w:basedOn w:val="Beschriftung"/>
    <w:rsid w:val="001272F2"/>
    <w:pPr>
      <w:keepNext/>
      <w:spacing w:after="0" w:line="480" w:lineRule="auto"/>
    </w:pPr>
    <w:rPr>
      <w:rFonts w:ascii="Times New Roman" w:hAnsi="Times New Roman"/>
    </w:rPr>
  </w:style>
  <w:style w:type="paragraph" w:customStyle="1" w:styleId="ImageCaption">
    <w:name w:val="Image Caption"/>
    <w:basedOn w:val="Beschriftung"/>
    <w:rsid w:val="003C3842"/>
    <w:pPr>
      <w:spacing w:line="480" w:lineRule="auto"/>
    </w:pPr>
    <w:rPr>
      <w:rFonts w:ascii="Times New Roman" w:hAnsi="Times New Roman"/>
      <w:i w:val="0"/>
    </w:rPr>
  </w:style>
  <w:style w:type="paragraph" w:customStyle="1" w:styleId="Figure">
    <w:name w:val="Figure"/>
    <w:basedOn w:val="Standard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eschriftungZchn">
    <w:name w:val="Beschriftung Zchn"/>
    <w:basedOn w:val="Absatz-Standardschriftart"/>
    <w:link w:val="Beschriftung"/>
  </w:style>
  <w:style w:type="character" w:customStyle="1" w:styleId="VerbatimChar">
    <w:name w:val="Verbatim Char"/>
    <w:basedOn w:val="BeschriftungZchn"/>
    <w:link w:val="SourceCode"/>
    <w:rPr>
      <w:rFonts w:ascii="Consolas" w:hAnsi="Consolas"/>
      <w:sz w:val="22"/>
    </w:rPr>
  </w:style>
  <w:style w:type="character" w:styleId="Funotenzeichen">
    <w:name w:val="footnote reference"/>
    <w:basedOn w:val="BeschriftungZchn"/>
    <w:rPr>
      <w:vertAlign w:val="superscript"/>
    </w:rPr>
  </w:style>
  <w:style w:type="character" w:styleId="Hyperlink">
    <w:name w:val="Hyperlink"/>
    <w:basedOn w:val="BeschriftungZchn"/>
    <w:rsid w:val="007D3543"/>
    <w:rPr>
      <w:color w:val="4F81BD" w:themeColor="accent1"/>
    </w:rPr>
  </w:style>
  <w:style w:type="paragraph" w:styleId="Inhaltsverzeichnisberschrift">
    <w:name w:val="TOC Heading"/>
    <w:basedOn w:val="berschrift1"/>
    <w:next w:val="Textkrper"/>
    <w:uiPriority w:val="39"/>
    <w:unhideWhenUsed/>
    <w:qFormat/>
    <w:rsid w:val="001272F2"/>
    <w:pPr>
      <w:spacing w:before="240"/>
      <w:outlineLvl w:val="9"/>
    </w:pPr>
    <w:rPr>
      <w:bCs w:val="0"/>
    </w:rPr>
  </w:style>
  <w:style w:type="paragraph" w:customStyle="1" w:styleId="SourceCode">
    <w:name w:val="Source Code"/>
    <w:basedOn w:val="Standard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Sprechblasentext">
    <w:name w:val="Balloon Text"/>
    <w:basedOn w:val="Standard"/>
    <w:link w:val="SprechblasentextZchn"/>
    <w:rsid w:val="00AC3650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AC3650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45C3D"/>
    <w:rPr>
      <w:rFonts w:ascii="Times New Roman" w:eastAsiaTheme="majorEastAsia" w:hAnsi="Times New Roman" w:cstheme="majorBidi"/>
      <w:b/>
      <w:bCs/>
      <w:szCs w:val="32"/>
    </w:rPr>
  </w:style>
  <w:style w:type="character" w:customStyle="1" w:styleId="TextkrperZchn">
    <w:name w:val="Textkörper Zchn"/>
    <w:basedOn w:val="Absatz-Standardschriftart"/>
    <w:link w:val="Textkrper"/>
    <w:rsid w:val="001272F2"/>
    <w:rPr>
      <w:rFonts w:ascii="Times New Roman" w:hAnsi="Times New Roman"/>
    </w:rPr>
  </w:style>
  <w:style w:type="paragraph" w:styleId="Zitat">
    <w:name w:val="Quote"/>
    <w:basedOn w:val="Standard"/>
    <w:next w:val="Standard"/>
    <w:link w:val="ZitatZchn"/>
    <w:rsid w:val="001272F2"/>
    <w:pPr>
      <w:spacing w:after="0" w:line="480" w:lineRule="auto"/>
      <w:ind w:left="680"/>
    </w:pPr>
    <w:rPr>
      <w:rFonts w:ascii="Times New Roman" w:hAnsi="Times New Roman"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rsid w:val="001272F2"/>
    <w:rPr>
      <w:rFonts w:ascii="Times New Roman" w:hAnsi="Times New Roman"/>
      <w:iCs/>
      <w:color w:val="000000" w:themeColor="text1"/>
    </w:rPr>
  </w:style>
  <w:style w:type="character" w:styleId="Seitenzahl">
    <w:name w:val="page number"/>
    <w:basedOn w:val="Absatz-Standardschriftart"/>
    <w:rsid w:val="001272F2"/>
    <w:rPr>
      <w:rFonts w:ascii="Times New Roman" w:hAnsi="Times New Roman"/>
      <w:sz w:val="24"/>
    </w:rPr>
  </w:style>
  <w:style w:type="paragraph" w:styleId="Kopfzeile">
    <w:name w:val="header"/>
    <w:basedOn w:val="Standard"/>
    <w:link w:val="KopfzeileZchn"/>
    <w:rsid w:val="001272F2"/>
    <w:pPr>
      <w:tabs>
        <w:tab w:val="center" w:pos="4703"/>
        <w:tab w:val="right" w:pos="9406"/>
      </w:tabs>
      <w:spacing w:after="0" w:line="480" w:lineRule="auto"/>
    </w:pPr>
    <w:rPr>
      <w:rFonts w:ascii="Times New Roman" w:hAnsi="Times New Roman"/>
    </w:rPr>
  </w:style>
  <w:style w:type="character" w:customStyle="1" w:styleId="KopfzeileZchn">
    <w:name w:val="Kopfzeile Zchn"/>
    <w:basedOn w:val="Absatz-Standardschriftart"/>
    <w:link w:val="Kopfzeile"/>
    <w:rsid w:val="001272F2"/>
    <w:rPr>
      <w:rFonts w:ascii="Times New Roman" w:hAnsi="Times New Roman"/>
    </w:rPr>
  </w:style>
  <w:style w:type="paragraph" w:styleId="Abbildungsverzeichnis">
    <w:name w:val="table of figures"/>
    <w:basedOn w:val="Standard"/>
    <w:next w:val="Standard"/>
    <w:rsid w:val="001272F2"/>
    <w:pPr>
      <w:spacing w:after="0" w:line="480" w:lineRule="auto"/>
    </w:pPr>
    <w:rPr>
      <w:rFonts w:ascii="Times New Roman" w:hAnsi="Times New Roman"/>
    </w:rPr>
  </w:style>
  <w:style w:type="paragraph" w:customStyle="1" w:styleId="h1-pagebreak">
    <w:name w:val="h1-pagebreak"/>
    <w:basedOn w:val="berschrift1"/>
    <w:qFormat/>
    <w:rsid w:val="00CC4DBE"/>
    <w:pPr>
      <w:pageBreakBefore/>
    </w:pPr>
  </w:style>
  <w:style w:type="table" w:styleId="Tabellenraster">
    <w:name w:val="Table Grid"/>
    <w:basedOn w:val="NormaleTabelle"/>
    <w:rsid w:val="007407D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">
    <w:name w:val="Table"/>
    <w:basedOn w:val="NormaleTabelle"/>
    <w:uiPriority w:val="99"/>
    <w:rsid w:val="007407D0"/>
    <w:pPr>
      <w:spacing w:after="0"/>
    </w:p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tblPr/>
      <w:tcPr>
        <w:tcBorders>
          <w:bottom w:val="single" w:sz="8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3" Target="media/rId2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Untitled</vt:lpstr>
    </vt:vector>
  </TitlesOfParts>
  <Company/>
  <LinksUpToDate>false</LinksUpToDate>
  <CharactersWithSpaces>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2019-08-19T13:58:48Z</dcterms:created>
  <dcterms:modified xsi:type="dcterms:W3CDTF">2019-08-19T13:58:48Z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">
    <vt:lpwstr/>
  </property>
  <property fmtid="{D5CDD505-2E9C-101B-9397-08002B2CF9AE}" pid="3" name="bibliography">
    <vt:lpwstr>r-references.bib</vt:lpwstr>
  </property>
  <property fmtid="{D5CDD505-2E9C-101B-9397-08002B2CF9AE}" pid="4" name="classoption">
    <vt:lpwstr>man</vt:lpwstr>
  </property>
  <property fmtid="{D5CDD505-2E9C-101B-9397-08002B2CF9AE}" pid="5" name="csl">
    <vt:lpwstr>/Library/Frameworks/R.framework/Versions/3.6/Resources/library/papaja/rmd/apa6.csl</vt:lpwstr>
  </property>
  <property fmtid="{D5CDD505-2E9C-101B-9397-08002B2CF9AE}" pid="6" name="documentclass">
    <vt:lpwstr>apa6</vt:lpwstr>
  </property>
  <property fmtid="{D5CDD505-2E9C-101B-9397-08002B2CF9AE}" pid="7" name="draft">
    <vt:lpwstr>yes</vt:lpwstr>
  </property>
  <property fmtid="{D5CDD505-2E9C-101B-9397-08002B2CF9AE}" pid="8" name="figurelist">
    <vt:lpwstr>yes</vt:lpwstr>
  </property>
  <property fmtid="{D5CDD505-2E9C-101B-9397-08002B2CF9AE}" pid="9" name="floatsintext">
    <vt:lpwstr>yes</vt:lpwstr>
  </property>
  <property fmtid="{D5CDD505-2E9C-101B-9397-08002B2CF9AE}" pid="10" name="footnotelist">
    <vt:lpwstr>yes</vt:lpwstr>
  </property>
  <property fmtid="{D5CDD505-2E9C-101B-9397-08002B2CF9AE}" pid="11" name="linenumbers">
    <vt:lpwstr>yes</vt:lpwstr>
  </property>
  <property fmtid="{D5CDD505-2E9C-101B-9397-08002B2CF9AE}" pid="12" name="mask">
    <vt:lpwstr>yes</vt:lpwstr>
  </property>
  <property fmtid="{D5CDD505-2E9C-101B-9397-08002B2CF9AE}" pid="13" name="output">
    <vt:lpwstr>papaja::apa6_word</vt:lpwstr>
  </property>
  <property fmtid="{D5CDD505-2E9C-101B-9397-08002B2CF9AE}" pid="14" name="tablelist">
    <vt:lpwstr>yes</vt:lpwstr>
  </property>
  <property fmtid="{D5CDD505-2E9C-101B-9397-08002B2CF9AE}" pid="15" name="wordcount">
    <vt:lpwstr/>
  </property>
</Properties>
</file>