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berschrift1"/>
      </w:pPr>
      <w:bookmarkStart w:id="20" w:name="X70c1bd27defbd13fdce34f7a48bcab235aa677e"/>
      <w:r>
        <w:t xml:space="preserve">Language learning article (stress and working memory with natives, late advanced learners and interpreters)</w:t>
      </w:r>
      <w:bookmarkEnd w:id="20"/>
    </w:p>
    <w:p>
      <w:pPr>
        <w:pStyle w:val="berschrift1"/>
      </w:pPr>
      <w:bookmarkStart w:id="21" w:name="plots"/>
      <w:r>
        <w:t xml:space="preserve">Plots</w:t>
      </w:r>
      <w:bookmarkEnd w:id="21"/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1: Growth curve estimates of target fixations as a function of lexical stress and syllable structure and working memory for each group during the analysis window. Lines represent model estimates at -1, 0, and 1 standard deviations of working memory. The transparent ribbons represents ±SE. Empirical logit values on the y-axis correspond to proportions of 0.12, 0.50, 0.88, and 0.98. The thick horizontal white line represents the 50% probability of fixating on the target. The thick vertical white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lang_learn/stress_p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Growth curve estimates of target fixations as a function of lexical stress and syllable structure and working memory for each group during the analysis window. Lines represent model estimates at -1, 0, and 1 standard deviations of working memory. The transparent ribbons represents ±SE. Empirical logit values on the y-axis correspond to proportions of 0.12, 0.50, 0.88, and 0.98. The thick horizontal white line represents the 50% probability of fixating on the target. The thick vertical white line indicates 200 ms after the offset of the target syllable.</w:t>
      </w:r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2: Growth curve estimates of target fixations as a function of lexical stress and syllable structure for each group during the analysis window. Symbols and lines represent model estimates at mean working memory, and the transparent ribbons represents ±SE. Empirical logit values on the y-axis correspond to proportions of 0.12, 0.50, 0.88, and 0.98. The thick horizontal white line represents the 50% probability of fixating on the target. The thick vertical white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lang_learn/stress_p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Growth curve estimates of target fixations as a function of lexical stress and syllable structure for each group during the analysis window. Symbols and lines represent model estimates at mean working memory, and the transparent ribbons represents ±SE. Empirical logit values on the y-axis correspond to proportions of 0.12, 0.50, 0.88, and 0.98. The thick horizontal white line represents the 50% probability of fixating on the target. The thick vertical white line indicates 200 ms after the offset of the target syllable.</w:t>
      </w:r>
    </w:p>
    <w:p>
      <w:pPr>
        <w:pStyle w:val="berschrift1"/>
      </w:pPr>
      <w:bookmarkStart w:id="24" w:name="tables"/>
      <w:r>
        <w:t xml:space="preserve">Tables</w:t>
      </w:r>
      <w:bookmarkEnd w:id="24"/>
    </w:p>
    <w:p>
      <w:pPr>
        <w:pStyle w:val="berschrift2"/>
      </w:pPr>
      <w:bookmarkStart w:id="25" w:name="X9b2b96a316890a159a0f403610d5494f12cefd4"/>
      <w:r>
        <w:t xml:space="preserve">Model estimates at target syllable offset</w:t>
      </w:r>
      <w:bookmarkEnd w:id="2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584"/>
        <w:gridCol w:w="1872"/>
        <w:gridCol w:w="1584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Group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Lexical stress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Syllable structure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Probability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LB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UB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0.877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0.879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0.921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NIN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0.813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0.857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0.637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0.799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0.802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0.791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0.722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0.847</w:t>
            </w:r>
          </w:p>
        </w:tc>
      </w:tr>
    </w:tbl>
    <w:p>
      <w:pPr>
        <w:pStyle w:val="FirstParagraph"/>
      </w:pPr>
      <w:r>
        <w:rPr>
          <w:i/>
        </w:rPr>
        <w:t xml:space="preserve">Table 1</w:t>
      </w:r>
      <w:r>
        <w:t xml:space="preserve">: Model estimates at mean working memory for probability of target fixations ±SE at 200 ms after the target syllable offset.</w:t>
      </w:r>
    </w:p>
    <w:p>
      <w:pPr>
        <w:pStyle w:val="berschrift2"/>
      </w:pPr>
      <w:bookmarkStart w:id="26" w:name="fixed-effects"/>
      <w:r>
        <w:t xml:space="preserve">Fixed effects</w:t>
      </w:r>
      <w:bookmarkEnd w:id="2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Intercept (</w:t>
            </w:r>
            <w:r>
              <w:t xml:space="preserve">γ</w:t>
            </w:r>
            <w:r>
              <w:rPr>
                <w:vertAlign w:val="subscript"/>
              </w:rPr>
              <w:t xml:space="preserve">00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1.174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  <w:tc>
          <w:p>
            <w:pPr>
              <w:pStyle w:val="Compact"/>
              <w:jc w:val="right"/>
            </w:pPr>
            <w:r>
              <w:t xml:space="preserve">5.483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10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5.413</w:t>
            </w:r>
          </w:p>
        </w:tc>
        <w:tc>
          <w:p>
            <w:pPr>
              <w:pStyle w:val="Compact"/>
              <w:jc w:val="right"/>
            </w:pPr>
            <w:r>
              <w:t xml:space="preserve">0.746</w:t>
            </w:r>
          </w:p>
        </w:tc>
        <w:tc>
          <w:p>
            <w:pPr>
              <w:pStyle w:val="Compact"/>
              <w:jc w:val="right"/>
            </w:pPr>
            <w:r>
              <w:t xml:space="preserve">7.253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20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−1.374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  <w:tc>
          <w:p>
            <w:pPr>
              <w:pStyle w:val="Compact"/>
              <w:jc w:val="right"/>
            </w:pPr>
            <w:r>
              <w:t xml:space="preserve">−3.470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30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−1.666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  <w:tc>
          <w:p>
            <w:pPr>
              <w:pStyle w:val="Compact"/>
              <w:jc w:val="right"/>
            </w:pPr>
            <w:r>
              <w:t xml:space="preserve">−5.614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01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−0.191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−1.822</w:t>
            </w:r>
          </w:p>
        </w:tc>
        <w:tc>
          <w:p>
            <w:pPr>
              <w:pStyle w:val="Compact"/>
              <w:jc w:val="right"/>
            </w:pPr>
            <w:r>
              <w:t xml:space="preserve">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11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0.831</w:t>
            </w:r>
          </w:p>
        </w:tc>
        <w:tc>
          <w:p>
            <w:pPr>
              <w:pStyle w:val="Compact"/>
              <w:jc w:val="right"/>
            </w:pPr>
            <w:r>
              <w:t xml:space="preserve">0.374</w:t>
            </w:r>
          </w:p>
        </w:tc>
        <w:tc>
          <w:p>
            <w:pPr>
              <w:pStyle w:val="Compact"/>
              <w:jc w:val="right"/>
            </w:pPr>
            <w:r>
              <w:t xml:space="preserve">2.223</w:t>
            </w:r>
          </w:p>
        </w:tc>
        <w:tc>
          <w:p>
            <w:pPr>
              <w:pStyle w:val="Compact"/>
              <w:jc w:val="right"/>
            </w:pPr>
            <w:r>
              <w:t xml:space="preserve">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21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0.434</w:t>
            </w:r>
          </w:p>
        </w:tc>
        <w:tc>
          <w:p>
            <w:pPr>
              <w:pStyle w:val="Compact"/>
              <w:jc w:val="right"/>
            </w:pPr>
            <w:r>
              <w:t xml:space="preserve">0.241</w:t>
            </w:r>
          </w:p>
        </w:tc>
        <w:tc>
          <w:p>
            <w:pPr>
              <w:pStyle w:val="Compact"/>
              <w:jc w:val="right"/>
            </w:pPr>
            <w:r>
              <w:t xml:space="preserve">1.805</w:t>
            </w:r>
          </w:p>
        </w:tc>
        <w:tc>
          <w:p>
            <w:pPr>
              <w:pStyle w:val="Compact"/>
              <w:jc w:val="right"/>
            </w:pPr>
            <w:r>
              <w:t xml:space="preserve">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31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−0.252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−1.565</w:t>
            </w:r>
          </w:p>
        </w:tc>
        <w:tc>
          <w:p>
            <w:pPr>
              <w:pStyle w:val="Compact"/>
              <w:jc w:val="right"/>
            </w:pPr>
            <w:r>
              <w:t xml:space="preserve">.118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−0.116</w:t>
            </w:r>
          </w:p>
        </w:tc>
        <w:tc>
          <w:p>
            <w:pPr>
              <w:pStyle w:val="Compact"/>
              <w:jc w:val="right"/>
            </w:pPr>
            <w:r>
              <w:t xml:space="preserve">0.136</w:t>
            </w:r>
          </w:p>
        </w:tc>
        <w:tc>
          <w:p>
            <w:pPr>
              <w:pStyle w:val="Compact"/>
              <w:jc w:val="right"/>
            </w:pPr>
            <w:r>
              <w:t xml:space="preserve">−0.853</w:t>
            </w:r>
          </w:p>
        </w:tc>
        <w:tc>
          <w:p>
            <w:pPr>
              <w:pStyle w:val="Compact"/>
              <w:jc w:val="right"/>
            </w:pPr>
            <w:r>
              <w:t xml:space="preserve">.394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−0.215</w:t>
            </w:r>
          </w:p>
        </w:tc>
        <w:tc>
          <w:p>
            <w:pPr>
              <w:pStyle w:val="Compact"/>
              <w:jc w:val="right"/>
            </w:pPr>
            <w:r>
              <w:t xml:space="preserve">0.374</w:t>
            </w:r>
          </w:p>
        </w:tc>
        <w:tc>
          <w:p>
            <w:pPr>
              <w:pStyle w:val="Compact"/>
              <w:jc w:val="right"/>
            </w:pPr>
            <w:r>
              <w:t xml:space="preserve">−0.575</w:t>
            </w:r>
          </w:p>
        </w:tc>
        <w:tc>
          <w:p>
            <w:pPr>
              <w:pStyle w:val="Compact"/>
              <w:jc w:val="right"/>
            </w:pPr>
            <w:r>
              <w:t xml:space="preserve">.565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0.605</w:t>
            </w:r>
          </w:p>
        </w:tc>
        <w:tc>
          <w:p>
            <w:pPr>
              <w:pStyle w:val="Compact"/>
              <w:jc w:val="right"/>
            </w:pPr>
            <w:r>
              <w:t xml:space="preserve">0.241</w:t>
            </w:r>
          </w:p>
        </w:tc>
        <w:tc>
          <w:p>
            <w:pPr>
              <w:pStyle w:val="Compact"/>
              <w:jc w:val="right"/>
            </w:pPr>
            <w:r>
              <w:t xml:space="preserve">2.516</w:t>
            </w:r>
          </w:p>
        </w:tc>
        <w:tc>
          <w:p>
            <w:pPr>
              <w:pStyle w:val="Compact"/>
              <w:jc w:val="right"/>
            </w:pPr>
            <w:r>
              <w:t xml:space="preserve">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−0.577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−3.587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NIN (</w:t>
            </w:r>
            <w:r>
              <w:t xml:space="preserve">γ</w:t>
            </w:r>
            <w:r>
              <w:rPr>
                <w:vertAlign w:val="subscript"/>
              </w:rPr>
              <w:t xml:space="preserve">03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−0.078</w:t>
            </w:r>
          </w:p>
        </w:tc>
        <w:tc>
          <w:p>
            <w:pPr>
              <w:pStyle w:val="Compact"/>
              <w:jc w:val="right"/>
            </w:pPr>
            <w:r>
              <w:t xml:space="preserve">0.276</w:t>
            </w:r>
          </w:p>
        </w:tc>
        <w:tc>
          <w:p>
            <w:pPr>
              <w:pStyle w:val="Compact"/>
              <w:jc w:val="right"/>
            </w:pPr>
            <w:r>
              <w:t xml:space="preserve">−0.284</w:t>
            </w:r>
          </w:p>
        </w:tc>
        <w:tc>
          <w:p>
            <w:pPr>
              <w:pStyle w:val="Compact"/>
              <w:jc w:val="right"/>
            </w:pPr>
            <w:r>
              <w:t xml:space="preserve">.777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13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0.456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0.493</w:t>
            </w:r>
          </w:p>
        </w:tc>
        <w:tc>
          <w:p>
            <w:pPr>
              <w:pStyle w:val="Compact"/>
              <w:jc w:val="right"/>
            </w:pPr>
            <w:r>
              <w:t xml:space="preserve">.622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23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1.828</w:t>
            </w:r>
          </w:p>
        </w:tc>
        <w:tc>
          <w:p>
            <w:pPr>
              <w:pStyle w:val="Compact"/>
              <w:jc w:val="right"/>
            </w:pPr>
            <w:r>
              <w:t xml:space="preserve">0.470</w:t>
            </w:r>
          </w:p>
        </w:tc>
        <w:tc>
          <w:p>
            <w:pPr>
              <w:pStyle w:val="Compact"/>
              <w:jc w:val="right"/>
            </w:pPr>
            <w:r>
              <w:t xml:space="preserve">3.888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33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  <w:tc>
          <w:p>
            <w:pPr>
              <w:pStyle w:val="Compact"/>
              <w:jc w:val="right"/>
            </w:pPr>
            <w:r>
              <w:t xml:space="preserve">0.384</w:t>
            </w:r>
          </w:p>
        </w:tc>
        <w:tc>
          <w:p>
            <w:pPr>
              <w:pStyle w:val="Compact"/>
              <w:jc w:val="right"/>
            </w:pPr>
            <w:r>
              <w:t xml:space="preserve">0.345</w:t>
            </w:r>
          </w:p>
        </w:tc>
        <w:tc>
          <w:p>
            <w:pPr>
              <w:pStyle w:val="Compact"/>
              <w:jc w:val="right"/>
            </w:pPr>
            <w:r>
              <w:t xml:space="preserve">.730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IN (</w:t>
            </w:r>
            <w:r>
              <w:t xml:space="preserve">γ</w:t>
            </w:r>
            <w:r>
              <w:rPr>
                <w:vertAlign w:val="subscript"/>
              </w:rPr>
              <w:t xml:space="preserve">04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−0.227</w:t>
            </w:r>
          </w:p>
        </w:tc>
        <w:tc>
          <w:p>
            <w:pPr>
              <w:pStyle w:val="Compact"/>
              <w:jc w:val="right"/>
            </w:pPr>
            <w:r>
              <w:t xml:space="preserve">0.282</w:t>
            </w:r>
          </w:p>
        </w:tc>
        <w:tc>
          <w:p>
            <w:pPr>
              <w:pStyle w:val="Compact"/>
              <w:jc w:val="right"/>
            </w:pPr>
            <w:r>
              <w:t xml:space="preserve">−0.804</w:t>
            </w:r>
          </w:p>
        </w:tc>
        <w:tc>
          <w:p>
            <w:pPr>
              <w:pStyle w:val="Compact"/>
              <w:jc w:val="right"/>
            </w:pPr>
            <w:r>
              <w:t xml:space="preserve">.421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14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.337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24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1.624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3.384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34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.965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−0.029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right"/>
            </w:pPr>
            <w:r>
              <w:t xml:space="preserve">−0.289</w:t>
            </w:r>
          </w:p>
        </w:tc>
        <w:tc>
          <w:p>
            <w:pPr>
              <w:pStyle w:val="Compact"/>
              <w:jc w:val="right"/>
            </w:pPr>
            <w:r>
              <w:t xml:space="preserve">.773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−0.111</w:t>
            </w:r>
          </w:p>
        </w:tc>
        <w:tc>
          <w:p>
            <w:pPr>
              <w:pStyle w:val="Compact"/>
              <w:jc w:val="right"/>
            </w:pPr>
            <w:r>
              <w:t xml:space="preserve">0.409</w:t>
            </w:r>
          </w:p>
        </w:tc>
        <w:tc>
          <w:p>
            <w:pPr>
              <w:pStyle w:val="Compact"/>
              <w:jc w:val="right"/>
            </w:pPr>
            <w:r>
              <w:t xml:space="preserve">−0.271</w:t>
            </w:r>
          </w:p>
        </w:tc>
        <w:tc>
          <w:p>
            <w:pPr>
              <w:pStyle w:val="Compact"/>
              <w:jc w:val="right"/>
            </w:pPr>
            <w:r>
              <w:t xml:space="preserve">.787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  <w:tc>
          <w:p>
            <w:pPr>
              <w:pStyle w:val="Compact"/>
              <w:jc w:val="right"/>
            </w:pPr>
            <w:r>
              <w:t xml:space="preserve">0.289</w:t>
            </w:r>
          </w:p>
        </w:tc>
        <w:tc>
          <w:p>
            <w:pPr>
              <w:pStyle w:val="Compact"/>
              <w:jc w:val="right"/>
            </w:pPr>
            <w:r>
              <w:t xml:space="preserve">0.380</w:t>
            </w:r>
          </w:p>
        </w:tc>
        <w:tc>
          <w:p>
            <w:pPr>
              <w:pStyle w:val="Compact"/>
              <w:jc w:val="right"/>
            </w:pPr>
            <w:r>
              <w:t xml:space="preserve">.704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−0.492</w:t>
            </w:r>
          </w:p>
        </w:tc>
        <w:tc>
          <w:p>
            <w:pPr>
              <w:pStyle w:val="Compact"/>
              <w:jc w:val="right"/>
            </w:pPr>
            <w:r>
              <w:t xml:space="preserve">0.226</w:t>
            </w:r>
          </w:p>
        </w:tc>
        <w:tc>
          <w:p>
            <w:pPr>
              <w:pStyle w:val="Compact"/>
              <w:jc w:val="right"/>
            </w:pPr>
            <w:r>
              <w:t xml:space="preserve">−2.179</w:t>
            </w:r>
          </w:p>
        </w:tc>
        <w:tc>
          <w:p>
            <w:pPr>
              <w:pStyle w:val="Compact"/>
              <w:jc w:val="right"/>
            </w:pPr>
            <w:r>
              <w:t xml:space="preserve">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Lexical stress × Working memory (</w:t>
            </w:r>
            <w:r>
              <w:t xml:space="preserve">γ</w:t>
            </w:r>
            <w:r>
              <w:rPr>
                <w:vertAlign w:val="subscript"/>
              </w:rPr>
              <w:t xml:space="preserve">06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.632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Lexical stress × Working memory (</w:t>
            </w:r>
            <w:r>
              <w:t xml:space="preserve">γ</w:t>
            </w:r>
            <w:r>
              <w:rPr>
                <w:vertAlign w:val="subscript"/>
              </w:rPr>
              <w:t xml:space="preserve">16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0.263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2.347</w:t>
            </w:r>
          </w:p>
        </w:tc>
        <w:tc>
          <w:p>
            <w:pPr>
              <w:pStyle w:val="Compact"/>
              <w:jc w:val="right"/>
            </w:pPr>
            <w:r>
              <w:t xml:space="preserve">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Lexical stress × Working memory (</w:t>
            </w:r>
            <w:r>
              <w:t xml:space="preserve">γ</w:t>
            </w:r>
            <w:r>
              <w:rPr>
                <w:vertAlign w:val="subscript"/>
              </w:rPr>
              <w:t xml:space="preserve">26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−0.264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−2.364</w:t>
            </w:r>
          </w:p>
        </w:tc>
        <w:tc>
          <w:p>
            <w:pPr>
              <w:pStyle w:val="Compact"/>
              <w:jc w:val="right"/>
            </w:pPr>
            <w:r>
              <w:t xml:space="preserve">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Lexical stress × Working memory (</w:t>
            </w:r>
            <w:r>
              <w:t xml:space="preserve">γ</w:t>
            </w:r>
            <w:r>
              <w:rPr>
                <w:vertAlign w:val="subscript"/>
              </w:rPr>
              <w:t xml:space="preserve">36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−0.032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−0.289</w:t>
            </w:r>
          </w:p>
        </w:tc>
        <w:tc>
          <w:p>
            <w:pPr>
              <w:pStyle w:val="Compact"/>
              <w:jc w:val="right"/>
            </w:pPr>
            <w:r>
              <w:t xml:space="preserve">.772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Working memory (</w:t>
            </w:r>
            <w:r>
              <w:t xml:space="preserve">γ</w:t>
            </w:r>
            <w:r>
              <w:rPr>
                <w:vertAlign w:val="subscript"/>
              </w:rPr>
              <w:t xml:space="preserve">07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−0.003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p>
            <w:pPr>
              <w:pStyle w:val="Compact"/>
              <w:jc w:val="right"/>
            </w:pPr>
            <w:r>
              <w:t xml:space="preserve">−0.052</w:t>
            </w:r>
          </w:p>
        </w:tc>
        <w:tc>
          <w:p>
            <w:pPr>
              <w:pStyle w:val="Compact"/>
              <w:jc w:val="right"/>
            </w:pPr>
            <w:r>
              <w:t xml:space="preserve">.958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Working memory (</w:t>
            </w:r>
            <w:r>
              <w:t xml:space="preserve">γ</w:t>
            </w:r>
            <w:r>
              <w:rPr>
                <w:vertAlign w:val="subscript"/>
              </w:rPr>
              <w:t xml:space="preserve">17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0.231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  <w:tc>
          <w:p>
            <w:pPr>
              <w:pStyle w:val="Compact"/>
              <w:jc w:val="right"/>
            </w:pPr>
            <w:r>
              <w:t xml:space="preserve">2.041</w:t>
            </w:r>
          </w:p>
        </w:tc>
        <w:tc>
          <w:p>
            <w:pPr>
              <w:pStyle w:val="Compact"/>
              <w:jc w:val="right"/>
            </w:pPr>
            <w:r>
              <w:t xml:space="preserve">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Working memory (</w:t>
            </w:r>
            <w:r>
              <w:t xml:space="preserve">γ</w:t>
            </w:r>
            <w:r>
              <w:rPr>
                <w:vertAlign w:val="subscript"/>
              </w:rPr>
              <w:t xml:space="preserve">27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right"/>
            </w:pPr>
            <w:r>
              <w:t xml:space="preserve">.499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Working memory (</w:t>
            </w:r>
            <w:r>
              <w:t xml:space="preserve">γ</w:t>
            </w:r>
            <w:r>
              <w:rPr>
                <w:vertAlign w:val="subscript"/>
              </w:rPr>
              <w:t xml:space="preserve">37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1.676</w:t>
            </w:r>
          </w:p>
        </w:tc>
        <w:tc>
          <w:p>
            <w:pPr>
              <w:pStyle w:val="Compact"/>
              <w:jc w:val="right"/>
            </w:pPr>
            <w:r>
              <w:t xml:space="preserve">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08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.983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18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3.222</w:t>
            </w:r>
          </w:p>
        </w:tc>
        <w:tc>
          <w:p>
            <w:pPr>
              <w:pStyle w:val="Compact"/>
              <w:jc w:val="right"/>
            </w:pPr>
            <w:r>
              <w:t xml:space="preserve">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28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0.300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1.090</w:t>
            </w:r>
          </w:p>
        </w:tc>
        <w:tc>
          <w:p>
            <w:pPr>
              <w:pStyle w:val="Compact"/>
              <w:jc w:val="right"/>
            </w:pPr>
            <w:r>
              <w:t xml:space="preserve">.276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38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−0.003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−0.010</w:t>
            </w:r>
          </w:p>
        </w:tc>
        <w:tc>
          <w:p>
            <w:pPr>
              <w:pStyle w:val="Compact"/>
              <w:jc w:val="right"/>
            </w:pPr>
            <w:r>
              <w:t xml:space="preserve">.992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09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−0.033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−0.472</w:t>
            </w:r>
          </w:p>
        </w:tc>
        <w:tc>
          <w:p>
            <w:pPr>
              <w:pStyle w:val="Compact"/>
              <w:jc w:val="right"/>
            </w:pPr>
            <w:r>
              <w:t xml:space="preserve">.637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19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−0.681</w:t>
            </w:r>
          </w:p>
        </w:tc>
        <w:tc>
          <w:p>
            <w:pPr>
              <w:pStyle w:val="Compact"/>
              <w:jc w:val="right"/>
            </w:pPr>
            <w:r>
              <w:t xml:space="preserve">0.281</w:t>
            </w:r>
          </w:p>
        </w:tc>
        <w:tc>
          <w:p>
            <w:pPr>
              <w:pStyle w:val="Compact"/>
              <w:jc w:val="right"/>
            </w:pPr>
            <w:r>
              <w:t xml:space="preserve">−2.419</w:t>
            </w:r>
          </w:p>
        </w:tc>
        <w:tc>
          <w:p>
            <w:pPr>
              <w:pStyle w:val="Compact"/>
              <w:jc w:val="right"/>
            </w:pPr>
            <w:r>
              <w:t xml:space="preserve">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29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p>
            <w:pPr>
              <w:pStyle w:val="Compact"/>
              <w:jc w:val="right"/>
            </w:pPr>
            <w:r>
              <w:t xml:space="preserve">0.280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.540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39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3.039</w:t>
            </w:r>
          </w:p>
        </w:tc>
        <w:tc>
          <w:p>
            <w:pPr>
              <w:pStyle w:val="Compact"/>
              <w:jc w:val="right"/>
            </w:pPr>
            <w:r>
              <w:t xml:space="preserve">.002</w:t>
            </w:r>
          </w:p>
        </w:tc>
      </w:tr>
    </w:tbl>
    <w:p>
      <w:pPr>
        <w:pStyle w:val="Textkrper"/>
      </w:pPr>
      <w:r>
        <w:t xml:space="preserve">Appendix 1: Growth curve model fixed effects</w:t>
      </w:r>
    </w:p>
    <w:p>
      <w:pPr>
        <w:pStyle w:val="berschrift2"/>
      </w:pPr>
      <w:bookmarkStart w:id="27" w:name="random-effects"/>
      <w:r>
        <w:t xml:space="preserve">Random effects</w:t>
      </w:r>
      <w:bookmarkEnd w:id="2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Correlations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Participant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0.869</w:t>
            </w:r>
          </w:p>
        </w:tc>
        <w:tc>
          <w:p>
            <w:pPr>
              <w:pStyle w:val="Compact"/>
              <w:jc w:val="right"/>
            </w:pPr>
            <w:r>
              <w:t xml:space="preserve">0.932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Syllable structure</w:t>
            </w:r>
          </w:p>
        </w:tc>
        <w:tc>
          <w:p>
            <w:pPr>
              <w:pStyle w:val="Compact"/>
              <w:jc w:val="right"/>
            </w:pPr>
            <w:r>
              <w:t xml:space="preserve">0.179</w:t>
            </w:r>
          </w:p>
        </w:tc>
        <w:tc>
          <w:p>
            <w:pPr>
              <w:pStyle w:val="Compact"/>
              <w:jc w:val="right"/>
            </w:pPr>
            <w:r>
              <w:t xml:space="preserve">0.423</w:t>
            </w:r>
          </w:p>
        </w:tc>
        <w:tc>
          <w:p>
            <w:pPr>
              <w:pStyle w:val="Compact"/>
              <w:jc w:val="right"/>
            </w:pPr>
            <w:r>
              <w:t xml:space="preserve">−.15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Lexical stress</w:t>
            </w:r>
          </w:p>
        </w:tc>
        <w:tc>
          <w:p>
            <w:pPr>
              <w:pStyle w:val="Compact"/>
              <w:jc w:val="right"/>
            </w:pPr>
            <w:r>
              <w:t xml:space="preserve">0.719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−.06</w:t>
            </w:r>
          </w:p>
        </w:tc>
        <w:tc>
          <w:p>
            <w:pPr>
              <w:pStyle w:val="Compact"/>
              <w:jc w:val="right"/>
            </w:pPr>
            <w:r>
              <w:t xml:space="preserve">.16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9.492</w:t>
            </w:r>
          </w:p>
        </w:tc>
        <w:tc>
          <w:p>
            <w:pPr>
              <w:pStyle w:val="Compact"/>
              <w:jc w:val="right"/>
            </w:pPr>
            <w:r>
              <w:t xml:space="preserve">3.081</w:t>
            </w:r>
          </w:p>
        </w:tc>
        <w:tc>
          <w:p>
            <w:pPr>
              <w:pStyle w:val="Compact"/>
              <w:jc w:val="right"/>
            </w:pPr>
            <w:r>
              <w:t xml:space="preserve">.42</w:t>
            </w:r>
          </w:p>
        </w:tc>
        <w:tc>
          <w:p>
            <w:pPr>
              <w:pStyle w:val="Compact"/>
              <w:jc w:val="right"/>
            </w:pPr>
            <w:r>
              <w:t xml:space="preserve">−.14</w:t>
            </w:r>
          </w:p>
        </w:tc>
        <w:tc>
          <w:p>
            <w:pPr>
              <w:pStyle w:val="Compact"/>
              <w:jc w:val="right"/>
            </w:pPr>
            <w:r>
              <w:t xml:space="preserve">.04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1.793</w:t>
            </w:r>
          </w:p>
        </w:tc>
        <w:tc>
          <w:p>
            <w:pPr>
              <w:pStyle w:val="Compact"/>
              <w:jc w:val="right"/>
            </w:pPr>
            <w:r>
              <w:t xml:space="preserve">1.339</w:t>
            </w:r>
          </w:p>
        </w:tc>
        <w:tc>
          <w:p>
            <w:pPr>
              <w:pStyle w:val="Compact"/>
              <w:jc w:val="right"/>
            </w:pPr>
            <w:r>
              <w:t xml:space="preserve">−.06</w:t>
            </w:r>
          </w:p>
        </w:tc>
        <w:tc>
          <w:p>
            <w:pPr>
              <w:pStyle w:val="Compact"/>
              <w:jc w:val="right"/>
            </w:pPr>
            <w:r>
              <w:t xml:space="preserve">.18</w:t>
            </w:r>
          </w:p>
        </w:tc>
        <w:tc>
          <w:p>
            <w:pPr>
              <w:pStyle w:val="Compact"/>
              <w:jc w:val="right"/>
            </w:pPr>
            <w:r>
              <w:t xml:space="preserve">.05</w:t>
            </w:r>
          </w:p>
        </w:tc>
        <w:tc>
          <w:p>
            <w:pPr>
              <w:pStyle w:val="Compact"/>
              <w:jc w:val="right"/>
            </w:pPr>
            <w:r>
              <w:t xml:space="preserve">.38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−.35</w:t>
            </w:r>
          </w:p>
        </w:tc>
        <w:tc>
          <w:p>
            <w:pPr>
              <w:pStyle w:val="Compact"/>
              <w:jc w:val="right"/>
            </w:pPr>
            <w:r>
              <w:t xml:space="preserve">.01</w:t>
            </w:r>
          </w:p>
        </w:tc>
        <w:tc>
          <w:p>
            <w:pPr>
              <w:pStyle w:val="Compact"/>
              <w:jc w:val="right"/>
            </w:pPr>
            <w:r>
              <w:t xml:space="preserve">−.21</w:t>
            </w:r>
          </w:p>
        </w:tc>
        <w:tc>
          <w:p>
            <w:pPr>
              <w:pStyle w:val="Compact"/>
              <w:jc w:val="right"/>
            </w:pPr>
            <w:r>
              <w:t xml:space="preserve">−.80</w:t>
            </w:r>
          </w:p>
        </w:tc>
        <w:tc>
          <w:p>
            <w:pPr>
              <w:pStyle w:val="Compact"/>
              <w:jc w:val="center"/>
            </w:pPr>
            <w:r>
              <w:t xml:space="preserve">−.17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Item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0.230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3.886</w:t>
            </w:r>
          </w:p>
        </w:tc>
        <w:tc>
          <w:p>
            <w:pPr>
              <w:pStyle w:val="Compact"/>
              <w:jc w:val="right"/>
            </w:pPr>
            <w:r>
              <w:t xml:space="preserve">1.971</w:t>
            </w:r>
          </w:p>
        </w:tc>
        <w:tc>
          <w:p>
            <w:pPr>
              <w:pStyle w:val="Compact"/>
              <w:jc w:val="right"/>
            </w:pPr>
            <w:r>
              <w:t xml:space="preserve">.21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1.377</w:t>
            </w:r>
          </w:p>
        </w:tc>
        <w:tc>
          <w:p>
            <w:pPr>
              <w:pStyle w:val="Compact"/>
              <w:jc w:val="right"/>
            </w:pPr>
            <w:r>
              <w:t xml:space="preserve">1.174</w:t>
            </w:r>
          </w:p>
        </w:tc>
        <w:tc>
          <w:p>
            <w:pPr>
              <w:pStyle w:val="Compact"/>
              <w:jc w:val="right"/>
            </w:pPr>
            <w:r>
              <w:t xml:space="preserve">−.76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−.42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0.397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.26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−.86</w:t>
            </w:r>
          </w:p>
        </w:tc>
        <w:tc>
          <w:p>
            <w:pPr>
              <w:pStyle w:val="Compact"/>
              <w:jc w:val="center"/>
            </w:pPr>
            <w:r>
              <w:t xml:space="preserve">−.08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p/>
        </w:tc>
        <w:tc>
          <w:p>
            <w:pPr>
              <w:pStyle w:val="Compact"/>
              <w:jc w:val="right"/>
            </w:pPr>
            <w:r>
              <w:t xml:space="preserve">13.492</w:t>
            </w:r>
          </w:p>
        </w:tc>
        <w:tc>
          <w:p>
            <w:pPr>
              <w:pStyle w:val="Compact"/>
              <w:jc w:val="right"/>
            </w:pPr>
            <w:r>
              <w:t xml:space="preserve">3.673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Textkrper"/>
      </w:pPr>
      <w:r>
        <w:t xml:space="preserve">Appendix 2: Growth curve model random effects</w:t>
      </w:r>
    </w:p>
    <w:p>
      <w:pPr>
        <w:pStyle w:val="berschrift1"/>
      </w:pPr>
      <w:bookmarkStart w:id="28" w:name="statistical-analysis"/>
      <w:r>
        <w:t xml:space="preserve">Statistical Analysis</w:t>
      </w:r>
      <w:bookmarkEnd w:id="28"/>
    </w:p>
    <w:sectPr w:rsidR="007407D0" w:rsidRPr="007407D0" w:rsidSect="003C3842">
      <w:pgSz w:w="12240" w:h="15840"/>
      <w:pgMar w:top="1418" w:right="1418" w:bottom="1418" w:left="1418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298BB6"/>
    <w:multiLevelType w:val="multilevel"/>
    <w:tmpl w:val="80AA5C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9C5614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FFFF7C"/>
    <w:multiLevelType w:val="singleLevel"/>
    <w:tmpl w:val="A3126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413CF1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26F02D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>
    <w:nsid w:val="FFFFFF7F"/>
    <w:multiLevelType w:val="singleLevel"/>
    <w:tmpl w:val="2248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>
    <w:nsid w:val="FFFFFF80"/>
    <w:multiLevelType w:val="singleLevel"/>
    <w:tmpl w:val="874AA4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3126C8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9AC86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92F2DE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F2AA1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DCDED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heading 2" w:uiPriority="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3C3842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2">
    <w:name w:val="heading 2"/>
    <w:basedOn w:val="Standard"/>
    <w:next w:val="Textkrper"/>
    <w:link w:val="berschrift2Zchn"/>
    <w:uiPriority w:val="9"/>
    <w:unhideWhenUsed/>
    <w:qFormat/>
    <w:rsid w:val="003C3842"/>
    <w:pPr>
      <w:keepNext/>
      <w:keepLines/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3">
    <w:name w:val="heading 3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2"/>
    </w:pPr>
    <w:rPr>
      <w:rFonts w:ascii="Times New Roman" w:eastAsiaTheme="majorEastAsia" w:hAnsi="Times New Roman" w:cstheme="majorBidi"/>
      <w:b/>
      <w:bCs/>
      <w:szCs w:val="28"/>
    </w:rPr>
  </w:style>
  <w:style w:type="paragraph" w:styleId="berschrift4">
    <w:name w:val="heading 4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3"/>
    </w:pPr>
    <w:rPr>
      <w:rFonts w:ascii="Times New Roman" w:eastAsiaTheme="majorEastAsia" w:hAnsi="Times New Roman" w:cstheme="majorBidi"/>
      <w:b/>
      <w:bCs/>
      <w:i/>
    </w:rPr>
  </w:style>
  <w:style w:type="paragraph" w:styleId="berschrift5">
    <w:name w:val="heading 5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4"/>
    </w:pPr>
    <w:rPr>
      <w:rFonts w:ascii="Times New Roman" w:eastAsiaTheme="majorEastAsia" w:hAnsi="Times New Roman" w:cstheme="majorBidi"/>
      <w:i/>
      <w:iCs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rsid w:val="001272F2"/>
    <w:pPr>
      <w:spacing w:before="180" w:after="240" w:line="480" w:lineRule="auto"/>
      <w:ind w:firstLine="680"/>
    </w:pPr>
    <w:rPr>
      <w:rFonts w:ascii="Times New Roman" w:hAnsi="Times New Roman"/>
    </w:r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rsid w:val="00331F8D"/>
    <w:pPr>
      <w:spacing w:before="36" w:after="36"/>
      <w:ind w:firstLine="0"/>
    </w:pPr>
  </w:style>
  <w:style w:type="paragraph" w:styleId="Titel">
    <w:name w:val="Title"/>
    <w:basedOn w:val="Standard"/>
    <w:next w:val="Textkrper"/>
    <w:qFormat/>
    <w:rsid w:val="00B75796"/>
    <w:pPr>
      <w:keepNext/>
      <w:keepLines/>
      <w:pageBreakBefore/>
      <w:spacing w:before="480" w:after="240" w:line="480" w:lineRule="auto"/>
      <w:jc w:val="center"/>
    </w:pPr>
    <w:rPr>
      <w:rFonts w:ascii="Times New Roman" w:eastAsiaTheme="majorEastAsia" w:hAnsi="Times New Roman" w:cstheme="majorBidi"/>
      <w:bCs/>
      <w:szCs w:val="36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3C384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styleId="Datum">
    <w:name w:val="Date"/>
    <w:next w:val="Textkrper"/>
    <w:qFormat/>
    <w:rsid w:val="001272F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Standard"/>
    <w:next w:val="Textkrper"/>
    <w:qFormat/>
    <w:rsid w:val="001272F2"/>
    <w:pPr>
      <w:keepNext/>
      <w:keepLines/>
      <w:spacing w:before="300" w:after="300" w:line="480" w:lineRule="auto"/>
    </w:pPr>
    <w:rPr>
      <w:rFonts w:ascii="Times New Roman" w:hAnsi="Times New Roman"/>
      <w:szCs w:val="20"/>
    </w:rPr>
  </w:style>
  <w:style w:type="paragraph" w:styleId="Literaturverzeichnis">
    <w:name w:val="Bibliography"/>
    <w:basedOn w:val="Standard"/>
    <w:qFormat/>
    <w:rsid w:val="001272F2"/>
    <w:pPr>
      <w:spacing w:line="480" w:lineRule="auto"/>
      <w:ind w:left="680" w:hanging="680"/>
    </w:pPr>
    <w:rPr>
      <w:rFonts w:ascii="Times New Roman" w:hAnsi="Times New Roman"/>
    </w:r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  <w:rsid w:val="001272F2"/>
    <w:pPr>
      <w:spacing w:line="480" w:lineRule="auto"/>
    </w:pPr>
    <w:rPr>
      <w:rFonts w:ascii="Times New Roman" w:hAnsi="Times New Roman"/>
    </w:r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1272F2"/>
    <w:pPr>
      <w:keepNext/>
      <w:spacing w:after="0" w:line="480" w:lineRule="auto"/>
    </w:pPr>
    <w:rPr>
      <w:rFonts w:ascii="Times New Roman" w:hAnsi="Times New Roman"/>
    </w:rPr>
  </w:style>
  <w:style w:type="paragraph" w:customStyle="1" w:styleId="ImageCaption">
    <w:name w:val="Image Caption"/>
    <w:basedOn w:val="Beschriftung"/>
    <w:rsid w:val="003C3842"/>
    <w:pPr>
      <w:spacing w:line="480" w:lineRule="auto"/>
    </w:pPr>
    <w:rPr>
      <w:rFonts w:ascii="Times New Roman" w:hAnsi="Times New Roman"/>
      <w:i w:val="0"/>
    </w:rPr>
  </w:style>
  <w:style w:type="paragraph" w:customStyle="1" w:styleId="Figure">
    <w:name w:val="Figure"/>
    <w:basedOn w:val="Standard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sid w:val="007D3543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rsid w:val="001272F2"/>
    <w:pPr>
      <w:spacing w:before="240"/>
      <w:outlineLvl w:val="9"/>
    </w:pPr>
    <w:rPr>
      <w:bCs w:val="0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Sprechblasentext">
    <w:name w:val="Balloon Text"/>
    <w:basedOn w:val="Standard"/>
    <w:link w:val="SprechblasentextZchn"/>
    <w:rsid w:val="00AC3650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AC3650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45C3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TextkrperZchn">
    <w:name w:val="Textkörper Zchn"/>
    <w:basedOn w:val="Absatz-Standardschriftart"/>
    <w:link w:val="Textkrper"/>
    <w:rsid w:val="001272F2"/>
    <w:rPr>
      <w:rFonts w:ascii="Times New Roman" w:hAnsi="Times New Roman"/>
    </w:rPr>
  </w:style>
  <w:style w:type="paragraph" w:styleId="Zitat">
    <w:name w:val="Quote"/>
    <w:basedOn w:val="Standard"/>
    <w:next w:val="Standard"/>
    <w:link w:val="ZitatZchn"/>
    <w:rsid w:val="001272F2"/>
    <w:pPr>
      <w:spacing w:after="0" w:line="480" w:lineRule="auto"/>
      <w:ind w:left="680"/>
    </w:pPr>
    <w:rPr>
      <w:rFonts w:ascii="Times New Roman" w:hAnsi="Times New Roman"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rsid w:val="001272F2"/>
    <w:rPr>
      <w:rFonts w:ascii="Times New Roman" w:hAnsi="Times New Roman"/>
      <w:iCs/>
      <w:color w:val="000000" w:themeColor="text1"/>
    </w:rPr>
  </w:style>
  <w:style w:type="character" w:styleId="Seitenzahl">
    <w:name w:val="page number"/>
    <w:basedOn w:val="Absatz-Standardschriftart"/>
    <w:rsid w:val="001272F2"/>
    <w:rPr>
      <w:rFonts w:ascii="Times New Roman" w:hAnsi="Times New Roman"/>
      <w:sz w:val="24"/>
    </w:rPr>
  </w:style>
  <w:style w:type="paragraph" w:styleId="Kopfzeile">
    <w:name w:val="header"/>
    <w:basedOn w:val="Standard"/>
    <w:link w:val="KopfzeileZchn"/>
    <w:rsid w:val="001272F2"/>
    <w:pPr>
      <w:tabs>
        <w:tab w:val="center" w:pos="4703"/>
        <w:tab w:val="right" w:pos="9406"/>
      </w:tabs>
      <w:spacing w:after="0" w:line="480" w:lineRule="auto"/>
    </w:pPr>
    <w:rPr>
      <w:rFonts w:ascii="Times New Roman" w:hAnsi="Times New Roman"/>
    </w:rPr>
  </w:style>
  <w:style w:type="character" w:customStyle="1" w:styleId="KopfzeileZchn">
    <w:name w:val="Kopfzeile Zchn"/>
    <w:basedOn w:val="Absatz-Standardschriftart"/>
    <w:link w:val="Kopfzeile"/>
    <w:rsid w:val="001272F2"/>
    <w:rPr>
      <w:rFonts w:ascii="Times New Roman" w:hAnsi="Times New Roman"/>
    </w:rPr>
  </w:style>
  <w:style w:type="paragraph" w:styleId="Abbildungsverzeichnis">
    <w:name w:val="table of figures"/>
    <w:basedOn w:val="Standard"/>
    <w:next w:val="Standard"/>
    <w:rsid w:val="001272F2"/>
    <w:pPr>
      <w:spacing w:after="0" w:line="480" w:lineRule="auto"/>
    </w:pPr>
    <w:rPr>
      <w:rFonts w:ascii="Times New Roman" w:hAnsi="Times New Roman"/>
    </w:rPr>
  </w:style>
  <w:style w:type="paragraph" w:customStyle="1" w:styleId="h1-pagebreak">
    <w:name w:val="h1-pagebreak"/>
    <w:basedOn w:val="berschrift1"/>
    <w:qFormat/>
    <w:rsid w:val="00CC4DBE"/>
    <w:pPr>
      <w:pageBreakBefore/>
    </w:pPr>
  </w:style>
  <w:style w:type="table" w:styleId="Tabellenraster">
    <w:name w:val="Table Grid"/>
    <w:basedOn w:val="NormaleTabelle"/>
    <w:rsid w:val="007407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basedOn w:val="NormaleTabelle"/>
    <w:uiPriority w:val="99"/>
    <w:rsid w:val="007407D0"/>
    <w:pPr>
      <w:spacing w:after="0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2019-08-19T13:15:03Z</dcterms:created>
  <dcterms:modified xsi:type="dcterms:W3CDTF">2019-08-19T13:15:03Z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bibliography">
    <vt:lpwstr>r-references.bib</vt:lpwstr>
  </property>
  <property fmtid="{D5CDD505-2E9C-101B-9397-08002B2CF9AE}" pid="4" name="classoption">
    <vt:lpwstr>man</vt:lpwstr>
  </property>
  <property fmtid="{D5CDD505-2E9C-101B-9397-08002B2CF9AE}" pid="5" name="csl">
    <vt:lpwstr>/Library/Frameworks/R.framework/Versions/3.6/Resources/library/papaja/rmd/apa6.csl</vt:lpwstr>
  </property>
  <property fmtid="{D5CDD505-2E9C-101B-9397-08002B2CF9AE}" pid="6" name="documentclass">
    <vt:lpwstr>apa6</vt:lpwstr>
  </property>
  <property fmtid="{D5CDD505-2E9C-101B-9397-08002B2CF9AE}" pid="7" name="draft">
    <vt:lpwstr>yes</vt:lpwstr>
  </property>
  <property fmtid="{D5CDD505-2E9C-101B-9397-08002B2CF9AE}" pid="8" name="figurelist">
    <vt:lpwstr>yes</vt:lpwstr>
  </property>
  <property fmtid="{D5CDD505-2E9C-101B-9397-08002B2CF9AE}" pid="9" name="floatsintext">
    <vt:lpwstr>yes</vt:lpwstr>
  </property>
  <property fmtid="{D5CDD505-2E9C-101B-9397-08002B2CF9AE}" pid="10" name="footnotelist">
    <vt:lpwstr>yes</vt:lpwstr>
  </property>
  <property fmtid="{D5CDD505-2E9C-101B-9397-08002B2CF9AE}" pid="11" name="linenumbers">
    <vt:lpwstr>yes</vt:lpwstr>
  </property>
  <property fmtid="{D5CDD505-2E9C-101B-9397-08002B2CF9AE}" pid="12" name="mask">
    <vt:lpwstr>yes</vt:lpwstr>
  </property>
  <property fmtid="{D5CDD505-2E9C-101B-9397-08002B2CF9AE}" pid="13" name="output">
    <vt:lpwstr>papaja::apa6_word</vt:lpwstr>
  </property>
  <property fmtid="{D5CDD505-2E9C-101B-9397-08002B2CF9AE}" pid="14" name="tablelist">
    <vt:lpwstr>yes</vt:lpwstr>
  </property>
  <property fmtid="{D5CDD505-2E9C-101B-9397-08002B2CF9AE}" pid="15" name="wordcount">
    <vt:lpwstr/>
  </property>
</Properties>
</file>