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0.png" ContentType="image/png"/>
  <Override PartName="/word/media/rId114.png" ContentType="image/png"/>
  <Override PartName="/word/media/rId56.png" ContentType="image/png"/>
  <Override PartName="/word/media/rId134.png" ContentType="image/png"/>
  <Override PartName="/word/media/rId29.png" ContentType="image/png"/>
  <Override PartName="/word/media/rId124.png" ContentType="image/png"/>
  <Override PartName="/word/media/rId52.png" ContentType="image/png"/>
  <Override PartName="/word/media/rId119.png" ContentType="image/png"/>
  <Override PartName="/word/media/rId33.png" ContentType="image/png"/>
  <Override PartName="/word/media/rId37.png" ContentType="image/png"/>
  <Override PartName="/word/media/rId46.png" ContentType="image/png"/>
  <Override PartName="/word/media/rId42.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Report</w:t>
      </w:r>
    </w:p>
    <w:p>
      <w:pPr>
        <w:pStyle w:val="Author"/>
      </w:pPr>
      <w:r>
        <w:t xml:space="preserve">Joseph</w:t>
      </w:r>
      <w:r>
        <w:t xml:space="preserve"> </w:t>
      </w:r>
      <w:r>
        <w:t xml:space="preserve">V.</w:t>
      </w:r>
      <w:r>
        <w:t xml:space="preserve"> </w:t>
      </w:r>
      <w:r>
        <w:t xml:space="preserve">Casillas</w:t>
      </w:r>
    </w:p>
    <w:p>
      <w:pPr>
        <w:pStyle w:val="Date"/>
      </w:pPr>
      <w:r>
        <w:t xml:space="preserve">2022-10-11</w:t>
      </w:r>
    </w:p>
    <w:p>
      <w:pPr>
        <w:pStyle w:val="Abstract"/>
      </w:pPr>
      <w:r>
        <w:t xml:space="preserve">Write-up</w:t>
      </w:r>
      <w:r>
        <w:t xml:space="preserve"> </w:t>
      </w:r>
      <w:r>
        <w:t xml:space="preserve">of</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introduction"/>
    <w:p>
      <w:pPr>
        <w:pStyle w:val="Heading1"/>
      </w:pPr>
      <w:r>
        <w:t xml:space="preserve">1. Introduction</w:t>
      </w:r>
    </w:p>
    <w:bookmarkStart w:id="20" w:name="lexical-stress"/>
    <w:p>
      <w:pPr>
        <w:pStyle w:val="Heading2"/>
      </w:pPr>
      <w:r>
        <w:t xml:space="preserve">1.1 Lexical stress</w:t>
      </w:r>
    </w:p>
    <w:p>
      <w:pPr>
        <w:pStyle w:val="FirstParagraph"/>
      </w:pPr>
      <w:r>
        <w:t xml:space="preserve">Lexical stress (henceforth stress) refers to the relative prominence of one syllable with regard to the others in a given word.</w:t>
      </w:r>
      <w:r>
        <w:t xml:space="preserve"> </w:t>
      </w:r>
      <w:r>
        <w:t xml:space="preserve">Stress is lexically encoded and contrastive in Spanish (</w:t>
      </w:r>
      <w:r>
        <w:t xml:space="preserve">‘</w:t>
      </w:r>
      <w:r>
        <w:t xml:space="preserve">término</w:t>
      </w:r>
      <w:r>
        <w:t xml:space="preserve">’</w:t>
      </w:r>
      <w:r>
        <w:t xml:space="preserve"> </w:t>
      </w:r>
      <w:r>
        <w:t xml:space="preserve">[ˈteɾ.mi.no], Eng.</w:t>
      </w:r>
      <w:r>
        <w:t xml:space="preserve"> </w:t>
      </w:r>
      <w:r>
        <w:rPr>
          <w:iCs/>
          <w:i/>
        </w:rPr>
        <w:t xml:space="preserve">term</w:t>
      </w:r>
      <w:r>
        <w:t xml:space="preserve">;</w:t>
      </w:r>
      <w:r>
        <w:t xml:space="preserve"> </w:t>
      </w:r>
      <w:r>
        <w:t xml:space="preserve">‘</w:t>
      </w:r>
      <w:r>
        <w:t xml:space="preserve">termino</w:t>
      </w:r>
      <w:r>
        <w:t xml:space="preserve">’</w:t>
      </w:r>
      <w:r>
        <w:t xml:space="preserve"> </w:t>
      </w:r>
      <w:r>
        <w:t xml:space="preserve">[teɾ.ˈmi.no], Eng.</w:t>
      </w:r>
      <w:r>
        <w:t xml:space="preserve"> </w:t>
      </w:r>
      <w:r>
        <w:rPr>
          <w:iCs/>
          <w:i/>
        </w:rPr>
        <w:t xml:space="preserve">I finish</w:t>
      </w:r>
      <w:r>
        <w:t xml:space="preserve">;</w:t>
      </w:r>
      <w:r>
        <w:t xml:space="preserve"> </w:t>
      </w:r>
      <w:r>
        <w:t xml:space="preserve">‘</w:t>
      </w:r>
      <w:r>
        <w:t xml:space="preserve">terminó</w:t>
      </w:r>
      <w:r>
        <w:t xml:space="preserve">’</w:t>
      </w:r>
      <w:r>
        <w:t xml:space="preserve"> </w:t>
      </w:r>
      <w:r>
        <w:t xml:space="preserve">[teɾ.mi.ˈno], Eng.</w:t>
      </w:r>
      <w:r>
        <w:t xml:space="preserve"> </w:t>
      </w:r>
      <w:r>
        <w:rPr>
          <w:iCs/>
          <w:i/>
        </w:rPr>
        <w:t xml:space="preserve">(s)he finished</w:t>
      </w:r>
      <w:r>
        <w:t xml:space="preserve">) and in English (</w:t>
      </w:r>
      <w:r>
        <w:t xml:space="preserve">‘</w:t>
      </w:r>
      <w:r>
        <w:t xml:space="preserve">produce</w:t>
      </w:r>
      <w:r>
        <w:t xml:space="preserve">’</w:t>
      </w:r>
      <w:r>
        <w:t xml:space="preserve"> </w:t>
      </w:r>
      <w:r>
        <w:t xml:space="preserve">[ˈpɹo.duːs] noun,</w:t>
      </w:r>
      <w:r>
        <w:t xml:space="preserve"> </w:t>
      </w:r>
      <w:r>
        <w:t xml:space="preserve">‘</w:t>
      </w:r>
      <w:r>
        <w:t xml:space="preserve">produce</w:t>
      </w:r>
      <w:r>
        <w:t xml:space="preserve">’</w:t>
      </w:r>
      <w:r>
        <w:t xml:space="preserve"> </w:t>
      </w:r>
      <w:r>
        <w:t xml:space="preserve">[pɹə.ˈduːs] verb), though it is more productive in the former than in the latter.</w:t>
      </w:r>
      <w:r>
        <w:t xml:space="preserve"> </w:t>
      </w:r>
      <w:r>
        <w:t xml:space="preserve">To wit, few stress minimal pairs exist in English that are not semantically related</w:t>
      </w:r>
      <w:r>
        <w:t xml:space="preserve"> </w:t>
      </w:r>
      <w:r>
        <w:t xml:space="preserve">(See Cutler, 2012)</w:t>
      </w:r>
      <w:r>
        <w:t xml:space="preserve">.</w:t>
      </w:r>
      <w:r>
        <w:t xml:space="preserve"> </w:t>
      </w:r>
      <w:r>
        <w:t xml:space="preserve">The primary acoustic correlates of stress are</w:t>
      </w:r>
      <w:r>
        <w:t xml:space="preserve"> </w:t>
      </w:r>
      <m:oMath>
        <m:sSub>
          <m:e>
            <m:r>
              <m:t>f</m:t>
            </m:r>
          </m:e>
          <m:sub>
            <m:r>
              <m:t>0</m:t>
            </m:r>
          </m:sub>
        </m:sSub>
      </m:oMath>
      <w:r>
        <w:t xml:space="preserve">, duration, and intensity, though their relative cue-weighting is language-specific</w:t>
      </w:r>
      <w:r>
        <w:t xml:space="preserve"> </w:t>
      </w:r>
      <w:r>
        <w:t xml:space="preserve">(See Chrabaszcz et al., 2014; Gordon &amp; Roettger, 2017; Holt &amp; Lotto, 2006, among many others)</w:t>
      </w:r>
      <w:r>
        <w:t xml:space="preserve">.</w:t>
      </w:r>
      <w:r>
        <w:t xml:space="preserve"> </w:t>
      </w:r>
      <w:r>
        <w:t xml:space="preserve">Despite native English speakers’ familiarity with stress, they typically have trouble producing</w:t>
      </w:r>
      <w:r>
        <w:t xml:space="preserve"> </w:t>
      </w:r>
      <w:r>
        <w:t xml:space="preserve">(Bullock &amp; Lord, 2003; Lord, 2007)</w:t>
      </w:r>
      <w:r>
        <w:t xml:space="preserve"> </w:t>
      </w:r>
      <w:r>
        <w:t xml:space="preserve">and perceiving</w:t>
      </w:r>
      <w:r>
        <w:t xml:space="preserve"> </w:t>
      </w:r>
      <w:r>
        <w:t xml:space="preserve">(Face, 2000, 2005, 2006; Ortega-Llebaria et al., 2013; Saalfeld, 2012)</w:t>
      </w:r>
      <w:r>
        <w:t xml:space="preserve"> </w:t>
      </w:r>
      <w:r>
        <w:t xml:space="preserve">stress differences in L2 Spanish.</w:t>
      </w:r>
      <w:r>
        <w:t xml:space="preserve"> </w:t>
      </w:r>
      <w:r>
        <w:t xml:space="preserve">A possible explanation might be found in language-specific isochrony</w:t>
      </w:r>
      <w:r>
        <w:t xml:space="preserve"> </w:t>
      </w:r>
      <w:r>
        <w:t xml:space="preserve">(Pike, 1945)</w:t>
      </w:r>
      <w:r>
        <w:t xml:space="preserve">.</w:t>
      </w:r>
      <w:r>
        <w:t xml:space="preserve"> </w:t>
      </w:r>
      <w:r>
        <w:t xml:space="preserve">Whereas English is often described as a</w:t>
      </w:r>
      <w:r>
        <w:t xml:space="preserve"> </w:t>
      </w:r>
      <w:r>
        <w:t xml:space="preserve">‘</w:t>
      </w:r>
      <w:r>
        <w:t xml:space="preserve">stress-timed</w:t>
      </w:r>
      <w:r>
        <w:t xml:space="preserve">’</w:t>
      </w:r>
      <w:r>
        <w:t xml:space="preserve"> </w:t>
      </w:r>
      <w:r>
        <w:t xml:space="preserve">language, i.e., one with relatively constant intervals between stressed syllables, Spanish is typically described as</w:t>
      </w:r>
      <w:r>
        <w:t xml:space="preserve"> </w:t>
      </w:r>
      <w:r>
        <w:t xml:space="preserve">‘</w:t>
      </w:r>
      <w:r>
        <w:t xml:space="preserve">syllable-timed</w:t>
      </w:r>
      <w:r>
        <w:t xml:space="preserve">’</w:t>
      </w:r>
      <w:r>
        <w:t xml:space="preserve">, i.e., each syllable is perceived as having the same duration.</w:t>
      </w:r>
      <w:r>
        <w:t xml:space="preserve"> </w:t>
      </w:r>
      <w:r>
        <w:t xml:space="preserve">Differences such as these may shape how stress is perceived in each language.</w:t>
      </w:r>
      <w:r>
        <w:t xml:space="preserve"> </w:t>
      </w:r>
      <w:r>
        <w:t xml:space="preserve">In English, for example, unstressed vowel reduction—often present in stress-timed languages—may be sufficient for indicating stress</w:t>
      </w:r>
      <w:r>
        <w:t xml:space="preserve"> </w:t>
      </w:r>
      <w:r>
        <w:t xml:space="preserve">(Cutler, 2012; Tremblay et al., 2018)</w:t>
      </w:r>
      <w:r>
        <w:t xml:space="preserve">, rendering other cues relatively less important for speech perception.</w:t>
      </w:r>
      <w:r>
        <w:t xml:space="preserve"> </w:t>
      </w:r>
      <w:r>
        <w:t xml:space="preserve">As a consequence, native English speakers may have to adjust their cue-weighting strategies when learning Spanish, a language that does not have vowel reduction.</w:t>
      </w:r>
      <w:r>
        <w:t xml:space="preserve"> </w:t>
      </w:r>
      <w:r>
        <w:t xml:space="preserve">Evidence from cross-modal priming studies indeed suggests that stress is processed differently by native listeners in both languages during lexical access</w:t>
      </w:r>
      <w:r>
        <w:t xml:space="preserve"> </w:t>
      </w:r>
      <w:r>
        <w:t xml:space="preserve">(See Cooper et al., 2002; Soto-Faraco et al., 2001)</w:t>
      </w:r>
      <w:r>
        <w:t xml:space="preserve">.</w:t>
      </w:r>
      <w:r>
        <w:t xml:space="preserve"> </w:t>
      </w:r>
      <w:r>
        <w:t xml:space="preserve">The extant literature suggests that native listeners are tuned in to the relevant acoustic cues of their language and take advantage of them to increase processing efficiency.</w:t>
      </w:r>
      <w:r>
        <w:t xml:space="preserve"> </w:t>
      </w:r>
      <w:r>
        <w:t xml:space="preserve">Unsurprisingly, they use the same cue-weighting strategies when learning an L2, often resulting in difficulties during the early stages of acquisition</w:t>
      </w:r>
      <w:r>
        <w:t xml:space="preserve"> </w:t>
      </w:r>
      <w:r>
        <w:t xml:space="preserve">(Ingvalson et al., 2012; Iverson et al., 2003)</w:t>
      </w:r>
      <w:r>
        <w:t xml:space="preserve">.</w:t>
      </w:r>
      <w:r>
        <w:t xml:space="preserve"> </w:t>
      </w:r>
      <w:r>
        <w:t xml:space="preserve">With regard to prediction, there is evidence that monolingual Spanish speakers use lexical stress to predict a word’s suffix (AUTHORS) and that highly skilled late bilinguals can also learn this skill (AUTHORS).</w:t>
      </w:r>
      <w:r>
        <w:t xml:space="preserve"> </w:t>
      </w:r>
      <w:r>
        <w:t xml:space="preserve">It is not clear how unique language experience, e.g., heritage speakers, language proficiency and language use modulate spoken word prediction.</w:t>
      </w:r>
    </w:p>
    <w:bookmarkEnd w:id="20"/>
    <w:bookmarkEnd w:id="21"/>
    <w:bookmarkStart w:id="28" w:name="method"/>
    <w:p>
      <w:pPr>
        <w:pStyle w:val="Heading1"/>
      </w:pPr>
      <w:r>
        <w:t xml:space="preserve">2. Method</w:t>
      </w:r>
    </w:p>
    <w:bookmarkStart w:id="24" w:name="participants"/>
    <w:p>
      <w:pPr>
        <w:pStyle w:val="Heading2"/>
      </w:pPr>
      <w:r>
        <w:t xml:space="preserve">2.1 Participants</w:t>
      </w:r>
    </w:p>
    <w:p>
      <w:pPr>
        <w:pStyle w:val="FirstParagraph"/>
      </w:pPr>
      <w:r>
        <w:t xml:space="preserve">We collected data from 122 individuals for analysis.</w:t>
      </w:r>
      <w:r>
        <w:t xml:space="preserve"> </w:t>
      </w:r>
      <w:r>
        <w:t xml:space="preserve">There were 30 monolingual participants, 42 heritage speakers, and 50 adult L2 learners.</w:t>
      </w:r>
      <w:r>
        <w:t xml:space="preserve"> </w:t>
      </w:r>
      <w:r>
        <w:t xml:space="preserve">The bilingual participants completed language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assessments.</w:t>
      </w:r>
      <w:r>
        <w:t xml:space="preserve"> </w:t>
      </w:r>
      <w:r>
        <w:t xml:space="preserve">We fit the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data to separate Bayesian linear models to assess potential group differences.</w:t>
      </w:r>
      <w:r>
        <w:rPr>
          <w:rStyle w:val="FootnoteReference"/>
        </w:rPr>
        <w:footnoteReference w:id="22"/>
      </w:r>
      <w:r>
        <w:t xml:space="preserve"> </w:t>
      </w:r>
      <w:r>
        <w:t xml:space="preserve">We compare the posterior marginal mean difference between groups on both response variables.</w:t>
      </w:r>
      <w:r>
        <w:t xml:space="preserve"> </w:t>
      </w:r>
      <w:r>
        <w:t xml:space="preserve">We established a region of practical equivalence (ROPE) of ±0.1.</w:t>
      </w:r>
      <w:r>
        <w:t xml:space="preserve"> </w:t>
      </w:r>
      <w:r>
        <w:t xml:space="preserve">If, for a given measure, the full range of the 95% highest density credible interval (HDI) of the difference estimate falls within the ROPE, we consider there to be compelling evidence that the groups are equivalent.</w:t>
      </w:r>
      <w:r>
        <w:t xml:space="preserve"> </w:t>
      </w:r>
      <w:r>
        <w:t xml:space="preserve">The HL group had an average proficiency score of 0.70 (SD = 0.09) compared to the L2 groups’ score of 0.71 (SD = 0.14).</w:t>
      </w:r>
      <w:r>
        <w:t xml:space="preserve"> </w:t>
      </w:r>
      <w:r>
        <w:t xml:space="preserve">The marginal mean difference was 0.02 [−0.03, 0.07] and all of the HDI fell within the ROPE.</w:t>
      </w:r>
      <w:r>
        <w:t xml:space="preserve"> </w:t>
      </w:r>
      <w:r>
        <w:t xml:space="preserve">The probability that the effect was positive was 0.77.</w:t>
      </w:r>
      <w:r>
        <w:t xml:space="preserve"> </w:t>
      </w:r>
      <w:r>
        <w:t xml:space="preserve">Regarding language use, the HL group had an average score of 0.41 (SD = 0.15) compared to the L2 groups’ score of 0.38 (SD = 0.16).</w:t>
      </w:r>
      <w:r>
        <w:t xml:space="preserve"> </w:t>
      </w:r>
      <w:r>
        <w:t xml:space="preserve">The marginal mean difference was −0.02 [−0.09, 0.05] and, again, all of the HDI fell within the ROPE.</w:t>
      </w:r>
      <w:r>
        <w:t xml:space="preserve"> </w:t>
      </w:r>
      <w:r>
        <w:t xml:space="preserve">The probability that the effect was negative was 0.72.</w:t>
      </w:r>
      <w:r>
        <w:t xml:space="preserve"> </w:t>
      </w:r>
      <w:r>
        <w:t xml:space="preserve">Taken together, we are confident that the groups do not differ in any meaningful way with regard to use of/proficiency in Spanish.</w:t>
      </w:r>
      <w:r>
        <w:t xml:space="preserve"> </w:t>
      </w:r>
      <w:hyperlink w:anchor="tbl-prof-use-desc">
        <w:r>
          <w:rPr>
            <w:rStyle w:val="Hyperlink"/>
          </w:rPr>
          <w:t xml:space="preserve">Table 1</w:t>
        </w:r>
      </w:hyperlink>
      <w:r>
        <w:t xml:space="preserve"> </w:t>
      </w:r>
      <w:r>
        <w:t xml:space="preserve">provides descriptive statistics and summarizes the models.</w:t>
      </w:r>
    </w:p>
    <w:bookmarkStart w:id="23" w:name="tbl-prof-use-desc"/>
    <w:p>
      <w:pPr>
        <w:pStyle w:val="TableCaption"/>
      </w:pPr>
      <w:r>
        <w:t xml:space="preserve">Table 1: Language use and proficiency assessments for the heritage and L2 bilingual groups. The table reports the mean and standard deviation, as well as posterior estimates of the marginal mean difference (L2 - HL) and the 95% highest denisty credible interval (in brackets). The proportion of the posterior density falling within the region of practical equivalence (±0.1) is reported in the ROPE column. The probability that the effect is of the median’s sign is reported in the PD column.</w:t>
      </w:r>
    </w:p>
    <w:tbl>
      <w:tblPr>
        <w:tblStyle w:val="Table"/>
        <w:tblW w:type="auto" w:w="0"/>
        <w:tblLook w:firstRow="1" w:lastRow="0" w:firstColumn="0" w:lastColumn="0" w:noHBand="0" w:noVBand="0" w:val="0020"/>
        <w:tblCaption w:val="Table 1: Language use and proficiency assessments for the heritage and L2 bilingual groups. The table reports the mean and standard deviation, as well as posterior estimates of the marginal mean difference (L2 - HL) and the 95% highest denisty credible interval (in brackets). The proportion of the posterior density falling within the region of practical equivalence (±0.1) is reported in the ROPE column. The probability that the effect is of the median’s sign is reported in the PD column."/>
      </w:tblPr>
      <w:tblGrid>
        <w:gridCol w:w="1131"/>
        <w:gridCol w:w="1131"/>
        <w:gridCol w:w="1131"/>
        <w:gridCol w:w="1131"/>
        <w:gridCol w:w="1131"/>
        <w:gridCol w:w="1131"/>
        <w:gridCol w:w="1131"/>
      </w:tblGrid>
      <w:tr>
        <w:trPr>
          <w:tblHeader w:val="true"/>
        </w:trPr>
        <w:tc>
          <w:tcPr/>
          <w:p>
            <w:pPr>
              <w:pStyle w:val="Compact"/>
              <w:jc w:val="left"/>
            </w:pPr>
            <w:r>
              <w:t xml:space="preserve">Metric</w:t>
            </w:r>
          </w:p>
        </w:tc>
        <w:tc>
          <w:tcPr/>
          <w:p>
            <w:pPr>
              <w:pStyle w:val="Compact"/>
              <w:jc w:val="right"/>
            </w:pPr>
            <w:r>
              <w:t xml:space="preserve">HL (n = 42)</w:t>
            </w:r>
          </w:p>
        </w:tc>
        <w:tc>
          <w:tcPr/>
          <w:p>
            <w:pPr>
              <w:pStyle w:val="Compact"/>
              <w:jc w:val="right"/>
            </w:pPr>
            <w:r>
              <w:t xml:space="preserve">L2 (n = 50)</w:t>
            </w:r>
          </w:p>
        </w:tc>
        <w:tc>
          <w:tcPr/>
          <w:p>
            <w:pPr>
              <w:pStyle w:val="Compact"/>
              <w:jc w:val="left"/>
            </w:pPr>
            <w:r>
              <w:t xml:space="preserve">Contrast</w:t>
            </w:r>
          </w:p>
        </w:tc>
        <w:tc>
          <w:tcPr/>
          <w:p>
            <w:pPr>
              <w:pStyle w:val="Compact"/>
              <w:jc w:val="right"/>
            </w:pPr>
            <w:r>
              <w:t xml:space="preserve">Estimate</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Proficiency</w:t>
            </w:r>
          </w:p>
        </w:tc>
        <w:tc>
          <w:tcPr/>
          <w:p>
            <w:pPr>
              <w:pStyle w:val="Compact"/>
              <w:jc w:val="right"/>
            </w:pPr>
            <w:r>
              <w:t xml:space="preserve">0.70 (0.09)</w:t>
            </w:r>
          </w:p>
        </w:tc>
        <w:tc>
          <w:tcPr/>
          <w:p>
            <w:pPr>
              <w:pStyle w:val="Compact"/>
              <w:jc w:val="right"/>
            </w:pPr>
            <w:r>
              <w:t xml:space="preserve">0.71 (0.14)</w:t>
            </w:r>
          </w:p>
        </w:tc>
        <w:tc>
          <w:tcPr/>
          <w:p>
            <w:pPr>
              <w:pStyle w:val="Compact"/>
              <w:jc w:val="left"/>
            </w:pPr>
            <w:r>
              <w:t xml:space="preserve">L2 - HL</w:t>
            </w:r>
          </w:p>
        </w:tc>
        <w:tc>
          <w:tcPr/>
          <w:p>
            <w:pPr>
              <w:pStyle w:val="Compact"/>
              <w:jc w:val="right"/>
            </w:pPr>
            <w:r>
              <w:t xml:space="preserve">0.02 [−0.03, 0.07]</w:t>
            </w:r>
          </w:p>
        </w:tc>
        <w:tc>
          <w:tcPr/>
          <w:p>
            <w:pPr>
              <w:pStyle w:val="Compact"/>
              <w:jc w:val="right"/>
            </w:pPr>
            <w:r>
              <w:t xml:space="preserve">1</w:t>
            </w:r>
          </w:p>
        </w:tc>
        <w:tc>
          <w:tcPr/>
          <w:p>
            <w:pPr>
              <w:pStyle w:val="Compact"/>
              <w:jc w:val="right"/>
            </w:pPr>
            <w:r>
              <w:t xml:space="preserve">0.77</w:t>
            </w:r>
          </w:p>
        </w:tc>
      </w:tr>
      <w:tr>
        <w:tc>
          <w:tcPr/>
          <w:p>
            <w:pPr>
              <w:pStyle w:val="Compact"/>
              <w:jc w:val="left"/>
            </w:pPr>
            <w:r>
              <w:t xml:space="preserve">Use</w:t>
            </w:r>
          </w:p>
        </w:tc>
        <w:tc>
          <w:tcPr/>
          <w:p>
            <w:pPr>
              <w:pStyle w:val="Compact"/>
              <w:jc w:val="right"/>
            </w:pPr>
            <w:r>
              <w:t xml:space="preserve">0.41 (0.15)</w:t>
            </w:r>
          </w:p>
        </w:tc>
        <w:tc>
          <w:tcPr/>
          <w:p>
            <w:pPr>
              <w:pStyle w:val="Compact"/>
              <w:jc w:val="right"/>
            </w:pPr>
            <w:r>
              <w:t xml:space="preserve">0.38 (0.16)</w:t>
            </w:r>
          </w:p>
        </w:tc>
        <w:tc>
          <w:tcPr/>
          <w:p>
            <w:pPr>
              <w:pStyle w:val="Compact"/>
              <w:jc w:val="left"/>
            </w:pPr>
            <w:r>
              <w:t xml:space="preserve">L2 - HL</w:t>
            </w:r>
          </w:p>
        </w:tc>
        <w:tc>
          <w:tcPr/>
          <w:p>
            <w:pPr>
              <w:pStyle w:val="Compact"/>
              <w:jc w:val="right"/>
            </w:pPr>
            <w:r>
              <w:t xml:space="preserve">−0.02 [−0.09, 0.05]</w:t>
            </w:r>
          </w:p>
        </w:tc>
        <w:tc>
          <w:tcPr/>
          <w:p>
            <w:pPr>
              <w:pStyle w:val="Compact"/>
              <w:jc w:val="right"/>
            </w:pPr>
            <w:r>
              <w:t xml:space="preserve">1</w:t>
            </w:r>
          </w:p>
        </w:tc>
        <w:tc>
          <w:tcPr/>
          <w:p>
            <w:pPr>
              <w:pStyle w:val="Compact"/>
              <w:jc w:val="right"/>
            </w:pPr>
            <w:r>
              <w:t xml:space="preserve">0.72</w:t>
            </w:r>
          </w:p>
        </w:tc>
      </w:tr>
    </w:tbl>
    <w:bookmarkEnd w:id="23"/>
    <w:bookmarkEnd w:id="24"/>
    <w:bookmarkStart w:id="27" w:name="statistical-analyses"/>
    <w:p>
      <w:pPr>
        <w:pStyle w:val="Heading2"/>
      </w:pPr>
      <w:r>
        <w:t xml:space="preserve">2.2 Statistical analyses</w:t>
      </w:r>
    </w:p>
    <w:p>
      <w:pPr>
        <w:pStyle w:val="FirstParagraph"/>
      </w:pPr>
      <w:r>
        <w:t xml:space="preserve">We fit a series of Bayesian regression analyses to examine to time course data.</w:t>
      </w:r>
      <w:r>
        <w:t xml:space="preserve"> </w:t>
      </w:r>
      <w:r>
        <w:t xml:space="preserve">The primary model is a Generalized Additive Mixed Model</w:t>
      </w:r>
      <w:r>
        <w:t xml:space="preserve"> </w:t>
      </w:r>
      <w:r>
        <w:t xml:space="preserve">(GAMM, Sóskuthy, 2017; Winter &amp; Wieling, 2016)</w:t>
      </w:r>
      <w:r>
        <w:t xml:space="preserve">.</w:t>
      </w:r>
      <w:r>
        <w:t xml:space="preserve"> </w:t>
      </w:r>
      <w:r>
        <w:t xml:space="preserve">GAMMs are useful for scrutinizing non-linear data, such as that typically associated with eye-tracking.</w:t>
      </w:r>
      <w:r>
        <w:rPr>
          <w:rStyle w:val="FootnoteReference"/>
        </w:rPr>
        <w:footnoteReference w:id="25"/>
      </w:r>
      <w:r>
        <w:t xml:space="preserve"> </w:t>
      </w:r>
      <w:r>
        <w:t xml:space="preserve">In subsequent analyses, we summarize the posterior predictive distribution to make inferences about the relationships between speaker groups, lexical stress, language proficiency, and language use.</w:t>
      </w:r>
      <w:r>
        <w:t xml:space="preserve"> </w:t>
      </w:r>
      <w:r>
        <w:t xml:space="preserve">Given the distinct nature of some of these analyses, we provide a brief description of the statistical approach at the beginning of each of the corresponding subsections.</w:t>
      </w:r>
      <w:r>
        <w:t xml:space="preserve"> </w:t>
      </w:r>
      <w:r>
        <w:t xml:space="preserve">For all models, we use regularizing, weakly informative priors</w:t>
      </w:r>
      <w:r>
        <w:t xml:space="preserve"> </w:t>
      </w:r>
      <w:r>
        <w:t xml:space="preserve">(Gelman et al., 2017)</w:t>
      </w:r>
      <w:r>
        <w:t xml:space="preserve">.</w:t>
      </w:r>
      <w:r>
        <w:rPr>
          <w:rStyle w:val="FootnoteReference"/>
        </w:rPr>
        <w:footnoteReference w:id="26"/>
      </w:r>
      <w:r>
        <w:t xml:space="preserve"> </w:t>
      </w:r>
      <w:r>
        <w:t xml:space="preserve">In most cases, we established a region of practical equivalence (ROPE) around a point null value using the following formula</w:t>
      </w:r>
      <w:r>
        <w:t xml:space="preserve"> </w:t>
      </w:r>
      <w:r>
        <w:t xml:space="preserve">(See Kruschke, 2018)</w:t>
      </w:r>
      <w:r>
        <w:t xml:space="preserve">:</w:t>
      </w:r>
    </w:p>
    <w:p>
      <w:pPr>
        <w:pStyle w:val="BodyText"/>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We report mean posterior point estimates for parameters of interest, along with the 95% highest density credible interval (HDI), the percent of the region of the HDI contained within the ROPE, and the probability of direction for each effect (PD).</w:t>
      </w:r>
      <w:r>
        <w:t xml:space="preserve"> </w:t>
      </w:r>
      <w:r>
        <w:t xml:space="preserve">For statistical inferences, we focus on estimation rather than decision-making rules, though, generally, a posterior distribution for a parameter β in which 95% of the HDI falls outside the ROPE and a high PD (i.e., values close to 1) are taken as compelling evidence for a given effect.</w:t>
      </w:r>
      <w:r>
        <w:t xml:space="preserve"> </w:t>
      </w:r>
      <w:r>
        <w:t xml:space="preserve">We conducted all analyses using R (version 4.2.1)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61" w:name="results"/>
    <w:p>
      <w:pPr>
        <w:pStyle w:val="Heading1"/>
      </w:pPr>
      <w:r>
        <w:t xml:space="preserve">3. Results</w:t>
      </w:r>
    </w:p>
    <w:p>
      <w:pPr>
        <w:pStyle w:val="FirstParagraph"/>
      </w:pPr>
      <w:r>
        <w:t xml:space="preserve">The analyses are divided into three subsections.</w:t>
      </w:r>
      <w:r>
        <w:t xml:space="preserve"> </w:t>
      </w:r>
      <w:r>
        <w:t xml:space="preserve">First, we describe the trajectories of the time course.</w:t>
      </w:r>
      <w:r>
        <w:t xml:space="preserve"> </w:t>
      </w:r>
      <w:r>
        <w:t xml:space="preserve">Second, we evaluate suffix prediction at the target syllable offset.</w:t>
      </w:r>
      <w:r>
        <w:t xml:space="preserve"> </w:t>
      </w:r>
      <w:r>
        <w:t xml:space="preserve">Finally, we consider the effects of L2 use and proficiency.</w:t>
      </w:r>
    </w:p>
    <w:bookmarkStart w:id="41" w:name="sec-gamm"/>
    <w:p>
      <w:pPr>
        <w:pStyle w:val="Heading2"/>
      </w:pPr>
      <w:r>
        <w:t xml:space="preserve">3.1 The time course of morphological processing</w:t>
      </w:r>
    </w:p>
    <w:p>
      <w:pPr>
        <w:pStyle w:val="FirstParagraph"/>
      </w:pPr>
      <w:r>
        <w:t xml:space="preserve">The time course data from the eye-tracking task were analyzed to model how the probability of fixating on target items changed over time and under different suprasegmental conditions.</w:t>
      </w:r>
      <w:r>
        <w:t xml:space="preserve"> </w:t>
      </w:r>
      <w:r>
        <w:t xml:space="preserve">We downsampled the data to bins of 50 ms which were centered at the offset of the first syllable of target items.</w:t>
      </w:r>
      <w:r>
        <w:t xml:space="preserve"> </w:t>
      </w:r>
      <w:r>
        <w:t xml:space="preserve">The time course of fixation used for analysis ranged from 200 ms before target syllable offset to 600 ms after.</w:t>
      </w:r>
      <w:r>
        <w:t xml:space="preserve"> </w:t>
      </w:r>
      <w:r>
        <w:t xml:space="preserve">We chose this window because it captured the portion of the time course in which target fixations began to steadily increase from chance.</w:t>
      </w:r>
      <w:r>
        <w:t xml:space="preserve"> </w:t>
      </w:r>
      <w:hyperlink w:anchor="fig-raw-et-data-report">
        <w:r>
          <w:rPr>
            <w:rStyle w:val="Hyperlink"/>
          </w:rPr>
          <w:t xml:space="preserve">Figure 1</w:t>
        </w:r>
      </w:hyperlink>
      <w:r>
        <w:t xml:space="preserve"> </w:t>
      </w:r>
      <w:r>
        <w:t xml:space="preserve">illustrates the trajectories of the Monolingual, HL, and L2 groups as a function of lexical stress.</w:t>
      </w:r>
      <w:r>
        <w:t xml:space="preserve"> </w:t>
      </w:r>
      <w:r>
        <w:t xml:space="preserve">In both panels, we see that the probability of fixating on the target hovers around .5 and begins to increase as time increases.</w:t>
      </w:r>
      <w:r>
        <w:t xml:space="preserve"> </w:t>
      </w:r>
      <w:r>
        <w:t xml:space="preserve">Crucially, we also observe that the lines are not overlapping.</w:t>
      </w:r>
      <w:r>
        <w:t xml:space="preserve"> </w:t>
      </w:r>
      <w:r>
        <w:t xml:space="preserve">For both paroxytonic and oxytonic stress conditions, the monolingual group begins to fixate on the target earlier in the time course.</w:t>
      </w:r>
      <w:r>
        <w:t xml:space="preserve"> </w:t>
      </w:r>
      <w:r>
        <w:t xml:space="preserve">In essence, the HL and L2 groups are phase shifted to the right, representing later target fixation.</w:t>
      </w:r>
    </w:p>
    <w:tbl>
      <w:tblPr>
        <w:tblStyle w:val="Table"/>
        <w:tblW w:type="pct" w:w="5000"/>
        <w:tblLook w:firstRow="0" w:lastRow="0" w:firstColumn="0" w:lastColumn="0" w:noHBand="0" w:noVBand="0" w:val="0000"/>
      </w:tblPr>
      <w:tblGrid>
        <w:gridCol w:w="7920"/>
      </w:tblGrid>
      <w:tr>
        <w:tc>
          <w:tcPr/>
          <w:bookmarkStart w:id="32" w:name="fig-raw-et-data-report"/>
          <w:p>
            <w:pPr>
              <w:pStyle w:val="Figure"/>
              <w:jc w:val="center"/>
            </w:pPr>
            <w:r>
              <w:drawing>
                <wp:inline>
                  <wp:extent cx="5334000" cy="2667000"/>
                  <wp:effectExtent b="0" l="0" r="0" t="0"/>
                  <wp:docPr descr="" title="" id="30" name="Picture"/>
                  <a:graphic>
                    <a:graphicData uri="http://schemas.openxmlformats.org/drawingml/2006/picture">
                      <pic:pic>
                        <pic:nvPicPr>
                          <pic:cNvPr descr="../figs/checks-fixes-1.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course of raw target fixation data as a function of stress condition (paroxytone, oxytone) for monolingual, HL, and L2 groups. Transparent ribbons represent 99% bootstrapped confidence intervals.</w:t>
            </w:r>
          </w:p>
          <w:bookmarkEnd w:id="32"/>
        </w:tc>
      </w:tr>
    </w:tbl>
    <w:p>
      <w:pPr>
        <w:pStyle w:val="BodyText"/>
      </w:pPr>
      <w:r>
        <w:t xml:space="preserve">Given the binary nature of the outcome variable (target fixation, elsewhere), the likelihood was assumed to be binomially distributed.</w:t>
      </w:r>
      <w:r>
        <w:t xml:space="preserve"> </w:t>
      </w:r>
      <w:r>
        <w:t xml:space="preserve">The model assessed target fixations as a function of the parametric terms</w:t>
      </w:r>
      <w:r>
        <w:t xml:space="preserve"> </w:t>
      </w:r>
      <w:r>
        <w:rPr>
          <w:iCs/>
          <w:i/>
        </w:rPr>
        <w:t xml:space="preserve">group</w:t>
      </w:r>
      <w:r>
        <w:t xml:space="preserve"> </w:t>
      </w:r>
      <w:r>
        <w:t xml:space="preserve">(monolingual, HL, L2),</w:t>
      </w:r>
      <w:r>
        <w:t xml:space="preserve"> </w:t>
      </w:r>
      <w:r>
        <w:rPr>
          <w:iCs/>
          <w:i/>
        </w:rPr>
        <w:t xml:space="preserve">stress</w:t>
      </w:r>
      <w:r>
        <w:t xml:space="preserve"> </w:t>
      </w:r>
      <w:r>
        <w:t xml:space="preserve">(paroxytone, oxytone), and a non-linear function of time.</w:t>
      </w:r>
      <w:r>
        <w:t xml:space="preserve"> </w:t>
      </w:r>
      <w:r>
        <w:t xml:space="preserve">Both</w:t>
      </w:r>
      <w:r>
        <w:t xml:space="preserve"> </w:t>
      </w:r>
      <w:r>
        <w:rPr>
          <w:iCs/>
          <w:i/>
        </w:rPr>
        <w:t xml:space="preserve">group</w:t>
      </w:r>
      <w:r>
        <w:t xml:space="preserve"> </w:t>
      </w:r>
      <w:r>
        <w:t xml:space="preserve">and</w:t>
      </w:r>
      <w:r>
        <w:t xml:space="preserve"> </w:t>
      </w:r>
      <w:r>
        <w:rPr>
          <w:iCs/>
          <w:i/>
        </w:rPr>
        <w:t xml:space="preserve">stress</w:t>
      </w:r>
      <w:r>
        <w:t xml:space="preserve"> </w:t>
      </w:r>
      <w:r>
        <w:t xml:space="preserve">were set as ordered variables with monolinguals and paroxytones coded as</w:t>
      </w:r>
      <w:r>
        <w:t xml:space="preserve"> </w:t>
      </w:r>
      <w:r>
        <w:t xml:space="preserve">‘</w:t>
      </w:r>
      <w:r>
        <w:t xml:space="preserve">0</w:t>
      </w:r>
      <w:r>
        <w:t xml:space="preserve">’</w:t>
      </w:r>
      <w:r>
        <w:t xml:space="preserve">.</w:t>
      </w:r>
      <w:r>
        <w:t xml:space="preserve"> </w:t>
      </w:r>
      <w:r>
        <w:t xml:space="preserve">We implemented cubic regression splines with four basis knots as (a) a reference smooth to time, (b) as a difference smooth to time conditioned on stress, and (c) as a random smooth for each participant conditioned on time.</w:t>
      </w:r>
      <w:r>
        <w:t xml:space="preserve"> </w:t>
      </w:r>
      <w:r>
        <w:t xml:space="preserve">Thus, we use the trajectory of the monolinguals’ target fixations to paroxytone words (e.g., CANta) as the baseline and compared it the trajectories of the other groups.</w:t>
      </w:r>
      <w:r>
        <w:t xml:space="preserve"> </w:t>
      </w:r>
      <w:r>
        <w:t xml:space="preserve">The forest plot in</w:t>
      </w:r>
      <w:r>
        <w:t xml:space="preserve"> </w:t>
      </w:r>
      <w:hyperlink w:anchor="fig-forest-plot-group-gamm-report">
        <w:r>
          <w:rPr>
            <w:rStyle w:val="Hyperlink"/>
          </w:rPr>
          <w:t xml:space="preserve">Figure 2</w:t>
        </w:r>
      </w:hyperlink>
      <w:r>
        <w:t xml:space="preserve"> </w:t>
      </w:r>
      <w:r>
        <w:t xml:space="preserve">illustrates the model summary (See supplementary materials for the complete summary in table form).</w:t>
      </w:r>
    </w:p>
    <w:tbl>
      <w:tblPr>
        <w:tblStyle w:val="Table"/>
        <w:tblW w:type="pct" w:w="5000"/>
        <w:tblLook w:firstRow="0" w:lastRow="0" w:firstColumn="0" w:lastColumn="0" w:noHBand="0" w:noVBand="0" w:val="0000"/>
      </w:tblPr>
      <w:tblGrid>
        <w:gridCol w:w="7920"/>
      </w:tblGrid>
      <w:tr>
        <w:tc>
          <w:tcPr/>
          <w:bookmarkStart w:id="36" w:name="fig-forest-plot-group-gamm-report"/>
          <w:p>
            <w:pPr>
              <w:pStyle w:val="Figure"/>
              <w:jc w:val="center"/>
            </w:pPr>
            <w:r>
              <w:drawing>
                <wp:inline>
                  <wp:extent cx="5334000" cy="4572000"/>
                  <wp:effectExtent b="0" l="0" r="0" t="0"/>
                  <wp:docPr descr="" title="" id="34" name="Picture"/>
                  <a:graphic>
                    <a:graphicData uri="http://schemas.openxmlformats.org/drawingml/2006/picture">
                      <pic:pic>
                        <pic:nvPicPr>
                          <pic:cNvPr descr="../figs/forest-plot-group-gamm-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Forest plot of the omnibus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36"/>
        </w:tc>
      </w:tr>
    </w:tbl>
    <w:p>
      <w:pPr>
        <w:pStyle w:val="BodyText"/>
      </w:pPr>
      <w:r>
        <w:t xml:space="preserve">In order to quantify and assess the between-group differences over time, we used the posterior predictive distribution to calculate posterior pairwise difference smooths.</w:t>
      </w:r>
      <w:r>
        <w:t xml:space="preserve"> </w:t>
      </w:r>
      <w:hyperlink w:anchor="fig-group-diff-smooths-plot">
        <w:r>
          <w:rPr>
            <w:rStyle w:val="Hyperlink"/>
          </w:rPr>
          <w:t xml:space="preserve">Figure 3</w:t>
        </w:r>
      </w:hyperlink>
      <w:r>
        <w:t xml:space="preserve"> </w:t>
      </w:r>
      <w:r>
        <w:t xml:space="preserve">illustrates these pairwise comparisons over the time course in the probability space.</w:t>
      </w:r>
      <w:r>
        <w:t xml:space="preserve"> </w:t>
      </w:r>
      <w:r>
        <w:t xml:space="preserve">Overall, the analysis shows that the monolingual group fixates on targets earlier than the HL and L2 groups in both stress conditions over the time-window we have selected.</w:t>
      </w:r>
      <w:r>
        <w:t xml:space="preserve"> </w:t>
      </w:r>
      <w:r>
        <w:t xml:space="preserve">The HL-L2 comparison suggests that the HL group fixates on targets slightly more and earlier in paxoytone condition, but the opposite is true in the oxytone condition.</w:t>
      </w:r>
    </w:p>
    <w:tbl>
      <w:tblPr>
        <w:tblStyle w:val="Table"/>
        <w:tblW w:type="pct" w:w="5000"/>
        <w:tblLook w:firstRow="0" w:lastRow="0" w:firstColumn="0" w:lastColumn="0" w:noHBand="0" w:noVBand="0" w:val="0000"/>
      </w:tblPr>
      <w:tblGrid>
        <w:gridCol w:w="7920"/>
      </w:tblGrid>
      <w:tr>
        <w:tc>
          <w:tcPr/>
          <w:bookmarkStart w:id="40" w:name="fig-group-diff-smooths-plot"/>
          <w:p>
            <w:pPr>
              <w:pStyle w:val="Figure"/>
              <w:jc w:val="center"/>
            </w:pPr>
            <w:r>
              <w:drawing>
                <wp:inline>
                  <wp:extent cx="5334000" cy="4572000"/>
                  <wp:effectExtent b="0" l="0" r="0" t="0"/>
                  <wp:docPr descr="" title="" id="38" name="Picture"/>
                  <a:graphic>
                    <a:graphicData uri="http://schemas.openxmlformats.org/drawingml/2006/picture">
                      <pic:pic>
                        <pic:nvPicPr>
                          <pic:cNvPr descr="../figs/group-diff-smooths-plot-1.png" id="39"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Pairwise difference smooths for paroxytone and oxytone items. From dark to light, the colors represent 95%, 80%, 70%, 60%, 50%, 35% and 10% highest density credible intervals.</w:t>
            </w:r>
          </w:p>
          <w:bookmarkEnd w:id="40"/>
        </w:tc>
      </w:tr>
    </w:tbl>
    <w:bookmarkEnd w:id="41"/>
    <w:bookmarkStart w:id="50" w:name="prediction-at-target-offset"/>
    <w:p>
      <w:pPr>
        <w:pStyle w:val="Heading2"/>
      </w:pPr>
      <w:r>
        <w:t xml:space="preserve">3.2 Prediction at target offset</w:t>
      </w:r>
    </w:p>
    <w:p>
      <w:pPr>
        <w:pStyle w:val="FirstParagraph"/>
      </w:pPr>
      <w:r>
        <w:t xml:space="preserve">In order to assess the participants’ ability to predict suffixes, we used the posterior predictive distribution of target fixations 200 ms after the target syllable offset</w:t>
      </w:r>
      <w:r>
        <w:t xml:space="preserve"> </w:t>
      </w:r>
      <w:r>
        <w:t xml:space="preserve">(i.e., the minimum time necessary to plan and launch a saccade, see Fischer, 1992)</w:t>
      </w:r>
      <w:r>
        <w:t xml:space="preserve">.</w:t>
      </w:r>
      <w:r>
        <w:t xml:space="preserve"> </w:t>
      </w:r>
      <w:r>
        <w:t xml:space="preserve">We assessed the probability that target fixation was greater than chance at this time point for each group, in each stress condition.</w:t>
      </w:r>
      <w:r>
        <w:t xml:space="preserve"> </w:t>
      </w:r>
      <w:r>
        <w:t xml:space="preserve">We implemented a ROPE of $</w:t>
      </w:r>
      <w:r>
        <w:t xml:space="preserve">$0.01 around a point null, chance value of 0.5.</w:t>
      </w:r>
      <w:r>
        <w:t xml:space="preserve"> </w:t>
      </w:r>
      <w:hyperlink w:anchor="fig-group-prediction-plot-report">
        <w:r>
          <w:rPr>
            <w:rStyle w:val="Hyperlink"/>
          </w:rPr>
          <w:t xml:space="preserve">Figure 4</w:t>
        </w:r>
      </w:hyperlink>
      <w:r>
        <w:t xml:space="preserve"> </w:t>
      </w:r>
      <w:r>
        <w:t xml:space="preserve">illustrates posterior distributions of target fixations.</w:t>
      </w:r>
    </w:p>
    <w:tbl>
      <w:tblPr>
        <w:tblStyle w:val="Table"/>
        <w:tblW w:type="pct" w:w="5000"/>
        <w:tblLook w:firstRow="0" w:lastRow="0" w:firstColumn="0" w:lastColumn="0" w:noHBand="0" w:noVBand="0" w:val="0000"/>
      </w:tblPr>
      <w:tblGrid>
        <w:gridCol w:w="7920"/>
      </w:tblGrid>
      <w:tr>
        <w:tc>
          <w:tcPr/>
          <w:bookmarkStart w:id="45" w:name="fig-group-prediction-plot-report"/>
          <w:p>
            <w:pPr>
              <w:pStyle w:val="Figure"/>
              <w:jc w:val="center"/>
            </w:pPr>
            <w:r>
              <w:drawing>
                <wp:inline>
                  <wp:extent cx="5334000" cy="2667000"/>
                  <wp:effectExtent b="0" l="0" r="0" t="0"/>
                  <wp:docPr descr="" title="" id="43" name="Picture"/>
                  <a:graphic>
                    <a:graphicData uri="http://schemas.openxmlformats.org/drawingml/2006/picture">
                      <pic:pic>
                        <pic:nvPicPr>
                          <pic:cNvPr descr="../figs/group-prediction-plot-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Proportion of target fixations 200ms after the offset of 1st syllable for monolingual, HL, and L2 groups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The density mass of a posterior distribution that falls below the upper bound of the ROPE is displayed in red and values above this threshold are purple.</w:t>
            </w:r>
          </w:p>
          <w:bookmarkEnd w:id="45"/>
        </w:tc>
      </w:tr>
    </w:tbl>
    <w:p>
      <w:pPr>
        <w:pStyle w:val="BodyText"/>
      </w:pPr>
      <w:r>
        <w:t xml:space="preserve">All groups fixated on targets above chance 200 ms after the target syllable offset with the exception of the HL group in the oxytone condition (β = 0.48, HDI = [0.45, 0.52], ROPE = 0.97, PD = 0.85).</w:t>
      </w:r>
      <w:r>
        <w:t xml:space="preserve"> </w:t>
      </w:r>
      <w:r>
        <w:t xml:space="preserve">Approximately 97% of the HDI fell below the upper bound of the ROPE and there is an 85% chance that the estimate is below 0.5.</w:t>
      </w:r>
      <w:r>
        <w:t xml:space="preserve"> </w:t>
      </w:r>
      <w:r>
        <w:t xml:space="preserve">Additionally, a small portion of the posterior probability mass of the L2 group in the paroxytone condition fell within the ROPE (β = 0.54, HDI = [0.51, 0.57], ROPE = 0.01, PD = 1), though, given the model, the data and our prior assumptions, the effect is nearly certain to be above 0.5.</w:t>
      </w:r>
    </w:p>
    <w:p>
      <w:pPr>
        <w:pStyle w:val="BodyText"/>
      </w:pPr>
      <w:r>
        <w:t xml:space="preserve">Next, we assessed the rate of target fixations at the same time point (i.e., 200 ms after the offset of the target syllable).</w:t>
      </w:r>
      <w:r>
        <w:t xml:space="preserve"> </w:t>
      </w:r>
      <w:r>
        <w:t xml:space="preserve">While the previous assessment explained</w:t>
      </w:r>
      <w:r>
        <w:t xml:space="preserve"> </w:t>
      </w:r>
      <w:r>
        <w:rPr>
          <w:iCs/>
          <w:i/>
        </w:rPr>
        <w:t xml:space="preserve">if</w:t>
      </w:r>
      <w:r>
        <w:t xml:space="preserve"> </w:t>
      </w:r>
      <w:r>
        <w:t xml:space="preserve">participants fixate on targets before hearing a critical suffix, this analysis sheds light on how fast target fixations occur by calculating the partial derivative (i.e., slope) of the trajectory at this time point.</w:t>
      </w:r>
      <w:r>
        <w:t xml:space="preserve"> </w:t>
      </w:r>
      <w:r>
        <w:t xml:space="preserve">The top panels of</w:t>
      </w:r>
      <w:r>
        <w:t xml:space="preserve"> </w:t>
      </w:r>
      <w:hyperlink w:anchor="fig-marginal-slopes-plot-report">
        <w:r>
          <w:rPr>
            <w:rStyle w:val="Hyperlink"/>
          </w:rPr>
          <w:t xml:space="preserve">Figure 5</w:t>
        </w:r>
      </w:hyperlink>
      <w:r>
        <w:t xml:space="preserve"> </w:t>
      </w:r>
      <w:r>
        <w:t xml:space="preserve">show the marginal slope estimates for each group for paroxtone and oxytone words.</w:t>
      </w:r>
      <w:r>
        <w:t xml:space="preserve"> </w:t>
      </w:r>
      <w:r>
        <w:t xml:space="preserve">The bottom panels of</w:t>
      </w:r>
      <w:r>
        <w:t xml:space="preserve"> </w:t>
      </w:r>
      <w:hyperlink w:anchor="fig-marginal-slopes-plot-report">
        <w:r>
          <w:rPr>
            <w:rStyle w:val="Hyperlink"/>
          </w:rPr>
          <w:t xml:space="preserve">Figure 5</w:t>
        </w:r>
      </w:hyperlink>
      <w:r>
        <w:t xml:space="preserve"> </w:t>
      </w:r>
      <w:r>
        <w:t xml:space="preserve">provide pairwise group comparisons in each condition.</w:t>
      </w:r>
      <w:r>
        <w:t xml:space="preserve"> </w:t>
      </w:r>
      <w:r>
        <w:t xml:space="preserve">The monolingual group had a slower rate of target fixation (i.e., a less steep slope) than the HL group for paroxytones (β = -0.004, HDI = [-0.008, -0.001], ROPE = 0, PD = 0.999) and oxytones (β = -0.006, HDI = [-0.010, -0.004], ROPE = 0, PD = 1).</w:t>
      </w:r>
      <w:r>
        <w:t xml:space="preserve"> </w:t>
      </w:r>
      <w:r>
        <w:t xml:space="preserve">This was also the case when compared with L2 learners (Paroxytones: β = -0.006, HDI = [-0.009, -0.003], ROPE = 0, PD = 1; Oxytones: β = -0.006, HDI = [-0.009, -0.003], ROPE = 0, PD = 1).</w:t>
      </w:r>
      <w:r>
        <w:t xml:space="preserve"> </w:t>
      </w:r>
      <w:r>
        <w:t xml:space="preserve">Upon comparing the HL and L2 groups, we do not find compelling evidence that either group has a faster rate of target fixation.</w:t>
      </w:r>
      <w:r>
        <w:t xml:space="preserve"> </w:t>
      </w:r>
      <w:r>
        <w:t xml:space="preserve">In the paroxytone condition, the L2 group might be slightly faster, but nearly half the HDI fell within the ROPE (β = -0.001, HDI = [-0.003, 0.000], ROPE = 0.514, PD = 0.922).</w:t>
      </w:r>
      <w:r>
        <w:t xml:space="preserve"> </w:t>
      </w:r>
      <w:r>
        <w:t xml:space="preserve">In the oxytone condition the opposite was true, that is, the L2 group may have been slightly slower, but, again, a large portion of the HDI fell within the ROPE (β = 0.001, HDI = [0.000, 0.002], ROPE = 0.697, PD = 0.957).</w:t>
      </w:r>
      <w:r>
        <w:t xml:space="preserve"> </w:t>
      </w:r>
      <w:r>
        <w:t xml:space="preserve">Taken together, we do not believe there is compelling evidence that the rate of target fixation differs between the HL and L2 groups.</w:t>
      </w:r>
      <w:r>
        <w:t xml:space="preserve"> </w:t>
      </w:r>
      <w:r>
        <w:t xml:space="preserve">Additional plots and a table summary are provided in the supplementary materials.</w:t>
      </w:r>
    </w:p>
    <w:tbl>
      <w:tblPr>
        <w:tblStyle w:val="Table"/>
        <w:tblW w:type="pct" w:w="5000"/>
        <w:tblLook w:firstRow="0" w:lastRow="0" w:firstColumn="0" w:lastColumn="0" w:noHBand="0" w:noVBand="0" w:val="0000"/>
      </w:tblPr>
      <w:tblGrid>
        <w:gridCol w:w="7920"/>
      </w:tblGrid>
      <w:tr>
        <w:tc>
          <w:tcPr/>
          <w:bookmarkStart w:id="49" w:name="fig-marginal-slopes-plot-report"/>
          <w:p>
            <w:pPr>
              <w:pStyle w:val="Figure"/>
              <w:jc w:val="center"/>
            </w:pPr>
            <w:r>
              <w:drawing>
                <wp:inline>
                  <wp:extent cx="5334000" cy="4572000"/>
                  <wp:effectExtent b="0" l="0" r="0" t="0"/>
                  <wp:docPr descr="" title="" id="47" name="Picture"/>
                  <a:graphic>
                    <a:graphicData uri="http://schemas.openxmlformats.org/drawingml/2006/picture">
                      <pic:pic>
                        <pic:nvPicPr>
                          <pic:cNvPr descr="../figs/group-marginal-slopes-table-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Marginal slope estimates (top panels) and pairwise difference estimates (bottom panels) for monolingual, HL, and L2 groups 200ms after the target syllable offset in paroxytone (</w:t>
            </w:r>
            <w:r>
              <w:rPr>
                <w:iCs/>
                <w:i/>
              </w:rPr>
              <w:t xml:space="preserve">CANto</w:t>
            </w:r>
            <w:r>
              <w:t xml:space="preserve">) and oxytone (</w:t>
            </w:r>
            <w:r>
              <w:rPr>
                <w:iCs/>
                <w:i/>
              </w:rPr>
              <w:t xml:space="preserve">canTO</w:t>
            </w:r>
            <w:r>
              <w:t xml:space="preserve">) conditions. Points represent posterior means along with the 66% and 95% HDI. In the bottom panels, the vertical blue rectangle illustrates a ROPE of ±0.001. Posterior mass falling within the ROPE is depicted in red and values outside the ROPE are in purple.</w:t>
            </w:r>
          </w:p>
          <w:bookmarkEnd w:id="49"/>
        </w:tc>
      </w:tr>
    </w:tbl>
    <w:bookmarkEnd w:id="50"/>
    <w:bookmarkStart w:id="60" w:name="sec-prof-use"/>
    <w:p>
      <w:pPr>
        <w:pStyle w:val="Heading2"/>
      </w:pPr>
      <w:r>
        <w:t xml:space="preserve">3.3 Proficiency and use</w:t>
      </w:r>
    </w:p>
    <w:p>
      <w:pPr>
        <w:pStyle w:val="FirstParagraph"/>
      </w:pPr>
      <w:r>
        <w:t xml:space="preserve">In order to assess the effects of language proficiency and use, we took a subset of the bilingual data (HL and L2 groups).</w:t>
      </w:r>
      <w:r>
        <w:t xml:space="preserve"> </w:t>
      </w:r>
      <w:r>
        <w:t xml:space="preserve">Specifically, we used the data from the time bin that corresponded with 200 ms after the offset of the initial syllable in the target items.</w:t>
      </w:r>
      <w:r>
        <w:t xml:space="preserve"> </w:t>
      </w:r>
      <w:r>
        <w:t xml:space="preserve">We calculated the proportion of target fixations for each participant, in each condition and submitted these proportions to a zero-inflated beta regression model.</w:t>
      </w:r>
      <w:r>
        <w:rPr>
          <w:rStyle w:val="FootnoteReference"/>
        </w:rPr>
        <w:footnoteReference w:id="51"/>
      </w:r>
      <w:r>
        <w:t xml:space="preserve"> </w:t>
      </w:r>
      <w:r>
        <w:t xml:space="preserve">The outcome was modeled as a function of group (HL, L2), stress (paroxytone, oxytone), use, and proficiency.</w:t>
      </w:r>
      <w:r>
        <w:t xml:space="preserve"> </w:t>
      </w:r>
      <w:r>
        <w:t xml:space="preserve">The group and stress predictors were sum coded (-1, 1) and the continuous predictors were standardized (i.e., converted to z-scores), thus the model intercept provided an estimate of target fixation marginalizing over</w:t>
      </w:r>
      <w:r>
        <w:t xml:space="preserve"> </w:t>
      </w:r>
      <w:r>
        <w:rPr>
          <w:iCs/>
          <w:i/>
        </w:rPr>
        <w:t xml:space="preserve">group</w:t>
      </w:r>
      <w:r>
        <w:t xml:space="preserve"> </w:t>
      </w:r>
      <w:r>
        <w:t xml:space="preserve">and</w:t>
      </w:r>
      <w:r>
        <w:t xml:space="preserve"> </w:t>
      </w:r>
      <w:r>
        <w:rPr>
          <w:iCs/>
          <w:i/>
        </w:rPr>
        <w:t xml:space="preserve">stress</w:t>
      </w:r>
      <w:r>
        <w:t xml:space="preserve">, with</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equal to 0 (i.e., at the unstandardized mean).</w:t>
      </w:r>
      <w:r>
        <w:t xml:space="preserve"> </w:t>
      </w:r>
      <w:r>
        <w:t xml:space="preserve">We included a group-level effect for participants with a varying slope for stress.</w:t>
      </w:r>
      <w:r>
        <w:t xml:space="preserve"> </w:t>
      </w:r>
      <w:r>
        <w:t xml:space="preserve">A full description of the model specification and priors is available in the supplementary materials.</w:t>
      </w:r>
    </w:p>
    <w:p>
      <w:pPr>
        <w:pStyle w:val="BodyText"/>
      </w:pPr>
      <w:r>
        <w:t xml:space="preserve">The overall probability of fixating on a target was approximately 0.53 (Intercept: β = 0.11, HDI = [0.01, 0.22], ROPE = 0.39, PD = 0.99).</w:t>
      </w:r>
      <w:r>
        <w:t xml:space="preserve"> </w:t>
      </w:r>
      <w:r>
        <w:t xml:space="preserve">There was no main effect for group (β = −0.05, HDI = [−0.16, 0.05], ROPE = 0.83, PD = 0.83), nor stress (β = −0.02, HDI = [−0.12, 0.08], ROPE = 0.97, PD = 0.63), though the two predictors did interact (β = 0.17, HDI = [0.06, 0.27], ROPE = 0.08, PD = 1).</w:t>
      </w:r>
      <w:r>
        <w:t xml:space="preserve"> </w:t>
      </w:r>
      <w:r>
        <w:t xml:space="preserve">Holding proficiency and use constant at their mean, the HL group fixated on targets at a higher rate in the paroxytone condition (β = 0.57, HDI = [0.45, 0.69]) than in the oxytone condition (β = 0.48, HDI = [0.38, 0.58]).</w:t>
      </w:r>
      <w:r>
        <w:t xml:space="preserve"> </w:t>
      </w:r>
      <w:r>
        <w:t xml:space="preserve">The opposite was true for the L2 group (Paroxytone: β = 0.54, HDI = [0.42, 0.64]; Oxytone: β = 0.47, HDI = [0.35, 0.61]).</w:t>
      </w:r>
      <w:r>
        <w:t xml:space="preserve"> </w:t>
      </w:r>
      <w:r>
        <w:t xml:space="preserve">The forest plot provided in</w:t>
      </w:r>
      <w:r>
        <w:t xml:space="preserve"> </w:t>
      </w:r>
      <w:hyperlink w:anchor="fig-forest-plot-beta-reg-report">
        <w:r>
          <w:rPr>
            <w:rStyle w:val="Hyperlink"/>
          </w:rPr>
          <w:t xml:space="preserve">Figure 6</w:t>
        </w:r>
      </w:hyperlink>
      <w:r>
        <w:t xml:space="preserve"> </w:t>
      </w:r>
      <w:r>
        <w:t xml:space="preserve">summarizes the model.</w:t>
      </w:r>
      <w:r>
        <w:t xml:space="preserve"> </w:t>
      </w:r>
      <w:r>
        <w:t xml:space="preserve">Additional figures and tables are available in the supplementary materials.</w:t>
      </w:r>
    </w:p>
    <w:tbl>
      <w:tblPr>
        <w:tblStyle w:val="Table"/>
        <w:tblW w:type="pct" w:w="5000"/>
        <w:tblLook w:firstRow="0" w:lastRow="0" w:firstColumn="0" w:lastColumn="0" w:noHBand="0" w:noVBand="0" w:val="0000"/>
      </w:tblPr>
      <w:tblGrid>
        <w:gridCol w:w="7920"/>
      </w:tblGrid>
      <w:tr>
        <w:tc>
          <w:tcPr/>
          <w:bookmarkStart w:id="55" w:name="fig-forest-plot-beta-reg-report"/>
          <w:p>
            <w:pPr>
              <w:pStyle w:val="Figure"/>
              <w:jc w:val="center"/>
            </w:pPr>
            <w:r>
              <w:drawing>
                <wp:inline>
                  <wp:extent cx="5334000" cy="4572000"/>
                  <wp:effectExtent b="0" l="0" r="0" t="0"/>
                  <wp:docPr descr="" title="" id="53" name="Picture"/>
                  <a:graphic>
                    <a:graphicData uri="http://schemas.openxmlformats.org/drawingml/2006/picture">
                      <pic:pic>
                        <pic:nvPicPr>
                          <pic:cNvPr descr="../figs/forest-plot-beta-reg-1.png" id="54" name="Picture"/>
                          <pic:cNvPicPr>
                            <a:picLocks noChangeArrowheads="1" noChangeAspect="1"/>
                          </pic:cNvPicPr>
                        </pic:nvPicPr>
                        <pic:blipFill>
                          <a:blip r:embed="rId52"/>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Forest plot of the zero-inflated beta regression. The horizontal axis represents the models estimates in log-odds. The vertical axis lists the terms estimated in the model. The points illustrate the posterior mean along with the 66% and 95% HDI. The vertical facetting separates the estimates into population-level and group-level effects.</w:t>
            </w:r>
          </w:p>
          <w:bookmarkEnd w:id="55"/>
        </w:tc>
      </w:tr>
    </w:tbl>
    <w:p>
      <w:pPr>
        <w:pStyle w:val="BodyText"/>
      </w:pPr>
      <w:r>
        <w:t xml:space="preserve">There was also evidence of a group</w:t>
      </w:r>
      <w:r>
        <w:t xml:space="preserve"> </w:t>
      </w:r>
      <m:oMath>
        <m:r>
          <m:rPr>
            <m:sty m:val="p"/>
          </m:rPr>
          <m:t>×</m:t>
        </m:r>
      </m:oMath>
      <w:r>
        <w:t xml:space="preserve"> </w:t>
      </w:r>
      <w:r>
        <w:t xml:space="preserve">use interaction (β = −0.13, HDI = [−0.23, −0.02], ROPE = 0.3, PD = 0.99).</w:t>
      </w:r>
      <w:r>
        <w:t xml:space="preserve"> </w:t>
      </w:r>
      <w:r>
        <w:t xml:space="preserve">Although approximately 30% of the HDI fell within the ROPE, given data, the model, and our prior assumptions, we are 99% certain that the interaction effect is negative.</w:t>
      </w:r>
      <w:r>
        <w:t xml:space="preserve"> </w:t>
      </w:r>
      <w:hyperlink w:anchor="fig-bi-prof-use-heatmap-report">
        <w:r>
          <w:rPr>
            <w:rStyle w:val="Hyperlink"/>
          </w:rPr>
          <w:t xml:space="preserve">Figure 7</w:t>
        </w:r>
      </w:hyperlink>
      <w:r>
        <w:t xml:space="preserve"> </w:t>
      </w:r>
      <w:r>
        <w:t xml:space="preserve">provides a heat map that illustrates the relationship between proficiency, use, and stress in the bilingual groups.</w:t>
      </w:r>
      <w:r>
        <w:t xml:space="preserve"> </w:t>
      </w:r>
      <w:r>
        <w:t xml:space="preserve">For the HL group, one observes higher target fixations (lighter colors) in the upper righthand corners of each panel.</w:t>
      </w:r>
      <w:r>
        <w:t xml:space="preserve"> </w:t>
      </w:r>
      <w:r>
        <w:t xml:space="preserve">That is to say, the individuals of the HL group that tended to predict suffixes more at the target syllable offset were those with higher levels of use and proficiency, particularly in the oxytone condition.</w:t>
      </w:r>
      <w:r>
        <w:t xml:space="preserve"> </w:t>
      </w:r>
      <w:r>
        <w:t xml:space="preserve">Target fixation was higher, nearly across the board, in the paroxytone condition.</w:t>
      </w:r>
      <w:r>
        <w:t xml:space="preserve"> </w:t>
      </w:r>
      <w:r>
        <w:t xml:space="preserve">For the L2 group, on the other hand, one observes a higher propensity to predict suffixes (lighter colors) in the lower righthand corners of each panel, in other words, when proficiency is higher, but not necessarily language use.</w:t>
      </w:r>
      <w:r>
        <w:t xml:space="preserve"> </w:t>
      </w:r>
      <w:r>
        <w:t xml:space="preserve">Unlike the HL group, the L2 group seldom predicted in the paroxytone condition (upper right panel).</w:t>
      </w:r>
    </w:p>
    <w:tbl>
      <w:tblPr>
        <w:tblStyle w:val="Table"/>
        <w:tblW w:type="pct" w:w="5000"/>
        <w:tblLook w:firstRow="0" w:lastRow="0" w:firstColumn="0" w:lastColumn="0" w:noHBand="0" w:noVBand="0" w:val="0000"/>
      </w:tblPr>
      <w:tblGrid>
        <w:gridCol w:w="7920"/>
      </w:tblGrid>
      <w:tr>
        <w:tc>
          <w:tcPr/>
          <w:bookmarkStart w:id="59" w:name="fig-bi-prof-use-heatmap-report"/>
          <w:p>
            <w:pPr>
              <w:pStyle w:val="Figure"/>
              <w:jc w:val="center"/>
            </w:pPr>
            <w:r>
              <w:drawing>
                <wp:inline>
                  <wp:extent cx="5334000" cy="4572000"/>
                  <wp:effectExtent b="0" l="0" r="0" t="0"/>
                  <wp:docPr descr="" title="" id="57" name="Picture"/>
                  <a:graphic>
                    <a:graphicData uri="http://schemas.openxmlformats.org/drawingml/2006/picture">
                      <pic:pic>
                        <pic:nvPicPr>
                          <pic:cNvPr descr="../figs/bi-prof-use-heatmap-1.png" id="58" name="Picture"/>
                          <pic:cNvPicPr>
                            <a:picLocks noChangeArrowheads="1" noChangeAspect="1"/>
                          </pic:cNvPicPr>
                        </pic:nvPicPr>
                        <pic:blipFill>
                          <a:blip r:embed="rId5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Heatmap of target fixations 200ms after target syllable offset. The heatmap illustrates the marginal effects of normalized proficiency and use scores. The top rows illustrate model estimates for the paroxytone condtion, the middle rows marginalize over stress conditions, and the bottom rows represent model estimate for the oxytone condition. Moving from left to right, the first column provides estimates for the HL group, the middle column marginalizes over groups, and the rightmost column presents estimates for the L2 group. The vertical and horizontal axis display standardized language use and language proficiency (±2 SD), respectively.</w:t>
            </w:r>
          </w:p>
          <w:bookmarkEnd w:id="59"/>
        </w:tc>
      </w:tr>
    </w:tbl>
    <w:p>
      <w:r>
        <w:br w:type="page"/>
      </w:r>
    </w:p>
    <w:bookmarkEnd w:id="60"/>
    <w:bookmarkEnd w:id="61"/>
    <w:bookmarkStart w:id="104" w:name="references"/>
    <w:p>
      <w:pPr>
        <w:pStyle w:val="Heading1"/>
      </w:pPr>
      <w:r>
        <w:t xml:space="preserve">4. References</w:t>
      </w:r>
    </w:p>
    <w:bookmarkStart w:id="103" w:name="refs"/>
    <w:bookmarkStart w:id="63" w:name="ref-bullock2003analogy"/>
    <w:p>
      <w:pPr>
        <w:pStyle w:val="Bibliography"/>
      </w:pPr>
      <w:r>
        <w:t xml:space="preserve">Bullock, B., &amp; Lord, G. (2003). Analogy as a learning tool in second language acquisition. In A. T. Pérez-Leroux &amp; Y. Roberge (Eds.),</w:t>
      </w:r>
      <w:r>
        <w:t xml:space="preserve"> </w:t>
      </w:r>
      <w:r>
        <w:rPr>
          <w:iCs/>
          <w:i/>
        </w:rPr>
        <w:t xml:space="preserve">Romance linguistics: Theory and acquisition</w:t>
      </w:r>
      <w:r>
        <w:t xml:space="preserve"> </w:t>
      </w:r>
      <w:r>
        <w:t xml:space="preserve">(Vol. 244, pp. 281–297). John Benjamins Publishing.</w:t>
      </w:r>
      <w:r>
        <w:t xml:space="preserve"> </w:t>
      </w:r>
      <w:hyperlink r:id="rId62">
        <w:r>
          <w:rPr>
            <w:rStyle w:val="Hyperlink"/>
          </w:rPr>
          <w:t xml:space="preserve">https://doi.org/10.1075/cilt.244.21bul</w:t>
        </w:r>
      </w:hyperlink>
    </w:p>
    <w:bookmarkEnd w:id="63"/>
    <w:bookmarkStart w:id="65" w:name="ref-R_brms_a"/>
    <w:p>
      <w:pPr>
        <w:pStyle w:val="Bibliography"/>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4">
        <w:r>
          <w:rPr>
            <w:rStyle w:val="Hyperlink"/>
          </w:rPr>
          <w:t xml:space="preserve">https://doi.org/10.18637/jss.v080.i01</w:t>
        </w:r>
      </w:hyperlink>
    </w:p>
    <w:bookmarkEnd w:id="65"/>
    <w:bookmarkStart w:id="67" w:name="ref-R_brms_b"/>
    <w:p>
      <w:pPr>
        <w:pStyle w:val="Bibliography"/>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6">
        <w:r>
          <w:rPr>
            <w:rStyle w:val="Hyperlink"/>
          </w:rPr>
          <w:t xml:space="preserve">https://doi.org/10.32614/RJ-2018-017</w:t>
        </w:r>
      </w:hyperlink>
    </w:p>
    <w:bookmarkEnd w:id="67"/>
    <w:bookmarkStart w:id="69" w:name="ref-chrabaszcz2014acoustic"/>
    <w:p>
      <w:pPr>
        <w:pStyle w:val="Bibliography"/>
      </w:pPr>
      <w:r>
        <w:t xml:space="preserve">Chrabaszcz, A., Winn, M., Lin, C. Y., &amp; Idsardi, W. J. (2014). Acoustic cues to perception of word stress by english, mandarin, and russian speakers.</w:t>
      </w:r>
      <w:r>
        <w:t xml:space="preserve"> </w:t>
      </w:r>
      <w:r>
        <w:rPr>
          <w:iCs/>
          <w:i/>
        </w:rPr>
        <w:t xml:space="preserve">Journal of Speech, Language, and Hearing Research</w:t>
      </w:r>
      <w:r>
        <w:t xml:space="preserve">,</w:t>
      </w:r>
      <w:r>
        <w:t xml:space="preserve"> </w:t>
      </w:r>
      <w:r>
        <w:rPr>
          <w:iCs/>
          <w:i/>
        </w:rPr>
        <w:t xml:space="preserve">57</w:t>
      </w:r>
      <w:r>
        <w:t xml:space="preserve">(4), 1468–1479.</w:t>
      </w:r>
      <w:r>
        <w:t xml:space="preserve"> </w:t>
      </w:r>
      <w:hyperlink r:id="rId68">
        <w:r>
          <w:rPr>
            <w:rStyle w:val="Hyperlink"/>
          </w:rPr>
          <w:t xml:space="preserve">https://doi.org/10.1044/2014_JSLHR-L-13-0279</w:t>
        </w:r>
      </w:hyperlink>
    </w:p>
    <w:bookmarkEnd w:id="69"/>
    <w:bookmarkStart w:id="71" w:name="ref-cooper2002constraints"/>
    <w:p>
      <w:pPr>
        <w:pStyle w:val="Bibliography"/>
      </w:pPr>
      <w:r>
        <w:t xml:space="preserve">Cooper, N., Cutler, A., &amp; Wales, R. (2002). Constraints of lexical stress on lexical access in english: Evidence from native and non-native listeners.</w:t>
      </w:r>
      <w:r>
        <w:t xml:space="preserve"> </w:t>
      </w:r>
      <w:r>
        <w:rPr>
          <w:iCs/>
          <w:i/>
        </w:rPr>
        <w:t xml:space="preserve">Language and Speech</w:t>
      </w:r>
      <w:r>
        <w:t xml:space="preserve">,</w:t>
      </w:r>
      <w:r>
        <w:t xml:space="preserve"> </w:t>
      </w:r>
      <w:r>
        <w:rPr>
          <w:iCs/>
          <w:i/>
        </w:rPr>
        <w:t xml:space="preserve">45</w:t>
      </w:r>
      <w:r>
        <w:t xml:space="preserve">(3), 207–228.</w:t>
      </w:r>
      <w:r>
        <w:t xml:space="preserve"> </w:t>
      </w:r>
      <w:hyperlink r:id="rId70">
        <w:r>
          <w:rPr>
            <w:rStyle w:val="Hyperlink"/>
          </w:rPr>
          <w:t xml:space="preserve">https://doi.org/10.1177/002383090204500301</w:t>
        </w:r>
      </w:hyperlink>
    </w:p>
    <w:bookmarkEnd w:id="71"/>
    <w:bookmarkStart w:id="72" w:name="ref-cutler2012native"/>
    <w:p>
      <w:pPr>
        <w:pStyle w:val="Bibliography"/>
      </w:pPr>
      <w:r>
        <w:t xml:space="preserve">Cutler, A. (2012).</w:t>
      </w:r>
      <w:r>
        <w:t xml:space="preserve"> </w:t>
      </w:r>
      <w:r>
        <w:rPr>
          <w:iCs/>
          <w:i/>
        </w:rPr>
        <w:t xml:space="preserve">Native listening: Language experience and the recognition of spoken words</w:t>
      </w:r>
      <w:r>
        <w:t xml:space="preserve">. MIT Press.</w:t>
      </w:r>
    </w:p>
    <w:bookmarkEnd w:id="72"/>
    <w:bookmarkStart w:id="73" w:name="ref-face2000role"/>
    <w:p>
      <w:pPr>
        <w:pStyle w:val="Bibliography"/>
      </w:pPr>
      <w:r>
        <w:t xml:space="preserve">Face, T. L. (2000). The role of syllable weight in the perception of spanish stress. In H. Campos &amp; E. Herburger (Eds.),</w:t>
      </w:r>
      <w:r>
        <w:t xml:space="preserve"> </w:t>
      </w:r>
      <w:r>
        <w:rPr>
          <w:iCs/>
          <w:i/>
        </w:rPr>
        <w:t xml:space="preserve">Hispanic linguistics at the turn of the millennium</w:t>
      </w:r>
      <w:r>
        <w:t xml:space="preserve"> </w:t>
      </w:r>
      <w:r>
        <w:t xml:space="preserve">(pp. 1–13). Sommerville, MA: Cascadilla Proceedings Project.</w:t>
      </w:r>
    </w:p>
    <w:bookmarkEnd w:id="73"/>
    <w:bookmarkStart w:id="74" w:name="ref-face2005syllable"/>
    <w:p>
      <w:pPr>
        <w:pStyle w:val="Bibliography"/>
      </w:pPr>
      <w:r>
        <w:t xml:space="preserve">Face, T. L. (2005). Syllable weight and the perception of spanish stress placement by second language learners.</w:t>
      </w:r>
      <w:r>
        <w:t xml:space="preserve"> </w:t>
      </w:r>
      <w:r>
        <w:rPr>
          <w:iCs/>
          <w:i/>
        </w:rPr>
        <w:t xml:space="preserve">Journal of Language and Learning</w:t>
      </w:r>
      <w:r>
        <w:t xml:space="preserve">,</w:t>
      </w:r>
      <w:r>
        <w:t xml:space="preserve"> </w:t>
      </w:r>
      <w:r>
        <w:rPr>
          <w:iCs/>
          <w:i/>
        </w:rPr>
        <w:t xml:space="preserve">3</w:t>
      </w:r>
      <w:r>
        <w:t xml:space="preserve">, 90–103.</w:t>
      </w:r>
    </w:p>
    <w:bookmarkEnd w:id="74"/>
    <w:bookmarkStart w:id="76" w:name="ref-face2006cognitive"/>
    <w:p>
      <w:pPr>
        <w:pStyle w:val="Bibliography"/>
      </w:pPr>
      <w:r>
        <w:t xml:space="preserve">Face, T. L. (2006).</w:t>
      </w:r>
      <w:r>
        <w:t xml:space="preserve"> </w:t>
      </w:r>
      <w:r>
        <w:rPr>
          <w:iCs/>
          <w:i/>
        </w:rPr>
        <w:t xml:space="preserve">Cognitive factors in the perception of spanish stress placement: Implications for a model of speech perception</w:t>
      </w:r>
      <w:r>
        <w:t xml:space="preserve">.</w:t>
      </w:r>
      <w:r>
        <w:t xml:space="preserve"> </w:t>
      </w:r>
      <w:r>
        <w:rPr>
          <w:iCs/>
          <w:i/>
        </w:rPr>
        <w:t xml:space="preserve">44</w:t>
      </w:r>
      <w:r>
        <w:t xml:space="preserve">(6), 1237–1267.</w:t>
      </w:r>
      <w:r>
        <w:t xml:space="preserve"> </w:t>
      </w:r>
      <w:hyperlink r:id="rId75">
        <w:r>
          <w:rPr>
            <w:rStyle w:val="Hyperlink"/>
          </w:rPr>
          <w:t xml:space="preserve">https://doi.org/10.1515/LING.2006.040</w:t>
        </w:r>
      </w:hyperlink>
    </w:p>
    <w:bookmarkEnd w:id="76"/>
    <w:bookmarkStart w:id="78" w:name="ref-fischer1992saccadic"/>
    <w:p>
      <w:pPr>
        <w:pStyle w:val="Bibliography"/>
      </w:pPr>
      <w:r>
        <w:t xml:space="preserve">Fischer, B. (1992). Saccadic reaction time: Implications for reading, dyslexia, and visual cognition. In K. Rayner (Ed.),</w:t>
      </w:r>
      <w:r>
        <w:t xml:space="preserve"> </w:t>
      </w:r>
      <w:r>
        <w:rPr>
          <w:iCs/>
          <w:i/>
        </w:rPr>
        <w:t xml:space="preserve">Eye movements and visual cognition. Springer series in neuropsychology</w:t>
      </w:r>
      <w:r>
        <w:t xml:space="preserve"> </w:t>
      </w:r>
      <w:r>
        <w:t xml:space="preserve">(pp. 31–45). Springer.</w:t>
      </w:r>
      <w:r>
        <w:t xml:space="preserve"> </w:t>
      </w:r>
      <w:hyperlink r:id="rId77">
        <w:r>
          <w:rPr>
            <w:rStyle w:val="Hyperlink"/>
          </w:rPr>
          <w:t xml:space="preserve">https://doi.org/10.1007/978-1-4612-2852-3_3</w:t>
        </w:r>
      </w:hyperlink>
    </w:p>
    <w:bookmarkEnd w:id="78"/>
    <w:bookmarkStart w:id="80" w:name="ref-Gelman_2017"/>
    <w:p>
      <w:pPr>
        <w:pStyle w:val="Bibliography"/>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9">
        <w:r>
          <w:rPr>
            <w:rStyle w:val="Hyperlink"/>
          </w:rPr>
          <w:t xml:space="preserve">https://doi.org/10.3390/e19100555</w:t>
        </w:r>
      </w:hyperlink>
    </w:p>
    <w:bookmarkEnd w:id="80"/>
    <w:bookmarkStart w:id="82" w:name="ref-gordon2017acoustic"/>
    <w:p>
      <w:pPr>
        <w:pStyle w:val="Bibliography"/>
      </w:pPr>
      <w:r>
        <w:t xml:space="preserve">Gordon, M., &amp; Roettger, T. (2017). Acoustic correlates of word stress: A cross-linguistic survey.</w:t>
      </w:r>
      <w:r>
        <w:t xml:space="preserve"> </w:t>
      </w:r>
      <w:r>
        <w:rPr>
          <w:iCs/>
          <w:i/>
        </w:rPr>
        <w:t xml:space="preserve">Linguistics Vanguard</w:t>
      </w:r>
      <w:r>
        <w:t xml:space="preserve">,</w:t>
      </w:r>
      <w:r>
        <w:t xml:space="preserve"> </w:t>
      </w:r>
      <w:r>
        <w:rPr>
          <w:iCs/>
          <w:i/>
        </w:rPr>
        <w:t xml:space="preserve">3</w:t>
      </w:r>
      <w:r>
        <w:t xml:space="preserve">(1).</w:t>
      </w:r>
      <w:r>
        <w:t xml:space="preserve"> </w:t>
      </w:r>
      <w:hyperlink r:id="rId81">
        <w:r>
          <w:rPr>
            <w:rStyle w:val="Hyperlink"/>
          </w:rPr>
          <w:t xml:space="preserve">https://doi.org/10.1515/lingvan-2017-0007</w:t>
        </w:r>
      </w:hyperlink>
    </w:p>
    <w:bookmarkEnd w:id="82"/>
    <w:bookmarkStart w:id="84" w:name="ref-holt2006cue"/>
    <w:p>
      <w:pPr>
        <w:pStyle w:val="Bibliography"/>
      </w:pPr>
      <w:r>
        <w:t xml:space="preserve">Holt, L. L., &amp; Lotto, A. J. (2006). Cue weighting in auditory categorization: Implications for first and second language acquisition.</w:t>
      </w:r>
      <w:r>
        <w:t xml:space="preserve"> </w:t>
      </w:r>
      <w:r>
        <w:rPr>
          <w:iCs/>
          <w:i/>
        </w:rPr>
        <w:t xml:space="preserve">The Journal of the Acoustical Society of America</w:t>
      </w:r>
      <w:r>
        <w:t xml:space="preserve">,</w:t>
      </w:r>
      <w:r>
        <w:t xml:space="preserve"> </w:t>
      </w:r>
      <w:r>
        <w:rPr>
          <w:iCs/>
          <w:i/>
        </w:rPr>
        <w:t xml:space="preserve">119</w:t>
      </w:r>
      <w:r>
        <w:t xml:space="preserve">(5), 3059–3071.</w:t>
      </w:r>
      <w:r>
        <w:t xml:space="preserve"> </w:t>
      </w:r>
      <w:hyperlink r:id="rId83">
        <w:r>
          <w:rPr>
            <w:rStyle w:val="Hyperlink"/>
          </w:rPr>
          <w:t xml:space="preserve">https://doi.org/10.1121/1.2188377</w:t>
        </w:r>
      </w:hyperlink>
    </w:p>
    <w:bookmarkEnd w:id="84"/>
    <w:bookmarkStart w:id="86" w:name="ref-ingvalson2012can"/>
    <w:p>
      <w:pPr>
        <w:pStyle w:val="Bibliography"/>
      </w:pPr>
      <w:r>
        <w:t xml:space="preserve">Ingvalson, E. M., Holt, L. L., &amp; McClelland, J. L. (2012). Can native japanese listeners learn to differentiate /r-l/ on the basis of F3 onset frequency?</w:t>
      </w:r>
      <w:r>
        <w:t xml:space="preserve"> </w:t>
      </w:r>
      <w:r>
        <w:rPr>
          <w:iCs/>
          <w:i/>
        </w:rPr>
        <w:t xml:space="preserve">Bilingualism: Language and Cognition</w:t>
      </w:r>
      <w:r>
        <w:t xml:space="preserve">,</w:t>
      </w:r>
      <w:r>
        <w:t xml:space="preserve"> </w:t>
      </w:r>
      <w:r>
        <w:rPr>
          <w:iCs/>
          <w:i/>
        </w:rPr>
        <w:t xml:space="preserve">15</w:t>
      </w:r>
      <w:r>
        <w:t xml:space="preserve">(2), 255–274.</w:t>
      </w:r>
      <w:r>
        <w:t xml:space="preserve"> </w:t>
      </w:r>
      <w:hyperlink r:id="rId85">
        <w:r>
          <w:rPr>
            <w:rStyle w:val="Hyperlink"/>
          </w:rPr>
          <w:t xml:space="preserve">https://doi.org/10.1017/S1366728911000447</w:t>
        </w:r>
      </w:hyperlink>
    </w:p>
    <w:bookmarkEnd w:id="86"/>
    <w:bookmarkStart w:id="88" w:name="ref-iverson2003perceptual"/>
    <w:p>
      <w:pPr>
        <w:pStyle w:val="Bibliography"/>
      </w:pPr>
      <w:r>
        <w:t xml:space="preserve">Iverson, P., Kuhl, P. K., Akahane-Yamada, R., Diesch, E., Kettermann, A., Siebert, C., et al. (2003). A perceptual interference account of acquisition difficulties for non-native phonemes.</w:t>
      </w:r>
      <w:r>
        <w:t xml:space="preserve"> </w:t>
      </w:r>
      <w:r>
        <w:rPr>
          <w:iCs/>
          <w:i/>
        </w:rPr>
        <w:t xml:space="preserve">Cognition</w:t>
      </w:r>
      <w:r>
        <w:t xml:space="preserve">,</w:t>
      </w:r>
      <w:r>
        <w:t xml:space="preserve"> </w:t>
      </w:r>
      <w:r>
        <w:rPr>
          <w:iCs/>
          <w:i/>
        </w:rPr>
        <w:t xml:space="preserve">87</w:t>
      </w:r>
      <w:r>
        <w:t xml:space="preserve">(1), B47–B57.</w:t>
      </w:r>
      <w:r>
        <w:t xml:space="preserve"> </w:t>
      </w:r>
      <w:hyperlink r:id="rId87">
        <w:r>
          <w:rPr>
            <w:rStyle w:val="Hyperlink"/>
          </w:rPr>
          <w:t xml:space="preserve">https://doi.org/10.1016/s0010-0277(02)00198-1</w:t>
        </w:r>
      </w:hyperlink>
    </w:p>
    <w:bookmarkEnd w:id="88"/>
    <w:bookmarkStart w:id="89" w:name="ref-kruschke2018rejecting"/>
    <w:p>
      <w:pPr>
        <w:pStyle w:val="Bibliography"/>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9"/>
    <w:bookmarkStart w:id="90" w:name="ref-lord2007role"/>
    <w:p>
      <w:pPr>
        <w:pStyle w:val="Bibliography"/>
      </w:pPr>
      <w:r>
        <w:t xml:space="preserve">Lord, G. (2007). The role of the lexicon in learning second language stress patterns.</w:t>
      </w:r>
      <w:r>
        <w:t xml:space="preserve"> </w:t>
      </w:r>
      <w:r>
        <w:rPr>
          <w:iCs/>
          <w:i/>
        </w:rPr>
        <w:t xml:space="preserve">Applied Language Learning</w:t>
      </w:r>
      <w:r>
        <w:t xml:space="preserve">,</w:t>
      </w:r>
      <w:r>
        <w:t xml:space="preserve"> </w:t>
      </w:r>
      <w:r>
        <w:rPr>
          <w:iCs/>
          <w:i/>
        </w:rPr>
        <w:t xml:space="preserve">17</w:t>
      </w:r>
      <w:r>
        <w:t xml:space="preserve">(1-2), 1–14.</w:t>
      </w:r>
    </w:p>
    <w:bookmarkEnd w:id="90"/>
    <w:bookmarkStart w:id="92" w:name="ref-ortega2013english"/>
    <w:p>
      <w:pPr>
        <w:pStyle w:val="Bibliography"/>
      </w:pPr>
      <w:r>
        <w:t xml:space="preserve">Ortega-Llebaria, M., Gu, H., &amp; Fan, J. (2013). English speakers’ perception of spanish lexical stress: Context-driven L2 stress perception.</w:t>
      </w:r>
      <w:r>
        <w:t xml:space="preserve"> </w:t>
      </w:r>
      <w:r>
        <w:rPr>
          <w:iCs/>
          <w:i/>
        </w:rPr>
        <w:t xml:space="preserve">Journal of Phonetics</w:t>
      </w:r>
      <w:r>
        <w:t xml:space="preserve">,</w:t>
      </w:r>
      <w:r>
        <w:t xml:space="preserve"> </w:t>
      </w:r>
      <w:r>
        <w:rPr>
          <w:iCs/>
          <w:i/>
        </w:rPr>
        <w:t xml:space="preserve">41</w:t>
      </w:r>
      <w:r>
        <w:t xml:space="preserve">(3-4), 186–197.</w:t>
      </w:r>
      <w:r>
        <w:t xml:space="preserve"> </w:t>
      </w:r>
      <w:hyperlink r:id="rId91">
        <w:r>
          <w:rPr>
            <w:rStyle w:val="Hyperlink"/>
          </w:rPr>
          <w:t xml:space="preserve">https://doi.org/10.1016/j.wocn.2013.01.006</w:t>
        </w:r>
      </w:hyperlink>
    </w:p>
    <w:bookmarkEnd w:id="92"/>
    <w:bookmarkStart w:id="93" w:name="ref-pike1945intonation"/>
    <w:p>
      <w:pPr>
        <w:pStyle w:val="Bibliography"/>
      </w:pPr>
      <w:r>
        <w:t xml:space="preserve">Pike, K. L. (1945).</w:t>
      </w:r>
      <w:r>
        <w:t xml:space="preserve"> </w:t>
      </w:r>
      <w:r>
        <w:rPr>
          <w:iCs/>
          <w:i/>
        </w:rPr>
        <w:t xml:space="preserve">The intonation of american english</w:t>
      </w:r>
      <w:r>
        <w:t xml:space="preserve">.</w:t>
      </w:r>
    </w:p>
    <w:bookmarkEnd w:id="93"/>
    <w:bookmarkStart w:id="95" w:name="ref-saalfeld2012teaching"/>
    <w:p>
      <w:pPr>
        <w:pStyle w:val="Bibliography"/>
      </w:pPr>
      <w:r>
        <w:t xml:space="preserve">Saalfeld, A. K. (2012). Teaching L2 spanish stress.</w:t>
      </w:r>
      <w:r>
        <w:t xml:space="preserve"> </w:t>
      </w:r>
      <w:r>
        <w:rPr>
          <w:iCs/>
          <w:i/>
        </w:rPr>
        <w:t xml:space="preserve">Foreign Language Annals</w:t>
      </w:r>
      <w:r>
        <w:t xml:space="preserve">,</w:t>
      </w:r>
      <w:r>
        <w:t xml:space="preserve"> </w:t>
      </w:r>
      <w:r>
        <w:rPr>
          <w:iCs/>
          <w:i/>
        </w:rPr>
        <w:t xml:space="preserve">45</w:t>
      </w:r>
      <w:r>
        <w:t xml:space="preserve">(2), 283–303.</w:t>
      </w:r>
      <w:r>
        <w:t xml:space="preserve"> </w:t>
      </w:r>
      <w:hyperlink r:id="rId94">
        <w:r>
          <w:rPr>
            <w:rStyle w:val="Hyperlink"/>
          </w:rPr>
          <w:t xml:space="preserve">https://doi.org/10.1111/j.1944-9720.2012.01191.x</w:t>
        </w:r>
      </w:hyperlink>
    </w:p>
    <w:bookmarkEnd w:id="95"/>
    <w:bookmarkStart w:id="96" w:name="ref-soskuthy2017generalised"/>
    <w:p>
      <w:pPr>
        <w:pStyle w:val="Bibliography"/>
      </w:pPr>
      <w:r>
        <w:t xml:space="preserve">Sóskuthy, M. (2017). Generalised additive mixed models for dynamic analysis in linguistics: A practical introduction.</w:t>
      </w:r>
      <w:r>
        <w:t xml:space="preserve"> </w:t>
      </w:r>
      <w:r>
        <w:rPr>
          <w:iCs/>
          <w:i/>
        </w:rPr>
        <w:t xml:space="preserve">arXiv Preprint arXiv:1703.05339</w:t>
      </w:r>
      <w:r>
        <w:t xml:space="preserve">.</w:t>
      </w:r>
    </w:p>
    <w:bookmarkEnd w:id="96"/>
    <w:bookmarkStart w:id="98" w:name="ref-soto2001segmental"/>
    <w:p>
      <w:pPr>
        <w:pStyle w:val="Bibliography"/>
      </w:pPr>
      <w:r>
        <w:t xml:space="preserve">Soto-Faraco, S., Sebastián-Gallés, N., &amp; Cutler, A. (2001). Segmental and suprasegmental mismatch in lexical access.</w:t>
      </w:r>
      <w:r>
        <w:t xml:space="preserve"> </w:t>
      </w:r>
      <w:r>
        <w:rPr>
          <w:iCs/>
          <w:i/>
        </w:rPr>
        <w:t xml:space="preserve">Journal of Memory and Language</w:t>
      </w:r>
      <w:r>
        <w:t xml:space="preserve">,</w:t>
      </w:r>
      <w:r>
        <w:t xml:space="preserve"> </w:t>
      </w:r>
      <w:r>
        <w:rPr>
          <w:iCs/>
          <w:i/>
        </w:rPr>
        <w:t xml:space="preserve">45</w:t>
      </w:r>
      <w:r>
        <w:t xml:space="preserve">, 412–432.</w:t>
      </w:r>
      <w:r>
        <w:t xml:space="preserve"> </w:t>
      </w:r>
      <w:hyperlink r:id="rId97">
        <w:r>
          <w:rPr>
            <w:rStyle w:val="Hyperlink"/>
          </w:rPr>
          <w:t xml:space="preserve">https://doi.org/10.1006/jmla.2000.2783</w:t>
        </w:r>
      </w:hyperlink>
    </w:p>
    <w:bookmarkEnd w:id="98"/>
    <w:bookmarkStart w:id="100" w:name="ref-tremblay2018functional"/>
    <w:p>
      <w:pPr>
        <w:pStyle w:val="Bibliography"/>
      </w:pPr>
      <w:r>
        <w:t xml:space="preserve">Tremblay, A., Broersma, M., &amp; Coughlin, C. E. (2018). The functional weight of a prosodic cue in the native language predicts the learning of speech segmentation in a second language.</w:t>
      </w:r>
      <w:r>
        <w:t xml:space="preserve"> </w:t>
      </w:r>
      <w:r>
        <w:rPr>
          <w:iCs/>
          <w:i/>
        </w:rPr>
        <w:t xml:space="preserve">Bilingualism: Language and Cognition</w:t>
      </w:r>
      <w:r>
        <w:t xml:space="preserve">,</w:t>
      </w:r>
      <w:r>
        <w:t xml:space="preserve"> </w:t>
      </w:r>
      <w:r>
        <w:rPr>
          <w:iCs/>
          <w:i/>
        </w:rPr>
        <w:t xml:space="preserve">21</w:t>
      </w:r>
      <w:r>
        <w:t xml:space="preserve">(3), 640–652.</w:t>
      </w:r>
      <w:r>
        <w:t xml:space="preserve"> </w:t>
      </w:r>
      <w:hyperlink r:id="rId99">
        <w:r>
          <w:rPr>
            <w:rStyle w:val="Hyperlink"/>
          </w:rPr>
          <w:t xml:space="preserve">https://doi.org/10.1017/S136672891700030X</w:t>
        </w:r>
      </w:hyperlink>
    </w:p>
    <w:bookmarkEnd w:id="100"/>
    <w:bookmarkStart w:id="102" w:name="ref-winter2016"/>
    <w:p>
      <w:pPr>
        <w:pStyle w:val="Bibliography"/>
      </w:pPr>
      <w:r>
        <w:t xml:space="preserve">Winter, B., &amp; Wieling, M. (2016). How to analyze linguistic change using mixed models, growth curve analysis and generalized additive modeling.</w:t>
      </w:r>
      <w:r>
        <w:t xml:space="preserve"> </w:t>
      </w:r>
      <w:r>
        <w:rPr>
          <w:iCs/>
          <w:i/>
        </w:rPr>
        <w:t xml:space="preserve">Journal of Language Evolution</w:t>
      </w:r>
      <w:r>
        <w:t xml:space="preserve">,</w:t>
      </w:r>
      <w:r>
        <w:t xml:space="preserve"> </w:t>
      </w:r>
      <w:r>
        <w:rPr>
          <w:iCs/>
          <w:i/>
        </w:rPr>
        <w:t xml:space="preserve">1, 1</w:t>
      </w:r>
      <w:r>
        <w:t xml:space="preserve">, 7–18. https://doi.org/</w:t>
      </w:r>
      <w:hyperlink r:id="rId101">
        <w:r>
          <w:rPr>
            <w:rStyle w:val="Hyperlink"/>
          </w:rPr>
          <w:t xml:space="preserve">https://doi.org/10.1093/jole/lzv003</w:t>
        </w:r>
      </w:hyperlink>
    </w:p>
    <w:bookmarkEnd w:id="102"/>
    <w:bookmarkEnd w:id="103"/>
    <w:p>
      <w:r>
        <w:br w:type="page"/>
      </w:r>
    </w:p>
    <w:bookmarkEnd w:id="104"/>
    <w:bookmarkStart w:id="141" w:name="supplementary-materials"/>
    <w:p>
      <w:pPr>
        <w:pStyle w:val="Heading1"/>
      </w:pPr>
      <w:r>
        <w:t xml:space="preserve">5. Supplementary materials</w:t>
      </w:r>
    </w:p>
    <w:bookmarkStart w:id="106" w:name="sec-bda"/>
    <w:p>
      <w:pPr>
        <w:pStyle w:val="Heading2"/>
      </w:pPr>
      <w:r>
        <w:t xml:space="preserve">5.1 Bayesian data analysis</w:t>
      </w:r>
    </w:p>
    <w:p>
      <w:pPr>
        <w:pStyle w:val="FirstParagraph"/>
      </w:pPr>
      <w:r>
        <w:t xml:space="preserve">This study employs Bayesian Data Analysis for quantitative inferential statistics.</w:t>
      </w:r>
      <w:r>
        <w:t xml:space="preserve"> </w:t>
      </w:r>
      <w:r>
        <w:t xml:space="preserve">Specifically, this implies that we use Bayesian</w:t>
      </w:r>
      <w:r>
        <w:t xml:space="preserve"> </w:t>
      </w:r>
      <w:r>
        <w:rPr>
          <w:iCs/>
          <w:i/>
        </w:rPr>
        <w:t xml:space="preserve">credible intervals</w:t>
      </w:r>
      <w:r>
        <w:t xml:space="preserve">—and other metrics—to draw statistical inferences.</w:t>
      </w:r>
      <w:r>
        <w:t xml:space="preserve"> </w:t>
      </w:r>
      <w:r>
        <w:t xml:space="preserve">A Bayesian model calculates a posterior distribution, i.e., a distribution of plausible parameter values, given the data, a data-generating model, and any prior assumptions we have about those parameter values.</w:t>
      </w:r>
      <w:r>
        <w:t xml:space="preserve"> </w:t>
      </w:r>
      <w:r>
        <w:t xml:space="preserve">Posterior distributions are computationally costly.</w:t>
      </w:r>
      <w:r>
        <w:t xml:space="preserve"> </w:t>
      </w:r>
      <w:r>
        <w:t xml:space="preserve">For this reason, we use the Hamiltonian Markov Chain Monte Carlo algorithm to obtain a sample that includes thousands of values from the posterior distribution.</w:t>
      </w:r>
      <w:r>
        <w:t xml:space="preserve"> </w:t>
      </w:r>
      <w:r>
        <w:t xml:space="preserve">In practical terms, what this means is that we do not calculate a single point estimate for an effect β, but rather we draw a sample of 4,000 plausible values for β.</w:t>
      </w:r>
      <w:r>
        <w:t xml:space="preserve"> </w:t>
      </w:r>
      <w:r>
        <w:t xml:space="preserve">This allows us to quantify our uncertainty regarding β by summarizing the distribution of those values.</w:t>
      </w:r>
      <w:r>
        <w:t xml:space="preserve"> </w:t>
      </w:r>
      <w:r>
        <w:t xml:space="preserve">We will use 4 statistics to describe the posterior distribution: (1) the posterior mean, (2) the highest density credible interval (HDI), (3) the proportion of the HDI that falls within a Region of Practical Equivalence (ROPE), and (4) the Maximum Probability of Effect (MPE).</w:t>
      </w:r>
      <w:r>
        <w:t xml:space="preserve"> </w:t>
      </w:r>
      <w:r>
        <w:t xml:space="preserve">The posterior mean provides a point estimate for the distribution.</w:t>
      </w:r>
      <w:r>
        <w:t xml:space="preserve"> </w:t>
      </w:r>
      <w:r>
        <w:t xml:space="preserve">The 95% highest density credible interval provides bounds for the effect.</w:t>
      </w:r>
      <w:r>
        <w:t xml:space="preserve"> </w:t>
      </w:r>
      <w:r>
        <w:t xml:space="preserve">The ROPE designates a region of practical equivalence for a negligible effect and calculates the proportion of the HDI that falls within this interval.</w:t>
      </w:r>
      <w:r>
        <w:rPr>
          <w:rStyle w:val="FootnoteReference"/>
        </w:rPr>
        <w:footnoteReference w:id="105"/>
      </w:r>
      <w:r>
        <w:t xml:space="preserve"> </w:t>
      </w:r>
      <w:r>
        <w:t xml:space="preserve">The MPE calculates the proportion of the posterior distribution that is of the median’s sign (or the probability that the effect is positive or negative).</w:t>
      </w:r>
      <w:r>
        <w:t xml:space="preserve"> </w:t>
      </w:r>
      <w:r>
        <w:t xml:space="preserve">If, for instance, a hypothesis states that β &gt; 0, we judge there to be</w:t>
      </w:r>
      <w:r>
        <w:t xml:space="preserve"> </w:t>
      </w:r>
      <w:r>
        <w:rPr>
          <w:iCs/>
          <w:i/>
        </w:rPr>
        <w:t xml:space="preserve">compelling evidence</w:t>
      </w:r>
      <w:r>
        <w:t xml:space="preserve"> </w:t>
      </w:r>
      <w:r>
        <w:t xml:space="preserve">for this hypothesis if the mean point estimate is a positive number, if the 95% credible interval of β does not contain 0 and is outside the ROPE by a reasonably clear margin, and the posterior</w:t>
      </w:r>
      <w:r>
        <w:t xml:space="preserve"> </w:t>
      </w:r>
      <w:r>
        <w:rPr>
          <w:iCs/>
          <w:i/>
        </w:rPr>
        <w:t xml:space="preserve">P</w:t>
      </w:r>
      <w:r>
        <w:t xml:space="preserve">(β &gt; 0) is close to one.</w:t>
      </w:r>
      <w:r>
        <w:t xml:space="preserve"> </w:t>
      </w:r>
      <w:r>
        <w:t xml:space="preserve">Together these four statistics allow us to quantify our uncertainty and provide an intuitive interpretation of any given effect.</w:t>
      </w:r>
      <w:r>
        <w:t xml:space="preserve"> </w:t>
      </w:r>
      <w:r>
        <w:t xml:space="preserve">Consider a case in which the posterior mean of β is 100 and the 95% credible interval is [40, 160].</w:t>
      </w:r>
      <w:r>
        <w:t xml:space="preserve"> </w:t>
      </w:r>
      <w:r>
        <w:t xml:space="preserve">The interval tells us that we can be 95% certain the</w:t>
      </w:r>
      <w:r>
        <w:t xml:space="preserve"> </w:t>
      </w:r>
      <w:r>
        <w:rPr>
          <w:iCs/>
          <w:i/>
        </w:rPr>
        <w:t xml:space="preserve">true</w:t>
      </w:r>
      <w:r>
        <w:t xml:space="preserve"> </w:t>
      </w:r>
      <w:r>
        <w:t xml:space="preserve">value of β is between 40 and 160, given the data, our model, and our prior information.</w:t>
      </w:r>
      <w:r>
        <w:t xml:space="preserve"> </w:t>
      </w:r>
      <w:r>
        <w:t xml:space="preserve">Furthermore, the interval allows us to specify areas of uncertainty.</w:t>
      </w:r>
      <w:r>
        <w:t xml:space="preserve"> </w:t>
      </w:r>
      <w:r>
        <w:t xml:space="preserve">In this example, we can conclude that the effect is almost certain to be positive.</w:t>
      </w:r>
      <w:r>
        <w:t xml:space="preserve"> </w:t>
      </w:r>
      <w:r>
        <w:t xml:space="preserve">The lower interval value of 40 tells us that 95% of the plausible values are greater than 40.</w:t>
      </w:r>
      <w:r>
        <w:t xml:space="preserve"> </w:t>
      </w:r>
      <w:r>
        <w:t xml:space="preserve">We also note that the interval covers a wide range of values, thus we also conclude that we are not very certain about the size of the effect.</w:t>
      </w:r>
      <w:r>
        <w:t xml:space="preserve"> </w:t>
      </w:r>
      <w:r>
        <w:t xml:space="preserve">This type of interpretation is not possible under a frequentist paradigm.</w:t>
      </w:r>
    </w:p>
    <w:p>
      <w:r>
        <w:br w:type="page"/>
      </w:r>
    </w:p>
    <w:bookmarkEnd w:id="106"/>
    <w:bookmarkStart w:id="123" w:name="sec-gamms-supp"/>
    <w:p>
      <w:pPr>
        <w:pStyle w:val="Heading2"/>
      </w:pPr>
      <w:r>
        <w:t xml:space="preserve">5.2 GAMMs</w:t>
      </w:r>
    </w:p>
    <w:p>
      <w:pPr>
        <w:pStyle w:val="FirstParagraph"/>
      </w:pPr>
      <w:hyperlink w:anchor="tbl-group-gamm">
        <w:r>
          <w:rPr>
            <w:rStyle w:val="Hyperlink"/>
          </w:rPr>
          <w:t xml:space="preserve">Table 2</w:t>
        </w:r>
      </w:hyperlink>
    </w:p>
    <w:bookmarkStart w:id="107" w:name="tbl-group-gamm"/>
    <w:p>
      <w:pPr>
        <w:pStyle w:val="TableCaption"/>
      </w:pPr>
      <w:r>
        <w:t xml:space="preserve">Table 2: Group GAMM summary.</w:t>
      </w:r>
    </w:p>
    <w:tbl>
      <w:tblPr>
        <w:tblStyle w:val="Table"/>
        <w:tblW w:type="auto" w:w="0"/>
        <w:tblLook w:firstRow="1" w:lastRow="0" w:firstColumn="0" w:lastColumn="0" w:noHBand="0" w:noVBand="0" w:val="0020"/>
        <w:tblCaption w:val="Table 2: Group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0.60</w:t>
            </w:r>
          </w:p>
        </w:tc>
        <w:tc>
          <w:tcPr/>
          <w:p>
            <w:pPr>
              <w:pStyle w:val="Compact"/>
              <w:jc w:val="right"/>
            </w:pPr>
            <w:r>
              <w:t xml:space="preserve">[0.44, 0.76]</w:t>
            </w:r>
          </w:p>
        </w:tc>
        <w:tc>
          <w:tcPr/>
          <w:p>
            <w:pPr>
              <w:pStyle w:val="Compact"/>
              <w:jc w:val="right"/>
            </w:pPr>
            <w:r>
              <w:t xml:space="preserve">1.00</w:t>
            </w:r>
          </w:p>
        </w:tc>
        <w:tc>
          <w:tcPr/>
          <w:p>
            <w:pPr>
              <w:pStyle w:val="Compact"/>
              <w:jc w:val="right"/>
            </w:pPr>
            <w:r>
              <w:t xml:space="preserve">797.53</w:t>
            </w:r>
          </w:p>
        </w:tc>
        <w:tc>
          <w:tcPr/>
          <w:p>
            <w:pPr>
              <w:pStyle w:val="Compact"/>
              <w:jc w:val="right"/>
            </w:pPr>
            <w:r>
              <w:t xml:space="preserve">1436.65</w:t>
            </w:r>
          </w:p>
        </w:tc>
      </w:tr>
      <w:tr>
        <w:tc>
          <w:tcPr/>
          <w:p>
            <w:pPr>
              <w:pStyle w:val="Compact"/>
            </w:pPr>
          </w:p>
        </w:tc>
        <w:tc>
          <w:tcPr/>
          <w:p>
            <w:pPr>
              <w:pStyle w:val="Compact"/>
              <w:jc w:val="left"/>
            </w:pPr>
            <w:r>
              <w:t xml:space="preserve">HL</w:t>
            </w:r>
          </w:p>
        </w:tc>
        <w:tc>
          <w:tcPr/>
          <w:p>
            <w:pPr>
              <w:pStyle w:val="Compact"/>
              <w:jc w:val="right"/>
            </w:pPr>
            <w:r>
              <w:t xml:space="preserve">−0.30</w:t>
            </w:r>
          </w:p>
        </w:tc>
        <w:tc>
          <w:tcPr/>
          <w:p>
            <w:pPr>
              <w:pStyle w:val="Compact"/>
              <w:jc w:val="right"/>
            </w:pPr>
            <w:r>
              <w:t xml:space="preserve">[−0.53, −0.11]</w:t>
            </w:r>
          </w:p>
        </w:tc>
        <w:tc>
          <w:tcPr/>
          <w:p>
            <w:pPr>
              <w:pStyle w:val="Compact"/>
              <w:jc w:val="right"/>
            </w:pPr>
            <w:r>
              <w:t xml:space="preserve">1.01</w:t>
            </w:r>
          </w:p>
        </w:tc>
        <w:tc>
          <w:tcPr/>
          <w:p>
            <w:pPr>
              <w:pStyle w:val="Compact"/>
              <w:jc w:val="right"/>
            </w:pPr>
            <w:r>
              <w:t xml:space="preserve">744.97</w:t>
            </w:r>
          </w:p>
        </w:tc>
        <w:tc>
          <w:tcPr/>
          <w:p>
            <w:pPr>
              <w:pStyle w:val="Compact"/>
              <w:jc w:val="right"/>
            </w:pPr>
            <w:r>
              <w:t xml:space="preserve">1223.82</w:t>
            </w:r>
          </w:p>
        </w:tc>
      </w:tr>
      <w:tr>
        <w:tc>
          <w:tcPr/>
          <w:p>
            <w:pPr>
              <w:pStyle w:val="Compact"/>
            </w:pPr>
          </w:p>
        </w:tc>
        <w:tc>
          <w:tcPr/>
          <w:p>
            <w:pPr>
              <w:pStyle w:val="Compact"/>
              <w:jc w:val="left"/>
            </w:pPr>
            <w:r>
              <w:t xml:space="preserve">L2</w:t>
            </w:r>
          </w:p>
        </w:tc>
        <w:tc>
          <w:tcPr/>
          <w:p>
            <w:pPr>
              <w:pStyle w:val="Compact"/>
              <w:jc w:val="right"/>
            </w:pPr>
            <w:r>
              <w:t xml:space="preserve">−0.43</w:t>
            </w:r>
          </w:p>
        </w:tc>
        <w:tc>
          <w:tcPr/>
          <w:p>
            <w:pPr>
              <w:pStyle w:val="Compact"/>
              <w:jc w:val="right"/>
            </w:pPr>
            <w:r>
              <w:t xml:space="preserve">[−0.64, −0.23]</w:t>
            </w:r>
          </w:p>
        </w:tc>
        <w:tc>
          <w:tcPr/>
          <w:p>
            <w:pPr>
              <w:pStyle w:val="Compact"/>
              <w:jc w:val="right"/>
            </w:pPr>
            <w:r>
              <w:t xml:space="preserve">1.00</w:t>
            </w:r>
          </w:p>
        </w:tc>
        <w:tc>
          <w:tcPr/>
          <w:p>
            <w:pPr>
              <w:pStyle w:val="Compact"/>
              <w:jc w:val="right"/>
            </w:pPr>
            <w:r>
              <w:t xml:space="preserve">708.42</w:t>
            </w:r>
          </w:p>
        </w:tc>
        <w:tc>
          <w:tcPr/>
          <w:p>
            <w:pPr>
              <w:pStyle w:val="Compact"/>
              <w:jc w:val="right"/>
            </w:pPr>
            <w:r>
              <w:t xml:space="preserve">761.10</w:t>
            </w:r>
          </w:p>
        </w:tc>
      </w:tr>
      <w:tr>
        <w:tc>
          <w:tcPr/>
          <w:p>
            <w:pPr>
              <w:pStyle w:val="Compact"/>
            </w:pPr>
          </w:p>
        </w:tc>
        <w:tc>
          <w:tcPr/>
          <w:p>
            <w:pPr>
              <w:pStyle w:val="Compact"/>
              <w:jc w:val="left"/>
            </w:pPr>
            <w:r>
              <w:t xml:space="preserve">Oxytone</w:t>
            </w:r>
          </w:p>
        </w:tc>
        <w:tc>
          <w:tcPr/>
          <w:p>
            <w:pPr>
              <w:pStyle w:val="Compact"/>
              <w:jc w:val="right"/>
            </w:pPr>
            <w:r>
              <w:t xml:space="preserve">0.06</w:t>
            </w:r>
          </w:p>
        </w:tc>
        <w:tc>
          <w:tcPr/>
          <w:p>
            <w:pPr>
              <w:pStyle w:val="Compact"/>
              <w:jc w:val="right"/>
            </w:pPr>
            <w:r>
              <w:t xml:space="preserve">[0.05, 0.08]</w:t>
            </w:r>
          </w:p>
        </w:tc>
        <w:tc>
          <w:tcPr/>
          <w:p>
            <w:pPr>
              <w:pStyle w:val="Compact"/>
              <w:jc w:val="right"/>
            </w:pPr>
            <w:r>
              <w:t xml:space="preserve">1.00</w:t>
            </w:r>
          </w:p>
        </w:tc>
        <w:tc>
          <w:tcPr/>
          <w:p>
            <w:pPr>
              <w:pStyle w:val="Compact"/>
              <w:jc w:val="right"/>
            </w:pPr>
            <w:r>
              <w:t xml:space="preserve">3429.99</w:t>
            </w:r>
          </w:p>
        </w:tc>
        <w:tc>
          <w:tcPr/>
          <w:p>
            <w:pPr>
              <w:pStyle w:val="Compact"/>
              <w:jc w:val="right"/>
            </w:pPr>
            <w:r>
              <w:t xml:space="preserve">3735.29</w:t>
            </w:r>
          </w:p>
        </w:tc>
      </w:tr>
      <w:tr>
        <w:tc>
          <w:tcPr/>
          <w:p>
            <w:pPr>
              <w:pStyle w:val="Compact"/>
            </w:pPr>
          </w:p>
        </w:tc>
        <w:tc>
          <w:tcPr/>
          <w:p>
            <w:pPr>
              <w:pStyle w:val="Compact"/>
              <w:jc w:val="left"/>
            </w:pPr>
            <w:r>
              <w:t xml:space="preserve">HL:Oxytone</w:t>
            </w:r>
          </w:p>
        </w:tc>
        <w:tc>
          <w:tcPr/>
          <w:p>
            <w:pPr>
              <w:pStyle w:val="Compact"/>
              <w:jc w:val="right"/>
            </w:pPr>
            <w:r>
              <w:t xml:space="preserve">−0.44</w:t>
            </w:r>
          </w:p>
        </w:tc>
        <w:tc>
          <w:tcPr/>
          <w:p>
            <w:pPr>
              <w:pStyle w:val="Compact"/>
              <w:jc w:val="right"/>
            </w:pPr>
            <w:r>
              <w:t xml:space="preserve">[−0.46, −0.42]</w:t>
            </w:r>
          </w:p>
        </w:tc>
        <w:tc>
          <w:tcPr/>
          <w:p>
            <w:pPr>
              <w:pStyle w:val="Compact"/>
              <w:jc w:val="right"/>
            </w:pPr>
            <w:r>
              <w:t xml:space="preserve">1.00</w:t>
            </w:r>
          </w:p>
        </w:tc>
        <w:tc>
          <w:tcPr/>
          <w:p>
            <w:pPr>
              <w:pStyle w:val="Compact"/>
              <w:jc w:val="right"/>
            </w:pPr>
            <w:r>
              <w:t xml:space="preserve">3469.26</w:t>
            </w:r>
          </w:p>
        </w:tc>
        <w:tc>
          <w:tcPr/>
          <w:p>
            <w:pPr>
              <w:pStyle w:val="Compact"/>
              <w:jc w:val="right"/>
            </w:pPr>
            <w:r>
              <w:t xml:space="preserve">3630.77</w:t>
            </w:r>
          </w:p>
        </w:tc>
      </w:tr>
      <w:tr>
        <w:tc>
          <w:tcPr/>
          <w:p>
            <w:pPr>
              <w:pStyle w:val="Compact"/>
            </w:pPr>
          </w:p>
        </w:tc>
        <w:tc>
          <w:tcPr/>
          <w:p>
            <w:pPr>
              <w:pStyle w:val="Compact"/>
              <w:jc w:val="left"/>
            </w:pPr>
            <w:r>
              <w:t xml:space="preserve">L2:Oxytone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3114.31</w:t>
            </w:r>
          </w:p>
        </w:tc>
        <w:tc>
          <w:tcPr/>
          <w:p>
            <w:pPr>
              <w:pStyle w:val="Compact"/>
              <w:jc w:val="right"/>
            </w:pPr>
            <w:r>
              <w:t xml:space="preserve">3926.50</w:t>
            </w:r>
          </w:p>
        </w:tc>
      </w:tr>
      <w:tr>
        <w:tc>
          <w:tcPr/>
          <w:p>
            <w:pPr>
              <w:pStyle w:val="Compact"/>
            </w:pPr>
          </w:p>
        </w:tc>
        <w:tc>
          <w:tcPr/>
          <w:p>
            <w:pPr>
              <w:pStyle w:val="Compact"/>
              <w:jc w:val="left"/>
            </w:pPr>
            <w:r>
              <w:t xml:space="preserve">Time</w:t>
            </w:r>
          </w:p>
        </w:tc>
        <w:tc>
          <w:tcPr/>
          <w:p>
            <w:pPr>
              <w:pStyle w:val="Compact"/>
              <w:jc w:val="right"/>
            </w:pPr>
            <w:r>
              <w:t xml:space="preserve">−0.26</w:t>
            </w:r>
          </w:p>
        </w:tc>
        <w:tc>
          <w:tcPr/>
          <w:p>
            <w:pPr>
              <w:pStyle w:val="Compact"/>
              <w:jc w:val="right"/>
            </w:pPr>
            <w:r>
              <w:t xml:space="preserve">[−0.26, −0.26]</w:t>
            </w:r>
          </w:p>
        </w:tc>
        <w:tc>
          <w:tcPr/>
          <w:p>
            <w:pPr>
              <w:pStyle w:val="Compact"/>
              <w:jc w:val="right"/>
            </w:pPr>
            <w:r>
              <w:t xml:space="preserve">1.00</w:t>
            </w:r>
          </w:p>
        </w:tc>
        <w:tc>
          <w:tcPr/>
          <w:p>
            <w:pPr>
              <w:pStyle w:val="Compact"/>
              <w:jc w:val="right"/>
            </w:pPr>
            <w:r>
              <w:t xml:space="preserve">3581.16</w:t>
            </w:r>
          </w:p>
        </w:tc>
        <w:tc>
          <w:tcPr/>
          <w:p>
            <w:pPr>
              <w:pStyle w:val="Compact"/>
              <w:jc w:val="right"/>
            </w:pPr>
            <w:r>
              <w:t xml:space="preserve">3934.31</w:t>
            </w:r>
          </w:p>
        </w:tc>
      </w:tr>
      <w:tr>
        <w:tc>
          <w:tcPr/>
          <w:p>
            <w:pPr>
              <w:pStyle w:val="Compact"/>
            </w:pPr>
          </w:p>
        </w:tc>
        <w:tc>
          <w:tcPr/>
          <w:p>
            <w:pPr>
              <w:pStyle w:val="Compact"/>
              <w:jc w:val="left"/>
            </w:pPr>
            <w:r>
              <w:t xml:space="preserve">Time:Oxytone</w:t>
            </w:r>
          </w:p>
        </w:tc>
        <w:tc>
          <w:tcPr/>
          <w:p>
            <w:pPr>
              <w:pStyle w:val="Compact"/>
              <w:jc w:val="right"/>
            </w:pPr>
            <w:r>
              <w:t xml:space="preserve">−0.01</w:t>
            </w:r>
          </w:p>
        </w:tc>
        <w:tc>
          <w:tcPr/>
          <w:p>
            <w:pPr>
              <w:pStyle w:val="Compact"/>
              <w:jc w:val="right"/>
            </w:pPr>
            <w:r>
              <w:t xml:space="preserve">[−0.01, −0.01]</w:t>
            </w:r>
          </w:p>
        </w:tc>
        <w:tc>
          <w:tcPr/>
          <w:p>
            <w:pPr>
              <w:pStyle w:val="Compact"/>
              <w:jc w:val="right"/>
            </w:pPr>
            <w:r>
              <w:t xml:space="preserve">1.00</w:t>
            </w:r>
          </w:p>
        </w:tc>
        <w:tc>
          <w:tcPr/>
          <w:p>
            <w:pPr>
              <w:pStyle w:val="Compact"/>
              <w:jc w:val="right"/>
            </w:pPr>
            <w:r>
              <w:t xml:space="preserve">3865.39</w:t>
            </w:r>
          </w:p>
        </w:tc>
        <w:tc>
          <w:tcPr/>
          <w:p>
            <w:pPr>
              <w:pStyle w:val="Compact"/>
              <w:jc w:val="right"/>
            </w:pPr>
            <w:r>
              <w:t xml:space="preserve">3348.79</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0.45</w:t>
            </w:r>
          </w:p>
        </w:tc>
        <w:tc>
          <w:tcPr/>
          <w:p>
            <w:pPr>
              <w:pStyle w:val="Compact"/>
              <w:jc w:val="right"/>
            </w:pPr>
            <w:r>
              <w:t xml:space="preserve">[0.40, 0.51]</w:t>
            </w:r>
          </w:p>
        </w:tc>
        <w:tc>
          <w:tcPr/>
          <w:p>
            <w:pPr>
              <w:pStyle w:val="Compact"/>
              <w:jc w:val="right"/>
            </w:pPr>
            <w:r>
              <w:t xml:space="preserve">1.00</w:t>
            </w:r>
          </w:p>
        </w:tc>
        <w:tc>
          <w:tcPr/>
          <w:p>
            <w:pPr>
              <w:pStyle w:val="Compact"/>
              <w:jc w:val="right"/>
            </w:pPr>
            <w:r>
              <w:t xml:space="preserve">1088.45</w:t>
            </w:r>
          </w:p>
        </w:tc>
        <w:tc>
          <w:tcPr/>
          <w:p>
            <w:pPr>
              <w:pStyle w:val="Compact"/>
              <w:jc w:val="right"/>
            </w:pPr>
            <w:r>
              <w:t xml:space="preserve">1923.43</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0.03</w:t>
            </w:r>
          </w:p>
        </w:tc>
        <w:tc>
          <w:tcPr/>
          <w:p>
            <w:pPr>
              <w:pStyle w:val="Compact"/>
              <w:jc w:val="right"/>
            </w:pPr>
            <w:r>
              <w:t xml:space="preserve">[0.02, 0.06]</w:t>
            </w:r>
          </w:p>
        </w:tc>
        <w:tc>
          <w:tcPr/>
          <w:p>
            <w:pPr>
              <w:pStyle w:val="Compact"/>
              <w:jc w:val="right"/>
            </w:pPr>
            <w:r>
              <w:t xml:space="preserve">1.00</w:t>
            </w:r>
          </w:p>
        </w:tc>
        <w:tc>
          <w:tcPr/>
          <w:p>
            <w:pPr>
              <w:pStyle w:val="Compact"/>
              <w:jc w:val="right"/>
            </w:pPr>
            <w:r>
              <w:t xml:space="preserve">1620.98</w:t>
            </w:r>
          </w:p>
        </w:tc>
        <w:tc>
          <w:tcPr/>
          <w:p>
            <w:pPr>
              <w:pStyle w:val="Compact"/>
              <w:jc w:val="right"/>
            </w:pPr>
            <w:r>
              <w:t xml:space="preserve">2149.99</w:t>
            </w:r>
          </w:p>
        </w:tc>
      </w:tr>
      <w:tr>
        <w:tc>
          <w:tcPr/>
          <w:p>
            <w:pPr>
              <w:pStyle w:val="Compact"/>
            </w:pPr>
          </w:p>
        </w:tc>
        <w:tc>
          <w:tcPr/>
          <w:p>
            <w:pPr>
              <w:pStyle w:val="Compact"/>
              <w:jc w:val="left"/>
            </w:pPr>
            <w:r>
              <w:t xml:space="preserve">sds(Time:Oxytone)</w:t>
            </w:r>
          </w:p>
        </w:tc>
        <w:tc>
          <w:tcPr/>
          <w:p>
            <w:pPr>
              <w:pStyle w:val="Compact"/>
              <w:jc w:val="right"/>
            </w:pPr>
            <w:r>
              <w:t xml:space="preserve">0.02</w:t>
            </w:r>
          </w:p>
        </w:tc>
        <w:tc>
          <w:tcPr/>
          <w:p>
            <w:pPr>
              <w:pStyle w:val="Compact"/>
              <w:jc w:val="right"/>
            </w:pPr>
            <w:r>
              <w:t xml:space="preserve">[0.01, 0.04]</w:t>
            </w:r>
          </w:p>
        </w:tc>
        <w:tc>
          <w:tcPr/>
          <w:p>
            <w:pPr>
              <w:pStyle w:val="Compact"/>
              <w:jc w:val="right"/>
            </w:pPr>
            <w:r>
              <w:t xml:space="preserve">1.00</w:t>
            </w:r>
          </w:p>
        </w:tc>
        <w:tc>
          <w:tcPr/>
          <w:p>
            <w:pPr>
              <w:pStyle w:val="Compact"/>
              <w:jc w:val="right"/>
            </w:pPr>
            <w:r>
              <w:t xml:space="preserve">2522.74</w:t>
            </w:r>
          </w:p>
        </w:tc>
        <w:tc>
          <w:tcPr/>
          <w:p>
            <w:pPr>
              <w:pStyle w:val="Compact"/>
              <w:jc w:val="right"/>
            </w:pPr>
            <w:r>
              <w:t xml:space="preserve">3383.84</w:t>
            </w:r>
          </w:p>
        </w:tc>
      </w:tr>
    </w:tbl>
    <w:bookmarkEnd w:id="107"/>
    <w:p>
      <w:pPr>
        <w:pStyle w:val="BodyText"/>
      </w:pPr>
      <w:hyperlink w:anchor="tbl-group-gamm-prediction">
        <w:r>
          <w:rPr>
            <w:rStyle w:val="Hyperlink"/>
          </w:rPr>
          <w:t xml:space="preserve">Table 3</w:t>
        </w:r>
      </w:hyperlink>
    </w:p>
    <w:bookmarkStart w:id="108" w:name="tbl-group-gamm-prediction"/>
    <w:p>
      <w:pPr>
        <w:pStyle w:val="TableCaption"/>
      </w:pPr>
      <w:r>
        <w:t xml:space="preserve">Table 3: Group prediction summary.</w:t>
      </w:r>
    </w:p>
    <w:tbl>
      <w:tblPr>
        <w:tblStyle w:val="Table"/>
        <w:tblW w:type="auto" w:w="0"/>
        <w:tblLook w:firstRow="1" w:lastRow="0" w:firstColumn="0" w:lastColumn="0" w:noHBand="0" w:noVBand="0" w:val="0020"/>
        <w:tblCaption w:val="Table 3: Group prediction summary."/>
      </w:tblPr>
      <w:tblGrid>
        <w:gridCol w:w="1320"/>
        <w:gridCol w:w="1320"/>
        <w:gridCol w:w="1320"/>
        <w:gridCol w:w="1320"/>
        <w:gridCol w:w="1320"/>
        <w:gridCol w:w="1320"/>
      </w:tblGrid>
      <w:tr>
        <w:trPr>
          <w:tblHeader w:val="true"/>
        </w:trPr>
        <w:tc>
          <w:tcPr/>
          <w:p>
            <w:pPr>
              <w:pStyle w:val="Compact"/>
              <w:jc w:val="left"/>
            </w:pPr>
            <w:r>
              <w:t xml:space="preserve">Group</w:t>
            </w:r>
          </w:p>
        </w:tc>
        <w:tc>
          <w:tcPr/>
          <w:p>
            <w:pPr>
              <w:pStyle w:val="Compact"/>
              <w:jc w:val="left"/>
            </w:pPr>
            <w:r>
              <w:t xml:space="preserve">Stress</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Monolingual</w:t>
            </w:r>
          </w:p>
        </w:tc>
        <w:tc>
          <w:tcPr/>
          <w:p>
            <w:pPr>
              <w:pStyle w:val="Compact"/>
              <w:jc w:val="left"/>
            </w:pPr>
            <w:r>
              <w:t xml:space="preserve">Paroxytone</w:t>
            </w:r>
          </w:p>
        </w:tc>
        <w:tc>
          <w:tcPr/>
          <w:p>
            <w:pPr>
              <w:pStyle w:val="Compact"/>
              <w:jc w:val="right"/>
            </w:pPr>
            <w:r>
              <w:t xml:space="preserve">0.64</w:t>
            </w:r>
          </w:p>
        </w:tc>
        <w:tc>
          <w:tcPr/>
          <w:p>
            <w:pPr>
              <w:pStyle w:val="Compact"/>
              <w:jc w:val="right"/>
            </w:pPr>
            <w:r>
              <w:t xml:space="preserve">[0.61, 0.68]</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0.66</w:t>
            </w:r>
          </w:p>
        </w:tc>
        <w:tc>
          <w:tcPr/>
          <w:p>
            <w:pPr>
              <w:pStyle w:val="Compact"/>
              <w:jc w:val="right"/>
            </w:pPr>
            <w:r>
              <w:t xml:space="preserve">[0.63, 0.70]</w:t>
            </w:r>
          </w:p>
        </w:tc>
        <w:tc>
          <w:tcPr/>
          <w:p>
            <w:pPr>
              <w:pStyle w:val="Compact"/>
              <w:jc w:val="right"/>
            </w:pPr>
            <w:r>
              <w:t xml:space="preserve">0.00</w:t>
            </w:r>
          </w:p>
        </w:tc>
        <w:tc>
          <w:tcPr/>
          <w:p>
            <w:pPr>
              <w:pStyle w:val="Compact"/>
              <w:jc w:val="right"/>
            </w:pPr>
            <w:r>
              <w:t xml:space="preserve">1.00</w:t>
            </w:r>
          </w:p>
        </w:tc>
      </w:tr>
      <w:tr>
        <w:tc>
          <w:tcPr/>
          <w:p>
            <w:pPr>
              <w:pStyle w:val="Compact"/>
              <w:jc w:val="left"/>
            </w:pPr>
            <w:r>
              <w:t xml:space="preserve">HL</w:t>
            </w:r>
          </w:p>
        </w:tc>
        <w:tc>
          <w:tcPr/>
          <w:p>
            <w:pPr>
              <w:pStyle w:val="Compact"/>
              <w:jc w:val="left"/>
            </w:pPr>
            <w:r>
              <w:t xml:space="preserve">Paroxytone</w:t>
            </w:r>
          </w:p>
        </w:tc>
        <w:tc>
          <w:tcPr/>
          <w:p>
            <w:pPr>
              <w:pStyle w:val="Compact"/>
              <w:jc w:val="right"/>
            </w:pPr>
            <w:r>
              <w:t xml:space="preserve">0.57</w:t>
            </w:r>
          </w:p>
        </w:tc>
        <w:tc>
          <w:tcPr/>
          <w:p>
            <w:pPr>
              <w:pStyle w:val="Compact"/>
              <w:jc w:val="right"/>
            </w:pPr>
            <w:r>
              <w:t xml:space="preserve">[0.54, 0.60]</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0.48</w:t>
            </w:r>
          </w:p>
        </w:tc>
        <w:tc>
          <w:tcPr/>
          <w:p>
            <w:pPr>
              <w:pStyle w:val="Compact"/>
              <w:jc w:val="right"/>
            </w:pPr>
            <w:r>
              <w:t xml:space="preserve">[0.45, 0.52]</w:t>
            </w:r>
          </w:p>
        </w:tc>
        <w:tc>
          <w:tcPr/>
          <w:p>
            <w:pPr>
              <w:pStyle w:val="Compact"/>
              <w:jc w:val="right"/>
            </w:pPr>
            <w:r>
              <w:t xml:space="preserve">0.97</w:t>
            </w:r>
          </w:p>
        </w:tc>
        <w:tc>
          <w:tcPr/>
          <w:p>
            <w:pPr>
              <w:pStyle w:val="Compact"/>
              <w:jc w:val="right"/>
            </w:pPr>
            <w:r>
              <w:t xml:space="preserve">0.85</w:t>
            </w:r>
          </w:p>
        </w:tc>
      </w:tr>
      <w:tr>
        <w:tc>
          <w:tcPr/>
          <w:p>
            <w:pPr>
              <w:pStyle w:val="Compact"/>
              <w:jc w:val="left"/>
            </w:pPr>
            <w:r>
              <w:t xml:space="preserve">L2</w:t>
            </w:r>
          </w:p>
        </w:tc>
        <w:tc>
          <w:tcPr/>
          <w:p>
            <w:pPr>
              <w:pStyle w:val="Compact"/>
              <w:jc w:val="left"/>
            </w:pPr>
            <w:r>
              <w:t xml:space="preserve">Paroxytone</w:t>
            </w:r>
          </w:p>
        </w:tc>
        <w:tc>
          <w:tcPr/>
          <w:p>
            <w:pPr>
              <w:pStyle w:val="Compact"/>
              <w:jc w:val="right"/>
            </w:pPr>
            <w:r>
              <w:t xml:space="preserve">0.54</w:t>
            </w:r>
          </w:p>
        </w:tc>
        <w:tc>
          <w:tcPr/>
          <w:p>
            <w:pPr>
              <w:pStyle w:val="Compact"/>
              <w:jc w:val="right"/>
            </w:pPr>
            <w:r>
              <w:t xml:space="preserve">[0.51, 0.57]</w:t>
            </w:r>
          </w:p>
        </w:tc>
        <w:tc>
          <w:tcPr/>
          <w:p>
            <w:pPr>
              <w:pStyle w:val="Compact"/>
              <w:jc w:val="right"/>
            </w:pPr>
            <w:r>
              <w:t xml:space="preserve">0.01</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0.56</w:t>
            </w:r>
          </w:p>
        </w:tc>
        <w:tc>
          <w:tcPr/>
          <w:p>
            <w:pPr>
              <w:pStyle w:val="Compact"/>
              <w:jc w:val="right"/>
            </w:pPr>
            <w:r>
              <w:t xml:space="preserve">[0.53, 0.59]</w:t>
            </w:r>
          </w:p>
        </w:tc>
        <w:tc>
          <w:tcPr/>
          <w:p>
            <w:pPr>
              <w:pStyle w:val="Compact"/>
              <w:jc w:val="right"/>
            </w:pPr>
            <w:r>
              <w:t xml:space="preserve">0.00</w:t>
            </w:r>
          </w:p>
        </w:tc>
        <w:tc>
          <w:tcPr/>
          <w:p>
            <w:pPr>
              <w:pStyle w:val="Compact"/>
              <w:jc w:val="right"/>
            </w:pPr>
            <w:r>
              <w:t xml:space="preserve">1.00</w:t>
            </w:r>
          </w:p>
        </w:tc>
      </w:tr>
    </w:tbl>
    <w:bookmarkEnd w:id="108"/>
    <w:p>
      <w:pPr>
        <w:pStyle w:val="BodyText"/>
      </w:pPr>
      <w:hyperlink w:anchor="fig-marginal-slopes-plot-2">
        <w:r>
          <w:rPr>
            <w:rStyle w:val="Hyperlink"/>
          </w:rPr>
          <w:t xml:space="preserve">Figure 8</w:t>
        </w:r>
      </w:hyperlink>
    </w:p>
    <w:tbl>
      <w:tblPr>
        <w:tblStyle w:val="Table"/>
        <w:tblW w:type="pct" w:w="5000"/>
        <w:tblLook w:firstRow="0" w:lastRow="0" w:firstColumn="0" w:lastColumn="0" w:noHBand="0" w:noVBand="0" w:val="0000"/>
      </w:tblPr>
      <w:tblGrid>
        <w:gridCol w:w="7920"/>
      </w:tblGrid>
      <w:tr>
        <w:tc>
          <w:tcPr/>
          <w:bookmarkStart w:id="112" w:name="fig-marginal-slopes-plot-2"/>
          <w:p>
            <w:pPr>
              <w:pStyle w:val="Figure"/>
              <w:jc w:val="center"/>
            </w:pPr>
            <w:r>
              <w:drawing>
                <wp:inline>
                  <wp:extent cx="5334000" cy="4953000"/>
                  <wp:effectExtent b="0" l="0" r="0" t="0"/>
                  <wp:docPr descr="" title="" id="110" name="Picture"/>
                  <a:graphic>
                    <a:graphicData uri="http://schemas.openxmlformats.org/drawingml/2006/picture">
                      <pic:pic>
                        <pic:nvPicPr>
                          <pic:cNvPr descr="../figs/marginal-slopes-plot-2-1.png" id="111" name="Picture"/>
                          <pic:cNvPicPr>
                            <a:picLocks noChangeArrowheads="1" noChangeAspect="1"/>
                          </pic:cNvPicPr>
                        </pic:nvPicPr>
                        <pic:blipFill>
                          <a:blip r:embed="rId109"/>
                          <a:stretch>
                            <a:fillRect/>
                          </a:stretch>
                        </pic:blipFill>
                        <pic:spPr bwMode="auto">
                          <a:xfrm>
                            <a:off x="0" y="0"/>
                            <a:ext cx="53340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Marginal slope estimates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 Group marginal slopes pairwise comparisons summary.</w:t>
            </w:r>
          </w:p>
          <w:bookmarkEnd w:id="112"/>
        </w:tc>
      </w:tr>
    </w:tbl>
    <w:p>
      <w:pPr>
        <w:pStyle w:val="BodyText"/>
      </w:pPr>
      <w:hyperlink w:anchor="tbl-group-maginal-slopes-pairwise">
        <w:r>
          <w:rPr>
            <w:rStyle w:val="Hyperlink"/>
          </w:rPr>
          <w:t xml:space="preserve">Table 4</w:t>
        </w:r>
      </w:hyperlink>
    </w:p>
    <w:bookmarkStart w:id="113" w:name="tbl-group-maginal-slopes-pairwise"/>
    <w:p>
      <w:pPr>
        <w:pStyle w:val="TableCaption"/>
      </w:pPr>
      <w:r>
        <w:t xml:space="preserve">Table 4: Marginal slopes pairwise comparisons.</w:t>
      </w:r>
    </w:p>
    <w:tbl>
      <w:tblPr>
        <w:tblStyle w:val="Table"/>
        <w:tblW w:type="auto" w:w="0"/>
        <w:tblLook w:firstRow="1" w:lastRow="0" w:firstColumn="0" w:lastColumn="0" w:noHBand="0" w:noVBand="0" w:val="0020"/>
        <w:tblCaption w:val="Table 4: Marginal slopes pairwise comparisons."/>
      </w:tblPr>
      <w:tblGrid>
        <w:gridCol w:w="1320"/>
        <w:gridCol w:w="1320"/>
        <w:gridCol w:w="1320"/>
        <w:gridCol w:w="1320"/>
        <w:gridCol w:w="1320"/>
        <w:gridCol w:w="1320"/>
      </w:tblGrid>
      <w:tr>
        <w:trPr>
          <w:tblHeader w:val="true"/>
        </w:trPr>
        <w:tc>
          <w:tcPr/>
          <w:p>
            <w:pPr>
              <w:pStyle w:val="Compact"/>
              <w:jc w:val="left"/>
            </w:pPr>
            <w:r>
              <w:t xml:space="preserve">Stress</w:t>
            </w:r>
          </w:p>
        </w:tc>
        <w:tc>
          <w:tcPr/>
          <w:p>
            <w:pPr>
              <w:pStyle w:val="Compact"/>
              <w:jc w:val="left"/>
            </w:pPr>
            <w:r>
              <w:t xml:space="preserve">Comparison</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Paroxytone</w:t>
            </w:r>
          </w:p>
        </w:tc>
        <w:tc>
          <w:tcPr/>
          <w:p>
            <w:pPr>
              <w:pStyle w:val="Compact"/>
              <w:jc w:val="left"/>
            </w:pPr>
            <w:r>
              <w:t xml:space="preserve">HL - L2</w:t>
            </w:r>
          </w:p>
        </w:tc>
        <w:tc>
          <w:tcPr/>
          <w:p>
            <w:pPr>
              <w:pStyle w:val="Compact"/>
              <w:jc w:val="right"/>
            </w:pPr>
            <w:r>
              <w:t xml:space="preserve">-0.001</w:t>
            </w:r>
          </w:p>
        </w:tc>
        <w:tc>
          <w:tcPr/>
          <w:p>
            <w:pPr>
              <w:pStyle w:val="Compact"/>
              <w:jc w:val="right"/>
            </w:pPr>
            <w:r>
              <w:t xml:space="preserve">[-0.003, 0.000]</w:t>
            </w:r>
          </w:p>
        </w:tc>
        <w:tc>
          <w:tcPr/>
          <w:p>
            <w:pPr>
              <w:pStyle w:val="Compact"/>
              <w:jc w:val="right"/>
            </w:pPr>
            <w:r>
              <w:t xml:space="preserve">0.514</w:t>
            </w:r>
          </w:p>
        </w:tc>
        <w:tc>
          <w:tcPr/>
          <w:p>
            <w:pPr>
              <w:pStyle w:val="Compact"/>
              <w:jc w:val="right"/>
            </w:pPr>
            <w:r>
              <w:t xml:space="preserve">0.922</w:t>
            </w:r>
          </w:p>
        </w:tc>
      </w:tr>
      <w:tr>
        <w:tc>
          <w:tcPr/>
          <w:p>
            <w:pPr>
              <w:pStyle w:val="Compact"/>
            </w:pPr>
          </w:p>
        </w:tc>
        <w:tc>
          <w:tcPr/>
          <w:p>
            <w:pPr>
              <w:pStyle w:val="Compact"/>
              <w:jc w:val="left"/>
            </w:pPr>
            <w:r>
              <w:t xml:space="preserve">Mono - HL</w:t>
            </w:r>
          </w:p>
        </w:tc>
        <w:tc>
          <w:tcPr/>
          <w:p>
            <w:pPr>
              <w:pStyle w:val="Compact"/>
              <w:jc w:val="right"/>
            </w:pPr>
            <w:r>
              <w:t xml:space="preserve">-0.004</w:t>
            </w:r>
          </w:p>
        </w:tc>
        <w:tc>
          <w:tcPr/>
          <w:p>
            <w:pPr>
              <w:pStyle w:val="Compact"/>
              <w:jc w:val="right"/>
            </w:pPr>
            <w:r>
              <w:t xml:space="preserve">[-0.008, -0.001]</w:t>
            </w:r>
          </w:p>
        </w:tc>
        <w:tc>
          <w:tcPr/>
          <w:p>
            <w:pPr>
              <w:pStyle w:val="Compact"/>
              <w:jc w:val="right"/>
            </w:pPr>
            <w:r>
              <w:t xml:space="preserve">0.000</w:t>
            </w:r>
          </w:p>
        </w:tc>
        <w:tc>
          <w:tcPr/>
          <w:p>
            <w:pPr>
              <w:pStyle w:val="Compact"/>
              <w:jc w:val="right"/>
            </w:pPr>
            <w:r>
              <w:t xml:space="preserve">0.999</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r>
        <w:tc>
          <w:tcPr/>
          <w:p>
            <w:pPr>
              <w:pStyle w:val="Compact"/>
              <w:jc w:val="left"/>
            </w:pPr>
            <w:r>
              <w:t xml:space="preserve">Oxytone</w:t>
            </w:r>
          </w:p>
        </w:tc>
        <w:tc>
          <w:tcPr/>
          <w:p>
            <w:pPr>
              <w:pStyle w:val="Compact"/>
              <w:jc w:val="left"/>
            </w:pPr>
            <w:r>
              <w:t xml:space="preserve">HL - L2</w:t>
            </w:r>
          </w:p>
        </w:tc>
        <w:tc>
          <w:tcPr/>
          <w:p>
            <w:pPr>
              <w:pStyle w:val="Compact"/>
              <w:jc w:val="right"/>
            </w:pPr>
            <w:r>
              <w:t xml:space="preserve">0.001</w:t>
            </w:r>
          </w:p>
        </w:tc>
        <w:tc>
          <w:tcPr/>
          <w:p>
            <w:pPr>
              <w:pStyle w:val="Compact"/>
              <w:jc w:val="right"/>
            </w:pPr>
            <w:r>
              <w:t xml:space="preserve">[0.000, 0.002]</w:t>
            </w:r>
          </w:p>
        </w:tc>
        <w:tc>
          <w:tcPr/>
          <w:p>
            <w:pPr>
              <w:pStyle w:val="Compact"/>
              <w:jc w:val="right"/>
            </w:pPr>
            <w:r>
              <w:t xml:space="preserve">0.697</w:t>
            </w:r>
          </w:p>
        </w:tc>
        <w:tc>
          <w:tcPr/>
          <w:p>
            <w:pPr>
              <w:pStyle w:val="Compact"/>
              <w:jc w:val="right"/>
            </w:pPr>
            <w:r>
              <w:t xml:space="preserve">0.957</w:t>
            </w:r>
          </w:p>
        </w:tc>
      </w:tr>
      <w:tr>
        <w:tc>
          <w:tcPr/>
          <w:p>
            <w:pPr>
              <w:pStyle w:val="Compact"/>
            </w:pPr>
          </w:p>
        </w:tc>
        <w:tc>
          <w:tcPr/>
          <w:p>
            <w:pPr>
              <w:pStyle w:val="Compact"/>
              <w:jc w:val="left"/>
            </w:pPr>
            <w:r>
              <w:t xml:space="preserve">Mono - HL</w:t>
            </w:r>
          </w:p>
        </w:tc>
        <w:tc>
          <w:tcPr/>
          <w:p>
            <w:pPr>
              <w:pStyle w:val="Compact"/>
              <w:jc w:val="right"/>
            </w:pPr>
            <w:r>
              <w:t xml:space="preserve">-0.006</w:t>
            </w:r>
          </w:p>
        </w:tc>
        <w:tc>
          <w:tcPr/>
          <w:p>
            <w:pPr>
              <w:pStyle w:val="Compact"/>
              <w:jc w:val="right"/>
            </w:pPr>
            <w:r>
              <w:t xml:space="preserve">[-0.010, -0.004]</w:t>
            </w:r>
          </w:p>
        </w:tc>
        <w:tc>
          <w:tcPr/>
          <w:p>
            <w:pPr>
              <w:pStyle w:val="Compact"/>
              <w:jc w:val="right"/>
            </w:pPr>
            <w:r>
              <w:t xml:space="preserve">0.000</w:t>
            </w:r>
          </w:p>
        </w:tc>
        <w:tc>
          <w:tcPr/>
          <w:p>
            <w:pPr>
              <w:pStyle w:val="Compact"/>
              <w:jc w:val="right"/>
            </w:pPr>
            <w:r>
              <w:t xml:space="preserve">1.000</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bl>
    <w:bookmarkEnd w:id="113"/>
    <w:p>
      <w:pPr>
        <w:pStyle w:val="BodyText"/>
      </w:pPr>
      <w:hyperlink w:anchor="fig-bi-comparison-plot-report">
        <w:r>
          <w:rPr>
            <w:rStyle w:val="Hyperlink"/>
          </w:rPr>
          <w:t xml:space="preserve">Figure 9</w:t>
        </w:r>
      </w:hyperlink>
    </w:p>
    <w:tbl>
      <w:tblPr>
        <w:tblStyle w:val="Table"/>
        <w:tblW w:type="pct" w:w="5000"/>
        <w:tblLook w:firstRow="0" w:lastRow="0" w:firstColumn="0" w:lastColumn="0" w:noHBand="0" w:noVBand="0" w:val="0000"/>
      </w:tblPr>
      <w:tblGrid>
        <w:gridCol w:w="7920"/>
      </w:tblGrid>
      <w:tr>
        <w:tc>
          <w:tcPr/>
          <w:bookmarkStart w:id="117" w:name="fig-bi-comparison-plot-report"/>
          <w:p>
            <w:pPr>
              <w:pStyle w:val="Figure"/>
              <w:jc w:val="center"/>
            </w:pPr>
            <w:r>
              <w:drawing>
                <wp:inline>
                  <wp:extent cx="5334000" cy="4572000"/>
                  <wp:effectExtent b="0" l="0" r="0" t="0"/>
                  <wp:docPr descr="" title="" id="115" name="Picture"/>
                  <a:graphic>
                    <a:graphicData uri="http://schemas.openxmlformats.org/drawingml/2006/picture">
                      <pic:pic>
                        <pic:nvPicPr>
                          <pic:cNvPr descr="../figs/bi-comparison-plot-1.png" id="116" name="Picture"/>
                          <pic:cNvPicPr>
                            <a:picLocks noChangeArrowheads="1" noChangeAspect="1"/>
                          </pic:cNvPicPr>
                        </pic:nvPicPr>
                        <pic:blipFill>
                          <a:blip r:embed="rId114"/>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bookmarkEnd w:id="117"/>
        </w:tc>
      </w:tr>
    </w:tbl>
    <w:p>
      <w:pPr>
        <w:pStyle w:val="BodyText"/>
      </w:pPr>
      <w:hyperlink w:anchor="tbl-bi-gamm">
        <w:r>
          <w:rPr>
            <w:rStyle w:val="Hyperlink"/>
          </w:rPr>
          <w:t xml:space="preserve">Table 5</w:t>
        </w:r>
      </w:hyperlink>
    </w:p>
    <w:bookmarkStart w:id="118" w:name="tbl-bi-gamm"/>
    <w:p>
      <w:pPr>
        <w:pStyle w:val="TableCaption"/>
      </w:pPr>
      <w:r>
        <w:t xml:space="preserve">Table 5: Bilingual GAMM summary.</w:t>
      </w:r>
    </w:p>
    <w:tbl>
      <w:tblPr>
        <w:tblStyle w:val="Table"/>
        <w:tblW w:type="auto" w:w="0"/>
        <w:tblLook w:firstRow="1" w:lastRow="0" w:firstColumn="0" w:lastColumn="0" w:noHBand="0" w:noVBand="0" w:val="0020"/>
        <w:tblCaption w:val="Table 5: Bilingual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0.39</w:t>
            </w:r>
          </w:p>
        </w:tc>
        <w:tc>
          <w:tcPr/>
          <w:p>
            <w:pPr>
              <w:pStyle w:val="Compact"/>
              <w:jc w:val="right"/>
            </w:pPr>
            <w:r>
              <w:t xml:space="preserve">[0.24, 0.54]</w:t>
            </w:r>
          </w:p>
        </w:tc>
        <w:tc>
          <w:tcPr/>
          <w:p>
            <w:pPr>
              <w:pStyle w:val="Compact"/>
              <w:jc w:val="right"/>
            </w:pPr>
            <w:r>
              <w:t xml:space="preserve">1</w:t>
            </w:r>
          </w:p>
        </w:tc>
        <w:tc>
          <w:tcPr/>
          <w:p>
            <w:pPr>
              <w:pStyle w:val="Compact"/>
              <w:jc w:val="right"/>
            </w:pPr>
            <w:r>
              <w:t xml:space="preserve">922.53</w:t>
            </w:r>
          </w:p>
        </w:tc>
        <w:tc>
          <w:tcPr/>
          <w:p>
            <w:pPr>
              <w:pStyle w:val="Compact"/>
              <w:jc w:val="right"/>
            </w:pPr>
            <w:r>
              <w:t xml:space="preserve">1521.88</w:t>
            </w:r>
          </w:p>
        </w:tc>
      </w:tr>
      <w:tr>
        <w:tc>
          <w:tcPr/>
          <w:p>
            <w:pPr>
              <w:pStyle w:val="Compact"/>
            </w:pPr>
          </w:p>
        </w:tc>
        <w:tc>
          <w:tcPr/>
          <w:p>
            <w:pPr>
              <w:pStyle w:val="Compact"/>
              <w:jc w:val="left"/>
            </w:pPr>
            <w:r>
              <w:t xml:space="preserve">L2</w:t>
            </w:r>
          </w:p>
        </w:tc>
        <w:tc>
          <w:tcPr/>
          <w:p>
            <w:pPr>
              <w:pStyle w:val="Compact"/>
              <w:jc w:val="right"/>
            </w:pPr>
            <w:r>
              <w:t xml:space="preserve">−0.14</w:t>
            </w:r>
          </w:p>
        </w:tc>
        <w:tc>
          <w:tcPr/>
          <w:p>
            <w:pPr>
              <w:pStyle w:val="Compact"/>
              <w:jc w:val="right"/>
            </w:pPr>
            <w:r>
              <w:t xml:space="preserve">[−0.35, 0.07]</w:t>
            </w:r>
          </w:p>
        </w:tc>
        <w:tc>
          <w:tcPr/>
          <w:p>
            <w:pPr>
              <w:pStyle w:val="Compact"/>
              <w:jc w:val="right"/>
            </w:pPr>
            <w:r>
              <w:t xml:space="preserve">1</w:t>
            </w:r>
          </w:p>
        </w:tc>
        <w:tc>
          <w:tcPr/>
          <w:p>
            <w:pPr>
              <w:pStyle w:val="Compact"/>
              <w:jc w:val="right"/>
            </w:pPr>
            <w:r>
              <w:t xml:space="preserve">987.96</w:t>
            </w:r>
          </w:p>
        </w:tc>
        <w:tc>
          <w:tcPr/>
          <w:p>
            <w:pPr>
              <w:pStyle w:val="Compact"/>
              <w:jc w:val="right"/>
            </w:pPr>
            <w:r>
              <w:t xml:space="preserve">1527.22</w:t>
            </w:r>
          </w:p>
        </w:tc>
      </w:tr>
      <w:tr>
        <w:tc>
          <w:tcPr/>
          <w:p>
            <w:pPr>
              <w:pStyle w:val="Compact"/>
            </w:pPr>
          </w:p>
        </w:tc>
        <w:tc>
          <w:tcPr/>
          <w:p>
            <w:pPr>
              <w:pStyle w:val="Compact"/>
              <w:jc w:val="left"/>
            </w:pPr>
            <w:r>
              <w:t xml:space="preserve">Oxytone</w:t>
            </w:r>
          </w:p>
        </w:tc>
        <w:tc>
          <w:tcPr/>
          <w:p>
            <w:pPr>
              <w:pStyle w:val="Compact"/>
              <w:jc w:val="right"/>
            </w:pPr>
            <w:r>
              <w:t xml:space="preserve">−0.39</w:t>
            </w:r>
          </w:p>
        </w:tc>
        <w:tc>
          <w:tcPr/>
          <w:p>
            <w:pPr>
              <w:pStyle w:val="Compact"/>
              <w:jc w:val="right"/>
            </w:pPr>
            <w:r>
              <w:t xml:space="preserve">[−0.41, −0.38]</w:t>
            </w:r>
          </w:p>
        </w:tc>
        <w:tc>
          <w:tcPr/>
          <w:p>
            <w:pPr>
              <w:pStyle w:val="Compact"/>
              <w:jc w:val="right"/>
            </w:pPr>
            <w:r>
              <w:t xml:space="preserve">1</w:t>
            </w:r>
          </w:p>
        </w:tc>
        <w:tc>
          <w:tcPr/>
          <w:p>
            <w:pPr>
              <w:pStyle w:val="Compact"/>
              <w:jc w:val="right"/>
            </w:pPr>
            <w:r>
              <w:t xml:space="preserve">3526.63</w:t>
            </w:r>
          </w:p>
        </w:tc>
        <w:tc>
          <w:tcPr/>
          <w:p>
            <w:pPr>
              <w:pStyle w:val="Compact"/>
              <w:jc w:val="right"/>
            </w:pPr>
            <w:r>
              <w:t xml:space="preserve">3831.69</w:t>
            </w:r>
          </w:p>
        </w:tc>
      </w:tr>
      <w:tr>
        <w:tc>
          <w:tcPr/>
          <w:p>
            <w:pPr>
              <w:pStyle w:val="Compact"/>
            </w:pPr>
          </w:p>
        </w:tc>
        <w:tc>
          <w:tcPr/>
          <w:p>
            <w:pPr>
              <w:pStyle w:val="Compact"/>
              <w:jc w:val="left"/>
            </w:pPr>
            <w:r>
              <w:t xml:space="preserve">Proficiency</w:t>
            </w:r>
          </w:p>
        </w:tc>
        <w:tc>
          <w:tcPr/>
          <w:p>
            <w:pPr>
              <w:pStyle w:val="Compact"/>
              <w:jc w:val="right"/>
            </w:pPr>
            <w:r>
              <w:t xml:space="preserve">0.03</w:t>
            </w:r>
          </w:p>
        </w:tc>
        <w:tc>
          <w:tcPr/>
          <w:p>
            <w:pPr>
              <w:pStyle w:val="Compact"/>
              <w:jc w:val="right"/>
            </w:pPr>
            <w:r>
              <w:t xml:space="preserve">[−0.08, 0.13]</w:t>
            </w:r>
          </w:p>
        </w:tc>
        <w:tc>
          <w:tcPr/>
          <w:p>
            <w:pPr>
              <w:pStyle w:val="Compact"/>
              <w:jc w:val="right"/>
            </w:pPr>
            <w:r>
              <w:t xml:space="preserve">1</w:t>
            </w:r>
          </w:p>
        </w:tc>
        <w:tc>
          <w:tcPr/>
          <w:p>
            <w:pPr>
              <w:pStyle w:val="Compact"/>
              <w:jc w:val="right"/>
            </w:pPr>
            <w:r>
              <w:t xml:space="preserve">1295.05</w:t>
            </w:r>
          </w:p>
        </w:tc>
        <w:tc>
          <w:tcPr/>
          <w:p>
            <w:pPr>
              <w:pStyle w:val="Compact"/>
              <w:jc w:val="right"/>
            </w:pPr>
            <w:r>
              <w:t xml:space="preserve">2034.59</w:t>
            </w:r>
          </w:p>
        </w:tc>
      </w:tr>
      <w:tr>
        <w:tc>
          <w:tcPr/>
          <w:p>
            <w:pPr>
              <w:pStyle w:val="Compact"/>
            </w:pPr>
          </w:p>
        </w:tc>
        <w:tc>
          <w:tcPr/>
          <w:p>
            <w:pPr>
              <w:pStyle w:val="Compact"/>
              <w:jc w:val="left"/>
            </w:pPr>
            <w:r>
              <w:t xml:space="preserve">Use</w:t>
            </w:r>
          </w:p>
        </w:tc>
        <w:tc>
          <w:tcPr/>
          <w:p>
            <w:pPr>
              <w:pStyle w:val="Compact"/>
              <w:jc w:val="right"/>
            </w:pPr>
            <w:r>
              <w:t xml:space="preserve">0.01</w:t>
            </w:r>
          </w:p>
        </w:tc>
        <w:tc>
          <w:tcPr/>
          <w:p>
            <w:pPr>
              <w:pStyle w:val="Compact"/>
              <w:jc w:val="right"/>
            </w:pPr>
            <w:r>
              <w:t xml:space="preserve">[−0.10, 0.11]</w:t>
            </w:r>
          </w:p>
        </w:tc>
        <w:tc>
          <w:tcPr/>
          <w:p>
            <w:pPr>
              <w:pStyle w:val="Compact"/>
              <w:jc w:val="right"/>
            </w:pPr>
            <w:r>
              <w:t xml:space="preserve">1</w:t>
            </w:r>
          </w:p>
        </w:tc>
        <w:tc>
          <w:tcPr/>
          <w:p>
            <w:pPr>
              <w:pStyle w:val="Compact"/>
              <w:jc w:val="right"/>
            </w:pPr>
            <w:r>
              <w:t xml:space="preserve">1325.31</w:t>
            </w:r>
          </w:p>
        </w:tc>
        <w:tc>
          <w:tcPr/>
          <w:p>
            <w:pPr>
              <w:pStyle w:val="Compact"/>
              <w:jc w:val="right"/>
            </w:pPr>
            <w:r>
              <w:t xml:space="preserve">1976.81</w:t>
            </w:r>
          </w:p>
        </w:tc>
      </w:tr>
      <w:tr>
        <w:tc>
          <w:tcPr/>
          <w:p>
            <w:pPr>
              <w:pStyle w:val="Compact"/>
            </w:pPr>
          </w:p>
        </w:tc>
        <w:tc>
          <w:tcPr/>
          <w:p>
            <w:pPr>
              <w:pStyle w:val="Compact"/>
              <w:jc w:val="left"/>
            </w:pPr>
            <w:r>
              <w:t xml:space="preserve">L2:Oxytone</w:t>
            </w:r>
          </w:p>
        </w:tc>
        <w:tc>
          <w:tcPr/>
          <w:p>
            <w:pPr>
              <w:pStyle w:val="Compact"/>
              <w:jc w:val="right"/>
            </w:pPr>
            <w:r>
              <w:t xml:space="preserve">0.51</w:t>
            </w:r>
          </w:p>
        </w:tc>
        <w:tc>
          <w:tcPr/>
          <w:p>
            <w:pPr>
              <w:pStyle w:val="Compact"/>
              <w:jc w:val="right"/>
            </w:pPr>
            <w:r>
              <w:t xml:space="preserve">[0.50, 0.53]</w:t>
            </w:r>
          </w:p>
        </w:tc>
        <w:tc>
          <w:tcPr/>
          <w:p>
            <w:pPr>
              <w:pStyle w:val="Compact"/>
              <w:jc w:val="right"/>
            </w:pPr>
            <w:r>
              <w:t xml:space="preserve">1</w:t>
            </w:r>
          </w:p>
        </w:tc>
        <w:tc>
          <w:tcPr/>
          <w:p>
            <w:pPr>
              <w:pStyle w:val="Compact"/>
              <w:jc w:val="right"/>
            </w:pPr>
            <w:r>
              <w:t xml:space="preserve">3826.82</w:t>
            </w:r>
          </w:p>
        </w:tc>
        <w:tc>
          <w:tcPr/>
          <w:p>
            <w:pPr>
              <w:pStyle w:val="Compact"/>
              <w:jc w:val="right"/>
            </w:pPr>
            <w:r>
              <w:t xml:space="preserve">3752.23</w:t>
            </w:r>
          </w:p>
        </w:tc>
      </w:tr>
      <w:tr>
        <w:tc>
          <w:tcPr/>
          <w:p>
            <w:pPr>
              <w:pStyle w:val="Compact"/>
            </w:pPr>
          </w:p>
        </w:tc>
        <w:tc>
          <w:tcPr/>
          <w:p>
            <w:pPr>
              <w:pStyle w:val="Compact"/>
              <w:jc w:val="left"/>
            </w:pPr>
            <w:r>
              <w:t xml:space="preserve">prof_z:use_z</w:t>
            </w:r>
          </w:p>
        </w:tc>
        <w:tc>
          <w:tcPr/>
          <w:p>
            <w:pPr>
              <w:pStyle w:val="Compact"/>
              <w:jc w:val="right"/>
            </w:pPr>
            <w:r>
              <w:t xml:space="preserve">−0.09</w:t>
            </w:r>
          </w:p>
        </w:tc>
        <w:tc>
          <w:tcPr/>
          <w:p>
            <w:pPr>
              <w:pStyle w:val="Compact"/>
              <w:jc w:val="right"/>
            </w:pPr>
            <w:r>
              <w:t xml:space="preserve">[−0.21, 0.02]</w:t>
            </w:r>
          </w:p>
        </w:tc>
        <w:tc>
          <w:tcPr/>
          <w:p>
            <w:pPr>
              <w:pStyle w:val="Compact"/>
              <w:jc w:val="right"/>
            </w:pPr>
            <w:r>
              <w:t xml:space="preserve">1</w:t>
            </w:r>
          </w:p>
        </w:tc>
        <w:tc>
          <w:tcPr/>
          <w:p>
            <w:pPr>
              <w:pStyle w:val="Compact"/>
              <w:jc w:val="right"/>
            </w:pPr>
            <w:r>
              <w:t xml:space="preserve">1334.78</w:t>
            </w:r>
          </w:p>
        </w:tc>
        <w:tc>
          <w:tcPr/>
          <w:p>
            <w:pPr>
              <w:pStyle w:val="Compact"/>
              <w:jc w:val="right"/>
            </w:pPr>
            <w:r>
              <w:t xml:space="preserve">2066.52</w:t>
            </w:r>
          </w:p>
        </w:tc>
      </w:tr>
      <w:tr>
        <w:tc>
          <w:tcPr/>
          <w:p>
            <w:pPr>
              <w:pStyle w:val="Compact"/>
            </w:pPr>
          </w:p>
        </w:tc>
        <w:tc>
          <w:tcPr/>
          <w:p>
            <w:pPr>
              <w:pStyle w:val="Compact"/>
              <w:jc w:val="left"/>
            </w:pPr>
            <w:r>
              <w:t xml:space="preserve">Time</w:t>
            </w:r>
          </w:p>
        </w:tc>
        <w:tc>
          <w:tcPr/>
          <w:p>
            <w:pPr>
              <w:pStyle w:val="Compact"/>
              <w:jc w:val="right"/>
            </w:pPr>
            <w:r>
              <w:t xml:space="preserve">1.49</w:t>
            </w:r>
          </w:p>
        </w:tc>
        <w:tc>
          <w:tcPr/>
          <w:p>
            <w:pPr>
              <w:pStyle w:val="Compact"/>
              <w:jc w:val="right"/>
            </w:pPr>
            <w:r>
              <w:t xml:space="preserve">[1.48, 1.51]</w:t>
            </w:r>
          </w:p>
        </w:tc>
        <w:tc>
          <w:tcPr/>
          <w:p>
            <w:pPr>
              <w:pStyle w:val="Compact"/>
              <w:jc w:val="right"/>
            </w:pPr>
            <w:r>
              <w:t xml:space="preserve">1</w:t>
            </w:r>
          </w:p>
        </w:tc>
        <w:tc>
          <w:tcPr/>
          <w:p>
            <w:pPr>
              <w:pStyle w:val="Compact"/>
              <w:jc w:val="right"/>
            </w:pPr>
            <w:r>
              <w:t xml:space="preserve">3957.52</w:t>
            </w:r>
          </w:p>
        </w:tc>
        <w:tc>
          <w:tcPr/>
          <w:p>
            <w:pPr>
              <w:pStyle w:val="Compact"/>
              <w:jc w:val="right"/>
            </w:pPr>
            <w:r>
              <w:t xml:space="preserve">3774.16</w:t>
            </w:r>
          </w:p>
        </w:tc>
      </w:tr>
      <w:tr>
        <w:tc>
          <w:tcPr/>
          <w:p>
            <w:pPr>
              <w:pStyle w:val="Compact"/>
            </w:pPr>
          </w:p>
        </w:tc>
        <w:tc>
          <w:tcPr/>
          <w:p>
            <w:pPr>
              <w:pStyle w:val="Compact"/>
              <w:jc w:val="left"/>
            </w:pPr>
            <w:r>
              <w:t xml:space="preserve">Time:Oxytone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w:t>
            </w:r>
          </w:p>
        </w:tc>
        <w:tc>
          <w:tcPr/>
          <w:p>
            <w:pPr>
              <w:pStyle w:val="Compact"/>
              <w:jc w:val="right"/>
            </w:pPr>
            <w:r>
              <w:t xml:space="preserve">3741.31</w:t>
            </w:r>
          </w:p>
        </w:tc>
        <w:tc>
          <w:tcPr/>
          <w:p>
            <w:pPr>
              <w:pStyle w:val="Compact"/>
              <w:jc w:val="right"/>
            </w:pPr>
            <w:r>
              <w:t xml:space="preserve">3649.01</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0.49</w:t>
            </w:r>
          </w:p>
        </w:tc>
        <w:tc>
          <w:tcPr/>
          <w:p>
            <w:pPr>
              <w:pStyle w:val="Compact"/>
              <w:jc w:val="right"/>
            </w:pPr>
            <w:r>
              <w:t xml:space="preserve">[0.42, 0.57]</w:t>
            </w:r>
          </w:p>
        </w:tc>
        <w:tc>
          <w:tcPr/>
          <w:p>
            <w:pPr>
              <w:pStyle w:val="Compact"/>
              <w:jc w:val="right"/>
            </w:pPr>
            <w:r>
              <w:t xml:space="preserve">1</w:t>
            </w:r>
          </w:p>
        </w:tc>
        <w:tc>
          <w:tcPr/>
          <w:p>
            <w:pPr>
              <w:pStyle w:val="Compact"/>
              <w:jc w:val="right"/>
            </w:pPr>
            <w:r>
              <w:t xml:space="preserve">1433.13</w:t>
            </w:r>
          </w:p>
        </w:tc>
        <w:tc>
          <w:tcPr/>
          <w:p>
            <w:pPr>
              <w:pStyle w:val="Compact"/>
              <w:jc w:val="right"/>
            </w:pPr>
            <w:r>
              <w:t xml:space="preserve">2323.04</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1.42</w:t>
            </w:r>
          </w:p>
        </w:tc>
        <w:tc>
          <w:tcPr/>
          <w:p>
            <w:pPr>
              <w:pStyle w:val="Compact"/>
              <w:jc w:val="right"/>
            </w:pPr>
            <w:r>
              <w:t xml:space="preserve">[0.37, 3.74]</w:t>
            </w:r>
          </w:p>
        </w:tc>
        <w:tc>
          <w:tcPr/>
          <w:p>
            <w:pPr>
              <w:pStyle w:val="Compact"/>
              <w:jc w:val="right"/>
            </w:pPr>
            <w:r>
              <w:t xml:space="preserve">1</w:t>
            </w:r>
          </w:p>
        </w:tc>
        <w:tc>
          <w:tcPr/>
          <w:p>
            <w:pPr>
              <w:pStyle w:val="Compact"/>
              <w:jc w:val="right"/>
            </w:pPr>
            <w:r>
              <w:t xml:space="preserve">3091.95</w:t>
            </w:r>
          </w:p>
        </w:tc>
        <w:tc>
          <w:tcPr/>
          <w:p>
            <w:pPr>
              <w:pStyle w:val="Compact"/>
              <w:jc w:val="right"/>
            </w:pPr>
            <w:r>
              <w:t xml:space="preserve">3338.58</w:t>
            </w:r>
          </w:p>
        </w:tc>
      </w:tr>
      <w:tr>
        <w:tc>
          <w:tcPr/>
          <w:p>
            <w:pPr>
              <w:pStyle w:val="Compact"/>
            </w:pPr>
          </w:p>
        </w:tc>
        <w:tc>
          <w:tcPr/>
          <w:p>
            <w:pPr>
              <w:pStyle w:val="Compact"/>
              <w:jc w:val="left"/>
            </w:pPr>
            <w:r>
              <w:t xml:space="preserve">sds(Time:Oxytone)</w:t>
            </w:r>
          </w:p>
        </w:tc>
        <w:tc>
          <w:tcPr/>
          <w:p>
            <w:pPr>
              <w:pStyle w:val="Compact"/>
              <w:jc w:val="right"/>
            </w:pPr>
            <w:r>
              <w:t xml:space="preserve">0.91</w:t>
            </w:r>
          </w:p>
        </w:tc>
        <w:tc>
          <w:tcPr/>
          <w:p>
            <w:pPr>
              <w:pStyle w:val="Compact"/>
              <w:jc w:val="right"/>
            </w:pPr>
            <w:r>
              <w:t xml:space="preserve">[0.10, 3.29]</w:t>
            </w:r>
          </w:p>
        </w:tc>
        <w:tc>
          <w:tcPr/>
          <w:p>
            <w:pPr>
              <w:pStyle w:val="Compact"/>
              <w:jc w:val="right"/>
            </w:pPr>
            <w:r>
              <w:t xml:space="preserve">1</w:t>
            </w:r>
          </w:p>
        </w:tc>
        <w:tc>
          <w:tcPr/>
          <w:p>
            <w:pPr>
              <w:pStyle w:val="Compact"/>
              <w:jc w:val="right"/>
            </w:pPr>
            <w:r>
              <w:t xml:space="preserve">2501.40</w:t>
            </w:r>
          </w:p>
        </w:tc>
        <w:tc>
          <w:tcPr/>
          <w:p>
            <w:pPr>
              <w:pStyle w:val="Compact"/>
              <w:jc w:val="right"/>
            </w:pPr>
            <w:r>
              <w:t xml:space="preserve">2420.84</w:t>
            </w:r>
          </w:p>
        </w:tc>
      </w:tr>
    </w:tbl>
    <w:bookmarkEnd w:id="118"/>
    <w:p>
      <w:pPr>
        <w:pStyle w:val="BodyText"/>
      </w:pPr>
      <w:hyperlink w:anchor="fig-forest-plot-bi-gamm-report">
        <w:r>
          <w:rPr>
            <w:rStyle w:val="Hyperlink"/>
          </w:rPr>
          <w:t xml:space="preserve">Figure 10</w:t>
        </w:r>
      </w:hyperlink>
    </w:p>
    <w:tbl>
      <w:tblPr>
        <w:tblStyle w:val="Table"/>
        <w:tblW w:type="pct" w:w="5000"/>
        <w:tblLook w:firstRow="0" w:lastRow="0" w:firstColumn="0" w:lastColumn="0" w:noHBand="0" w:noVBand="0" w:val="0000"/>
      </w:tblPr>
      <w:tblGrid>
        <w:gridCol w:w="7920"/>
      </w:tblGrid>
      <w:tr>
        <w:tc>
          <w:tcPr/>
          <w:bookmarkStart w:id="122" w:name="fig-forest-plot-bi-gamm-report"/>
          <w:p>
            <w:pPr>
              <w:pStyle w:val="Figure"/>
              <w:jc w:val="center"/>
            </w:pPr>
            <w:r>
              <w:drawing>
                <wp:inline>
                  <wp:extent cx="5334000" cy="4572000"/>
                  <wp:effectExtent b="0" l="0" r="0" t="0"/>
                  <wp:docPr descr="" title="" id="120" name="Picture"/>
                  <a:graphic>
                    <a:graphicData uri="http://schemas.openxmlformats.org/drawingml/2006/picture">
                      <pic:pic>
                        <pic:nvPicPr>
                          <pic:cNvPr descr="../figs/forest-plot-bi-gamm-1.png" id="121" name="Picture"/>
                          <pic:cNvPicPr>
                            <a:picLocks noChangeArrowheads="1" noChangeAspect="1"/>
                          </pic:cNvPicPr>
                        </pic:nvPicPr>
                        <pic:blipFill>
                          <a:blip r:embed="rId119"/>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Forest plot of the bilingual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122"/>
        </w:tc>
      </w:tr>
    </w:tbl>
    <w:p>
      <w:r>
        <w:br w:type="page"/>
      </w:r>
    </w:p>
    <w:bookmarkEnd w:id="123"/>
    <w:bookmarkStart w:id="139" w:name="sec-prof-use-supp"/>
    <w:p>
      <w:pPr>
        <w:pStyle w:val="Heading2"/>
      </w:pPr>
      <w:r>
        <w:t xml:space="preserve">5.3 Proficiency and use</w:t>
      </w:r>
    </w:p>
    <w:p>
      <w:pPr>
        <w:pStyle w:val="FirstParagraph"/>
      </w:pPr>
      <w:r>
        <w:t xml:space="preserve">This section provides additional plots and tables related to language use and language proficiency in the HL and L2 groups.</w:t>
      </w:r>
    </w:p>
    <w:bookmarkStart w:id="128" w:name="general-descriptives"/>
    <w:p>
      <w:pPr>
        <w:pStyle w:val="Heading3"/>
      </w:pPr>
      <w:r>
        <w:t xml:space="preserve">5.3.1 General descriptives</w:t>
      </w:r>
    </w:p>
    <w:p>
      <w:pPr>
        <w:pStyle w:val="FirstParagraph"/>
      </w:pPr>
      <w:hyperlink w:anchor="X435d0162516caa58630c9ee359970c9de0023f2">
        <w:r>
          <w:rPr>
            <w:rStyle w:val="Hyperlink"/>
          </w:rPr>
          <w:t xml:space="preserve">Figure 11</w:t>
        </w:r>
      </w:hyperlink>
      <w:r>
        <w:t xml:space="preserve"> </w:t>
      </w:r>
      <w:r>
        <w:t xml:space="preserve">illustrates the marginal mean differences (L2 - HL) for each metric.</w:t>
      </w:r>
      <w:r>
        <w:t xml:space="preserve"> </w:t>
      </w:r>
      <w:r>
        <w:t xml:space="preserve">The plot provides visual evidence supporting the notion that the two groups are similar in their proficiency in and use of Spanish.</w:t>
      </w:r>
      <w:r>
        <w:t xml:space="preserve"> </w:t>
      </w:r>
      <w:r>
        <w:t xml:space="preserve">For both metrics, the entirety of the 95% HDI falls within the ROPE (±0.1).</w:t>
      </w:r>
      <w:r>
        <w:t xml:space="preserve"> </w:t>
      </w:r>
      <w:hyperlink w:anchor="X435d0162516caa58630c9ee359970c9de0023f2">
        <w:r>
          <w:rPr>
            <w:rStyle w:val="Hyperlink"/>
          </w:rPr>
          <w:t xml:space="preserve">Figure 11</w:t>
        </w:r>
      </w:hyperlink>
      <w:r>
        <w:t xml:space="preserve"> </w:t>
      </w:r>
      <w:r>
        <w:t xml:space="preserve">complements</w:t>
      </w:r>
      <w:r>
        <w:t xml:space="preserve"> </w:t>
      </w:r>
      <w:hyperlink w:anchor="tbl-prof-use-desc">
        <w:r>
          <w:rPr>
            <w:rStyle w:val="Hyperlink"/>
          </w:rPr>
          <w:t xml:space="preserve">Table 1</w:t>
        </w:r>
      </w:hyperlink>
      <w:r>
        <w:t xml:space="preserve"> </w:t>
      </w:r>
      <w:r>
        <w:t xml:space="preserve">in the manuscript.</w:t>
      </w:r>
    </w:p>
    <w:tbl>
      <w:tblPr>
        <w:tblStyle w:val="Table"/>
        <w:tblW w:type="pct" w:w="5000"/>
        <w:tblLook w:firstRow="0" w:lastRow="0" w:firstColumn="0" w:lastColumn="0" w:noHBand="0" w:noVBand="0" w:val="0000"/>
      </w:tblPr>
      <w:tblGrid>
        <w:gridCol w:w="7920"/>
      </w:tblGrid>
      <w:tr>
        <w:tc>
          <w:tcPr/>
          <w:bookmarkStart w:id="127" w:name="X435d0162516caa58630c9ee359970c9de0023f2"/>
          <w:p>
            <w:pPr>
              <w:pStyle w:val="Figure"/>
              <w:jc w:val="center"/>
            </w:pPr>
            <w:r>
              <w:drawing>
                <wp:inline>
                  <wp:extent cx="5334000" cy="3810000"/>
                  <wp:effectExtent b="0" l="0" r="0" t="0"/>
                  <wp:docPr descr="" title="" id="125" name="Picture"/>
                  <a:graphic>
                    <a:graphicData uri="http://schemas.openxmlformats.org/drawingml/2006/picture">
                      <pic:pic>
                        <pic:nvPicPr>
                          <pic:cNvPr descr="../figs/eda-prof-use-marginal-mean-estimates-1.png" id="126" name="Picture"/>
                          <pic:cNvPicPr>
                            <a:picLocks noChangeArrowheads="1" noChangeAspect="1"/>
                          </pic:cNvPicPr>
                        </pic:nvPicPr>
                        <pic:blipFill>
                          <a:blip r:embed="rId12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Marginal mean estimates plot.</w:t>
            </w:r>
          </w:p>
          <w:bookmarkEnd w:id="127"/>
        </w:tc>
      </w:tr>
    </w:tbl>
    <w:bookmarkEnd w:id="128"/>
    <w:bookmarkStart w:id="138" w:name="zero-inflated-beta-regression"/>
    <w:p>
      <w:pPr>
        <w:pStyle w:val="Heading3"/>
      </w:pPr>
      <w:r>
        <w:t xml:space="preserve">5.3.2 Zero-inflated beta regression</w:t>
      </w:r>
    </w:p>
    <w:p>
      <w:pPr>
        <w:pStyle w:val="FirstParagraph"/>
      </w:pPr>
      <w:hyperlink w:anchor="tbl-bi-zoid">
        <w:r>
          <w:rPr>
            <w:rStyle w:val="Hyperlink"/>
          </w:rPr>
          <w:t xml:space="preserve">Table 6</w:t>
        </w:r>
      </w:hyperlink>
      <w:r>
        <w:t xml:space="preserve"> </w:t>
      </w:r>
      <w:r>
        <w:t xml:space="preserve">provides a model summary of the zero-inflated beta regression conducted in</w:t>
      </w:r>
      <w:r>
        <w:t xml:space="preserve"> </w:t>
      </w:r>
      <w:hyperlink w:anchor="sec-prof-use">
        <w:r>
          <w:rPr>
            <w:rStyle w:val="Hyperlink"/>
          </w:rPr>
          <w:t xml:space="preserve">Section 3.3</w:t>
        </w:r>
      </w:hyperlink>
      <w:r>
        <w:t xml:space="preserve">.</w:t>
      </w:r>
      <w:r>
        <w:t xml:space="preserve"> </w:t>
      </w:r>
      <w:r>
        <w:t xml:space="preserve">This table provides the same information provided in the @ forest plot.</w:t>
      </w:r>
    </w:p>
    <w:bookmarkStart w:id="129" w:name="tbl-bi-zoid"/>
    <w:p>
      <w:pPr>
        <w:pStyle w:val="TableCaption"/>
      </w:pPr>
      <w:r>
        <w:t xml:space="preserve">Table 6: Bilingual zero-inflated beta regression summary.</w:t>
      </w:r>
    </w:p>
    <w:tbl>
      <w:tblPr>
        <w:tblStyle w:val="Table"/>
        <w:tblW w:type="auto" w:w="0"/>
        <w:tblLook w:firstRow="1" w:lastRow="0" w:firstColumn="0" w:lastColumn="0" w:noHBand="0" w:noVBand="0" w:val="0020"/>
        <w:tblCaption w:val="Table 6: Bilingual zero-inflated beta regression summary."/>
      </w:tblPr>
      <w:tblGrid>
        <w:gridCol w:w="1320"/>
        <w:gridCol w:w="1320"/>
        <w:gridCol w:w="1320"/>
        <w:gridCol w:w="1320"/>
        <w:gridCol w:w="1320"/>
        <w:gridCol w:w="1320"/>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Population-level</w:t>
            </w:r>
          </w:p>
        </w:tc>
        <w:tc>
          <w:tcPr/>
          <w:p>
            <w:pPr>
              <w:pStyle w:val="Compact"/>
              <w:jc w:val="left"/>
            </w:pPr>
            <w:r>
              <w:t xml:space="preserve">Intercept</w:t>
            </w:r>
          </w:p>
        </w:tc>
        <w:tc>
          <w:tcPr/>
          <w:p>
            <w:pPr>
              <w:pStyle w:val="Compact"/>
              <w:jc w:val="right"/>
            </w:pPr>
            <w:r>
              <w:t xml:space="preserve">0.11</w:t>
            </w:r>
          </w:p>
        </w:tc>
        <w:tc>
          <w:tcPr/>
          <w:p>
            <w:pPr>
              <w:pStyle w:val="Compact"/>
              <w:jc w:val="right"/>
            </w:pPr>
            <w:r>
              <w:t xml:space="preserve">[0.01, 0.22]</w:t>
            </w:r>
          </w:p>
        </w:tc>
        <w:tc>
          <w:tcPr/>
          <w:p>
            <w:pPr>
              <w:pStyle w:val="Compact"/>
              <w:jc w:val="right"/>
            </w:pPr>
            <w:r>
              <w:t xml:space="preserve">0.39</w:t>
            </w:r>
          </w:p>
        </w:tc>
        <w:tc>
          <w:tcPr/>
          <w:p>
            <w:pPr>
              <w:pStyle w:val="Compact"/>
              <w:jc w:val="right"/>
            </w:pPr>
            <w:r>
              <w:t xml:space="preserve">0.99</w:t>
            </w:r>
          </w:p>
        </w:tc>
      </w:tr>
      <w:tr>
        <w:tc>
          <w:tcPr/>
          <w:p>
            <w:pPr>
              <w:pStyle w:val="Compact"/>
            </w:pPr>
          </w:p>
        </w:tc>
        <w:tc>
          <w:tcPr/>
          <w:p>
            <w:pPr>
              <w:pStyle w:val="Compact"/>
              <w:jc w:val="left"/>
            </w:pPr>
            <w:r>
              <w:t xml:space="preserve">phi Intercept</w:t>
            </w:r>
          </w:p>
        </w:tc>
        <w:tc>
          <w:tcPr/>
          <w:p>
            <w:pPr>
              <w:pStyle w:val="Compact"/>
              <w:jc w:val="right"/>
            </w:pPr>
            <w:r>
              <w:t xml:space="preserve">2.12</w:t>
            </w:r>
          </w:p>
        </w:tc>
        <w:tc>
          <w:tcPr/>
          <w:p>
            <w:pPr>
              <w:pStyle w:val="Compact"/>
              <w:jc w:val="right"/>
            </w:pPr>
            <w:r>
              <w:t xml:space="preserve">[1.81, 2.47]</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zi Intercept</w:t>
            </w:r>
          </w:p>
        </w:tc>
        <w:tc>
          <w:tcPr/>
          <w:p>
            <w:pPr>
              <w:pStyle w:val="Compact"/>
              <w:jc w:val="right"/>
            </w:pPr>
            <w:r>
              <w:t xml:space="preserve">−4.80</w:t>
            </w:r>
          </w:p>
        </w:tc>
        <w:tc>
          <w:tcPr/>
          <w:p>
            <w:pPr>
              <w:pStyle w:val="Compact"/>
              <w:jc w:val="right"/>
            </w:pPr>
            <w:r>
              <w:t xml:space="preserve">[−7.33, −3.36]</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Group</w:t>
            </w:r>
          </w:p>
        </w:tc>
        <w:tc>
          <w:tcPr/>
          <w:p>
            <w:pPr>
              <w:pStyle w:val="Compact"/>
              <w:jc w:val="right"/>
            </w:pPr>
            <w:r>
              <w:t xml:space="preserve">−0.05</w:t>
            </w:r>
          </w:p>
        </w:tc>
        <w:tc>
          <w:tcPr/>
          <w:p>
            <w:pPr>
              <w:pStyle w:val="Compact"/>
              <w:jc w:val="right"/>
            </w:pPr>
            <w:r>
              <w:t xml:space="preserve">[−0.16, 0.05]</w:t>
            </w:r>
          </w:p>
        </w:tc>
        <w:tc>
          <w:tcPr/>
          <w:p>
            <w:pPr>
              <w:pStyle w:val="Compact"/>
              <w:jc w:val="right"/>
            </w:pPr>
            <w:r>
              <w:t xml:space="preserve">0.83</w:t>
            </w:r>
          </w:p>
        </w:tc>
        <w:tc>
          <w:tcPr/>
          <w:p>
            <w:pPr>
              <w:pStyle w:val="Compact"/>
              <w:jc w:val="right"/>
            </w:pPr>
            <w:r>
              <w:t xml:space="preserve">0.83</w:t>
            </w:r>
          </w:p>
        </w:tc>
      </w:tr>
      <w:tr>
        <w:tc>
          <w:tcPr/>
          <w:p>
            <w:pPr>
              <w:pStyle w:val="Compact"/>
            </w:pPr>
          </w:p>
        </w:tc>
        <w:tc>
          <w:tcPr/>
          <w:p>
            <w:pPr>
              <w:pStyle w:val="Compact"/>
              <w:jc w:val="left"/>
            </w:pPr>
            <w:r>
              <w:t xml:space="preserve">Stress</w:t>
            </w:r>
          </w:p>
        </w:tc>
        <w:tc>
          <w:tcPr/>
          <w:p>
            <w:pPr>
              <w:pStyle w:val="Compact"/>
              <w:jc w:val="right"/>
            </w:pPr>
            <w:r>
              <w:t xml:space="preserve">−0.02</w:t>
            </w:r>
          </w:p>
        </w:tc>
        <w:tc>
          <w:tcPr/>
          <w:p>
            <w:pPr>
              <w:pStyle w:val="Compact"/>
              <w:jc w:val="right"/>
            </w:pPr>
            <w:r>
              <w:t xml:space="preserve">[−0.12, 0.08]</w:t>
            </w:r>
          </w:p>
        </w:tc>
        <w:tc>
          <w:tcPr/>
          <w:p>
            <w:pPr>
              <w:pStyle w:val="Compact"/>
              <w:jc w:val="right"/>
            </w:pPr>
            <w:r>
              <w:t xml:space="preserve">0.97</w:t>
            </w:r>
          </w:p>
        </w:tc>
        <w:tc>
          <w:tcPr/>
          <w:p>
            <w:pPr>
              <w:pStyle w:val="Compact"/>
              <w:jc w:val="right"/>
            </w:pPr>
            <w:r>
              <w:t xml:space="preserve">0.63</w:t>
            </w:r>
          </w:p>
        </w:tc>
      </w:tr>
      <w:tr>
        <w:tc>
          <w:tcPr/>
          <w:p>
            <w:pPr>
              <w:pStyle w:val="Compact"/>
            </w:pPr>
          </w:p>
        </w:tc>
        <w:tc>
          <w:tcPr/>
          <w:p>
            <w:pPr>
              <w:pStyle w:val="Compact"/>
              <w:jc w:val="left"/>
            </w:pPr>
            <w:r>
              <w:t xml:space="preserve">Proficiency</w:t>
            </w:r>
          </w:p>
        </w:tc>
        <w:tc>
          <w:tcPr/>
          <w:p>
            <w:pPr>
              <w:pStyle w:val="Compact"/>
              <w:jc w:val="right"/>
            </w:pPr>
            <w:r>
              <w:t xml:space="preserve">0.07</w:t>
            </w:r>
          </w:p>
        </w:tc>
        <w:tc>
          <w:tcPr/>
          <w:p>
            <w:pPr>
              <w:pStyle w:val="Compact"/>
              <w:jc w:val="right"/>
            </w:pPr>
            <w:r>
              <w:t xml:space="preserve">[−0.05, 0.19]</w:t>
            </w:r>
          </w:p>
        </w:tc>
        <w:tc>
          <w:tcPr/>
          <w:p>
            <w:pPr>
              <w:pStyle w:val="Compact"/>
              <w:jc w:val="right"/>
            </w:pPr>
            <w:r>
              <w:t xml:space="preserve">0.69</w:t>
            </w:r>
          </w:p>
        </w:tc>
        <w:tc>
          <w:tcPr/>
          <w:p>
            <w:pPr>
              <w:pStyle w:val="Compact"/>
              <w:jc w:val="right"/>
            </w:pPr>
            <w:r>
              <w:t xml:space="preserve">0.87</w:t>
            </w:r>
          </w:p>
        </w:tc>
      </w:tr>
      <w:tr>
        <w:tc>
          <w:tcPr/>
          <w:p>
            <w:pPr>
              <w:pStyle w:val="Compact"/>
            </w:pPr>
          </w:p>
        </w:tc>
        <w:tc>
          <w:tcPr/>
          <w:p>
            <w:pPr>
              <w:pStyle w:val="Compact"/>
              <w:jc w:val="left"/>
            </w:pPr>
            <w:r>
              <w:t xml:space="preserve">Use</w:t>
            </w:r>
          </w:p>
        </w:tc>
        <w:tc>
          <w:tcPr/>
          <w:p>
            <w:pPr>
              <w:pStyle w:val="Compact"/>
              <w:jc w:val="right"/>
            </w:pPr>
            <w:r>
              <w:t xml:space="preserve">0.02</w:t>
            </w:r>
          </w:p>
        </w:tc>
        <w:tc>
          <w:tcPr/>
          <w:p>
            <w:pPr>
              <w:pStyle w:val="Compact"/>
              <w:jc w:val="right"/>
            </w:pPr>
            <w:r>
              <w:t xml:space="preserve">[−0.09, 0.12]</w:t>
            </w:r>
          </w:p>
        </w:tc>
        <w:tc>
          <w:tcPr/>
          <w:p>
            <w:pPr>
              <w:pStyle w:val="Compact"/>
              <w:jc w:val="right"/>
            </w:pPr>
            <w:r>
              <w:t xml:space="preserve">0.96</w:t>
            </w:r>
          </w:p>
        </w:tc>
        <w:tc>
          <w:tcPr/>
          <w:p>
            <w:pPr>
              <w:pStyle w:val="Compact"/>
              <w:jc w:val="right"/>
            </w:pPr>
            <w:r>
              <w:t xml:space="preserve">0.63</w:t>
            </w:r>
          </w:p>
        </w:tc>
      </w:tr>
      <w:tr>
        <w:tc>
          <w:tcPr/>
          <w:p>
            <w:pPr>
              <w:pStyle w:val="Compact"/>
            </w:pPr>
          </w:p>
        </w:tc>
        <w:tc>
          <w:tcPr/>
          <w:p>
            <w:pPr>
              <w:pStyle w:val="Compact"/>
              <w:jc w:val="left"/>
            </w:pPr>
            <w:r>
              <w:t xml:space="preserve">Group:Stress</w:t>
            </w:r>
          </w:p>
        </w:tc>
        <w:tc>
          <w:tcPr/>
          <w:p>
            <w:pPr>
              <w:pStyle w:val="Compact"/>
              <w:jc w:val="right"/>
            </w:pPr>
            <w:r>
              <w:t xml:space="preserve">0.17</w:t>
            </w:r>
          </w:p>
        </w:tc>
        <w:tc>
          <w:tcPr/>
          <w:p>
            <w:pPr>
              <w:pStyle w:val="Compact"/>
              <w:jc w:val="right"/>
            </w:pPr>
            <w:r>
              <w:t xml:space="preserve">[0.06, 0.27]</w:t>
            </w:r>
          </w:p>
        </w:tc>
        <w:tc>
          <w:tcPr/>
          <w:p>
            <w:pPr>
              <w:pStyle w:val="Compact"/>
              <w:jc w:val="right"/>
            </w:pPr>
            <w:r>
              <w:t xml:space="preserve">0.08</w:t>
            </w:r>
          </w:p>
        </w:tc>
        <w:tc>
          <w:tcPr/>
          <w:p>
            <w:pPr>
              <w:pStyle w:val="Compact"/>
              <w:jc w:val="right"/>
            </w:pPr>
            <w:r>
              <w:t xml:space="preserve">1.00</w:t>
            </w:r>
          </w:p>
        </w:tc>
      </w:tr>
      <w:tr>
        <w:tc>
          <w:tcPr/>
          <w:p>
            <w:pPr>
              <w:pStyle w:val="Compact"/>
            </w:pPr>
          </w:p>
        </w:tc>
        <w:tc>
          <w:tcPr/>
          <w:p>
            <w:pPr>
              <w:pStyle w:val="Compact"/>
              <w:jc w:val="left"/>
            </w:pPr>
            <w:r>
              <w:t xml:space="preserve">Group:Use</w:t>
            </w:r>
          </w:p>
        </w:tc>
        <w:tc>
          <w:tcPr/>
          <w:p>
            <w:pPr>
              <w:pStyle w:val="Compact"/>
              <w:jc w:val="right"/>
            </w:pPr>
            <w:r>
              <w:t xml:space="preserve">−0.13</w:t>
            </w:r>
          </w:p>
        </w:tc>
        <w:tc>
          <w:tcPr/>
          <w:p>
            <w:pPr>
              <w:pStyle w:val="Compact"/>
              <w:jc w:val="right"/>
            </w:pPr>
            <w:r>
              <w:t xml:space="preserve">[−0.23, −0.02]</w:t>
            </w:r>
          </w:p>
        </w:tc>
        <w:tc>
          <w:tcPr/>
          <w:p>
            <w:pPr>
              <w:pStyle w:val="Compact"/>
              <w:jc w:val="right"/>
            </w:pPr>
            <w:r>
              <w:t xml:space="preserve">0.30</w:t>
            </w:r>
          </w:p>
        </w:tc>
        <w:tc>
          <w:tcPr/>
          <w:p>
            <w:pPr>
              <w:pStyle w:val="Compact"/>
              <w:jc w:val="right"/>
            </w:pPr>
            <w:r>
              <w:t xml:space="preserve">0.99</w:t>
            </w:r>
          </w:p>
        </w:tc>
      </w:tr>
      <w:tr>
        <w:tc>
          <w:tcPr/>
          <w:p>
            <w:pPr>
              <w:pStyle w:val="Compact"/>
            </w:pPr>
          </w:p>
        </w:tc>
        <w:tc>
          <w:tcPr/>
          <w:p>
            <w:pPr>
              <w:pStyle w:val="Compact"/>
              <w:jc w:val="left"/>
            </w:pPr>
            <w:r>
              <w:t xml:space="preserve">Group:Proficiency</w:t>
            </w:r>
          </w:p>
        </w:tc>
        <w:tc>
          <w:tcPr/>
          <w:p>
            <w:pPr>
              <w:pStyle w:val="Compact"/>
              <w:jc w:val="right"/>
            </w:pPr>
            <w:r>
              <w:t xml:space="preserve">−0.03</w:t>
            </w:r>
          </w:p>
        </w:tc>
        <w:tc>
          <w:tcPr/>
          <w:p>
            <w:pPr>
              <w:pStyle w:val="Compact"/>
              <w:jc w:val="right"/>
            </w:pPr>
            <w:r>
              <w:t xml:space="preserve">[−0.15, 0.10]</w:t>
            </w:r>
          </w:p>
        </w:tc>
        <w:tc>
          <w:tcPr/>
          <w:p>
            <w:pPr>
              <w:pStyle w:val="Compact"/>
              <w:jc w:val="right"/>
            </w:pPr>
            <w:r>
              <w:t xml:space="preserve">0.91</w:t>
            </w:r>
          </w:p>
        </w:tc>
        <w:tc>
          <w:tcPr/>
          <w:p>
            <w:pPr>
              <w:pStyle w:val="Compact"/>
              <w:jc w:val="right"/>
            </w:pPr>
            <w:r>
              <w:t xml:space="preserve">0.66</w:t>
            </w:r>
          </w:p>
        </w:tc>
      </w:tr>
      <w:tr>
        <w:tc>
          <w:tcPr/>
          <w:p>
            <w:pPr>
              <w:pStyle w:val="Compact"/>
            </w:pPr>
          </w:p>
        </w:tc>
        <w:tc>
          <w:tcPr/>
          <w:p>
            <w:pPr>
              <w:pStyle w:val="Compact"/>
              <w:jc w:val="left"/>
            </w:pPr>
            <w:r>
              <w:t xml:space="preserve">Group:Use:Proficiency</w:t>
            </w:r>
          </w:p>
        </w:tc>
        <w:tc>
          <w:tcPr/>
          <w:p>
            <w:pPr>
              <w:pStyle w:val="Compact"/>
              <w:jc w:val="right"/>
            </w:pPr>
            <w:r>
              <w:t xml:space="preserve">−0.03</w:t>
            </w:r>
          </w:p>
        </w:tc>
        <w:tc>
          <w:tcPr/>
          <w:p>
            <w:pPr>
              <w:pStyle w:val="Compact"/>
              <w:jc w:val="right"/>
            </w:pPr>
            <w:r>
              <w:t xml:space="preserve">[−0.15, 0.09]</w:t>
            </w:r>
          </w:p>
        </w:tc>
        <w:tc>
          <w:tcPr/>
          <w:p>
            <w:pPr>
              <w:pStyle w:val="Compact"/>
              <w:jc w:val="right"/>
            </w:pPr>
            <w:r>
              <w:t xml:space="preserve">0.88</w:t>
            </w:r>
          </w:p>
        </w:tc>
        <w:tc>
          <w:tcPr/>
          <w:p>
            <w:pPr>
              <w:pStyle w:val="Compact"/>
              <w:jc w:val="right"/>
            </w:pPr>
            <w:r>
              <w:t xml:space="preserve">0.67</w:t>
            </w:r>
          </w:p>
        </w:tc>
      </w:tr>
      <w:tr>
        <w:tc>
          <w:tcPr/>
          <w:p>
            <w:pPr>
              <w:pStyle w:val="Compact"/>
              <w:jc w:val="left"/>
            </w:pPr>
            <w:r>
              <w:t xml:space="preserve">Group-level</w:t>
            </w:r>
          </w:p>
        </w:tc>
        <w:tc>
          <w:tcPr/>
          <w:p>
            <w:pPr>
              <w:pStyle w:val="Compact"/>
              <w:jc w:val="left"/>
            </w:pPr>
            <w:r>
              <w:t xml:space="preserve">sd(Intercept)</w:t>
            </w:r>
          </w:p>
        </w:tc>
        <w:tc>
          <w:tcPr/>
          <w:p>
            <w:pPr>
              <w:pStyle w:val="Compact"/>
              <w:jc w:val="right"/>
            </w:pPr>
            <w:r>
              <w:t xml:space="preserve">0.13</w:t>
            </w:r>
          </w:p>
        </w:tc>
        <w:tc>
          <w:tcPr/>
          <w:p>
            <w:pPr>
              <w:pStyle w:val="Compact"/>
              <w:jc w:val="right"/>
            </w:pPr>
            <w:r>
              <w:t xml:space="preserve">[0.01, 0.32]</w:t>
            </w:r>
          </w:p>
        </w:tc>
        <w:tc>
          <w:tcPr/>
          <w:p>
            <w:pPr>
              <w:pStyle w:val="Compact"/>
              <w:jc w:val="right"/>
            </w:pPr>
            <w:r>
              <w:t xml:space="preserve">0.42</w:t>
            </w:r>
          </w:p>
        </w:tc>
        <w:tc>
          <w:tcPr/>
          <w:p>
            <w:pPr>
              <w:pStyle w:val="Compact"/>
              <w:jc w:val="right"/>
            </w:pPr>
            <w:r>
              <w:t xml:space="preserve">1.00</w:t>
            </w:r>
          </w:p>
        </w:tc>
      </w:tr>
      <w:tr>
        <w:tc>
          <w:tcPr/>
          <w:p>
            <w:pPr>
              <w:pStyle w:val="Compact"/>
            </w:pPr>
          </w:p>
        </w:tc>
        <w:tc>
          <w:tcPr/>
          <w:p>
            <w:pPr>
              <w:pStyle w:val="Compact"/>
              <w:jc w:val="left"/>
            </w:pPr>
            <w:r>
              <w:t xml:space="preserve">sd(Stress)</w:t>
            </w:r>
          </w:p>
        </w:tc>
        <w:tc>
          <w:tcPr/>
          <w:p>
            <w:pPr>
              <w:pStyle w:val="Compact"/>
              <w:jc w:val="right"/>
            </w:pPr>
            <w:r>
              <w:t xml:space="preserve">0.12</w:t>
            </w:r>
          </w:p>
        </w:tc>
        <w:tc>
          <w:tcPr/>
          <w:p>
            <w:pPr>
              <w:pStyle w:val="Compact"/>
              <w:jc w:val="right"/>
            </w:pPr>
            <w:r>
              <w:t xml:space="preserve">[0.01, 0.31]</w:t>
            </w:r>
          </w:p>
        </w:tc>
        <w:tc>
          <w:tcPr/>
          <w:p>
            <w:pPr>
              <w:pStyle w:val="Compact"/>
              <w:jc w:val="right"/>
            </w:pPr>
            <w:r>
              <w:t xml:space="preserve">0.45</w:t>
            </w:r>
          </w:p>
        </w:tc>
        <w:tc>
          <w:tcPr/>
          <w:p>
            <w:pPr>
              <w:pStyle w:val="Compact"/>
              <w:jc w:val="right"/>
            </w:pPr>
            <w:r>
              <w:t xml:space="preserve">1.00</w:t>
            </w:r>
          </w:p>
        </w:tc>
      </w:tr>
      <w:tr>
        <w:tc>
          <w:tcPr/>
          <w:p>
            <w:pPr>
              <w:pStyle w:val="Compact"/>
            </w:pPr>
          </w:p>
        </w:tc>
        <w:tc>
          <w:tcPr/>
          <w:p>
            <w:pPr>
              <w:pStyle w:val="Compact"/>
              <w:jc w:val="left"/>
            </w:pPr>
            <w:r>
              <w:t xml:space="preserve">sd(phi Intercept)</w:t>
            </w:r>
          </w:p>
        </w:tc>
        <w:tc>
          <w:tcPr/>
          <w:p>
            <w:pPr>
              <w:pStyle w:val="Compact"/>
              <w:jc w:val="right"/>
            </w:pPr>
            <w:r>
              <w:t xml:space="preserve">0.64</w:t>
            </w:r>
          </w:p>
        </w:tc>
        <w:tc>
          <w:tcPr/>
          <w:p>
            <w:pPr>
              <w:pStyle w:val="Compact"/>
              <w:jc w:val="right"/>
            </w:pPr>
            <w:r>
              <w:t xml:space="preserve">[0.22, 1.05]</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sd(phi Stress)</w:t>
            </w:r>
          </w:p>
        </w:tc>
        <w:tc>
          <w:tcPr/>
          <w:p>
            <w:pPr>
              <w:pStyle w:val="Compact"/>
              <w:jc w:val="right"/>
            </w:pPr>
            <w:r>
              <w:t xml:space="preserve">0.33</w:t>
            </w:r>
          </w:p>
        </w:tc>
        <w:tc>
          <w:tcPr/>
          <w:p>
            <w:pPr>
              <w:pStyle w:val="Compact"/>
              <w:jc w:val="right"/>
            </w:pPr>
            <w:r>
              <w:t xml:space="preserve">[0.02, 0.74]</w:t>
            </w:r>
          </w:p>
        </w:tc>
        <w:tc>
          <w:tcPr/>
          <w:p>
            <w:pPr>
              <w:pStyle w:val="Compact"/>
              <w:jc w:val="right"/>
            </w:pPr>
            <w:r>
              <w:t xml:space="preserve">0.13</w:t>
            </w:r>
          </w:p>
        </w:tc>
        <w:tc>
          <w:tcPr/>
          <w:p>
            <w:pPr>
              <w:pStyle w:val="Compact"/>
              <w:jc w:val="right"/>
            </w:pPr>
            <w:r>
              <w:t xml:space="preserve">1.00</w:t>
            </w:r>
          </w:p>
        </w:tc>
      </w:tr>
      <w:tr>
        <w:tc>
          <w:tcPr/>
          <w:p>
            <w:pPr>
              <w:pStyle w:val="Compact"/>
            </w:pPr>
          </w:p>
        </w:tc>
        <w:tc>
          <w:tcPr/>
          <w:p>
            <w:pPr>
              <w:pStyle w:val="Compact"/>
              <w:jc w:val="left"/>
            </w:pPr>
            <w:r>
              <w:t xml:space="preserve">sd(zi Intercept)</w:t>
            </w:r>
          </w:p>
        </w:tc>
        <w:tc>
          <w:tcPr/>
          <w:p>
            <w:pPr>
              <w:pStyle w:val="Compact"/>
              <w:jc w:val="right"/>
            </w:pPr>
            <w:r>
              <w:t xml:space="preserve">0.80</w:t>
            </w:r>
          </w:p>
        </w:tc>
        <w:tc>
          <w:tcPr/>
          <w:p>
            <w:pPr>
              <w:pStyle w:val="Compact"/>
              <w:jc w:val="right"/>
            </w:pPr>
            <w:r>
              <w:t xml:space="preserve">[0.03, 2.46]</w:t>
            </w:r>
          </w:p>
        </w:tc>
        <w:tc>
          <w:tcPr/>
          <w:p>
            <w:pPr>
              <w:pStyle w:val="Compact"/>
              <w:jc w:val="right"/>
            </w:pPr>
            <w:r>
              <w:t xml:space="preserve">0.06</w:t>
            </w:r>
          </w:p>
        </w:tc>
        <w:tc>
          <w:tcPr/>
          <w:p>
            <w:pPr>
              <w:pStyle w:val="Compact"/>
              <w:jc w:val="right"/>
            </w:pPr>
            <w:r>
              <w:t xml:space="preserve">1.00</w:t>
            </w:r>
          </w:p>
        </w:tc>
      </w:tr>
      <w:tr>
        <w:tc>
          <w:tcPr/>
          <w:p>
            <w:pPr>
              <w:pStyle w:val="Compact"/>
            </w:pPr>
          </w:p>
        </w:tc>
        <w:tc>
          <w:tcPr/>
          <w:p>
            <w:pPr>
              <w:pStyle w:val="Compact"/>
              <w:jc w:val="left"/>
            </w:pPr>
            <w:r>
              <w:t xml:space="preserve">sd(zi Stress)</w:t>
            </w:r>
          </w:p>
        </w:tc>
        <w:tc>
          <w:tcPr/>
          <w:p>
            <w:pPr>
              <w:pStyle w:val="Compact"/>
              <w:jc w:val="right"/>
            </w:pPr>
            <w:r>
              <w:t xml:space="preserve">0.83</w:t>
            </w:r>
          </w:p>
        </w:tc>
        <w:tc>
          <w:tcPr/>
          <w:p>
            <w:pPr>
              <w:pStyle w:val="Compact"/>
              <w:jc w:val="right"/>
            </w:pPr>
            <w:r>
              <w:t xml:space="preserve">[0.03, 2.55]</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cor(Intercept, Stress)</w:t>
            </w:r>
          </w:p>
        </w:tc>
        <w:tc>
          <w:tcPr/>
          <w:p>
            <w:pPr>
              <w:pStyle w:val="Compact"/>
              <w:jc w:val="right"/>
            </w:pPr>
            <w:r>
              <w:t xml:space="preserve">−0.19</w:t>
            </w:r>
          </w:p>
        </w:tc>
        <w:tc>
          <w:tcPr/>
          <w:p>
            <w:pPr>
              <w:pStyle w:val="Compact"/>
              <w:jc w:val="right"/>
            </w:pPr>
            <w:r>
              <w:t xml:space="preserve">[−0.97, 0.91]</w:t>
            </w:r>
          </w:p>
        </w:tc>
        <w:tc>
          <w:tcPr/>
          <w:p>
            <w:pPr>
              <w:pStyle w:val="Compact"/>
              <w:jc w:val="right"/>
            </w:pPr>
            <w:r>
              <w:t xml:space="preserve">0.09</w:t>
            </w:r>
          </w:p>
        </w:tc>
        <w:tc>
          <w:tcPr/>
          <w:p>
            <w:pPr>
              <w:pStyle w:val="Compact"/>
              <w:jc w:val="right"/>
            </w:pPr>
            <w:r>
              <w:t xml:space="preserve">0.65</w:t>
            </w:r>
          </w:p>
        </w:tc>
      </w:tr>
      <w:tr>
        <w:tc>
          <w:tcPr/>
          <w:p>
            <w:pPr>
              <w:pStyle w:val="Compact"/>
            </w:pPr>
          </w:p>
        </w:tc>
        <w:tc>
          <w:tcPr/>
          <w:p>
            <w:pPr>
              <w:pStyle w:val="Compact"/>
              <w:jc w:val="left"/>
            </w:pPr>
            <w:r>
              <w:t xml:space="preserve">cor(phi Intercept, phi Stress)</w:t>
            </w:r>
          </w:p>
        </w:tc>
        <w:tc>
          <w:tcPr/>
          <w:p>
            <w:pPr>
              <w:pStyle w:val="Compact"/>
              <w:jc w:val="right"/>
            </w:pPr>
            <w:r>
              <w:t xml:space="preserve">0.41</w:t>
            </w:r>
          </w:p>
        </w:tc>
        <w:tc>
          <w:tcPr/>
          <w:p>
            <w:pPr>
              <w:pStyle w:val="Compact"/>
              <w:jc w:val="right"/>
            </w:pPr>
            <w:r>
              <w:t xml:space="preserve">[−0.63, 0.97]</w:t>
            </w:r>
          </w:p>
        </w:tc>
        <w:tc>
          <w:tcPr/>
          <w:p>
            <w:pPr>
              <w:pStyle w:val="Compact"/>
              <w:jc w:val="right"/>
            </w:pPr>
            <w:r>
              <w:t xml:space="preserve">0.09</w:t>
            </w:r>
          </w:p>
        </w:tc>
        <w:tc>
          <w:tcPr/>
          <w:p>
            <w:pPr>
              <w:pStyle w:val="Compact"/>
              <w:jc w:val="right"/>
            </w:pPr>
            <w:r>
              <w:t xml:space="preserve">0.82</w:t>
            </w:r>
          </w:p>
        </w:tc>
      </w:tr>
      <w:tr>
        <w:tc>
          <w:tcPr/>
          <w:p>
            <w:pPr>
              <w:pStyle w:val="Compact"/>
            </w:pPr>
          </w:p>
        </w:tc>
        <w:tc>
          <w:tcPr/>
          <w:p>
            <w:pPr>
              <w:pStyle w:val="Compact"/>
              <w:jc w:val="left"/>
            </w:pPr>
            <w:r>
              <w:t xml:space="preserve">cor(zi Intercept, zi Stress)</w:t>
            </w:r>
          </w:p>
        </w:tc>
        <w:tc>
          <w:tcPr/>
          <w:p>
            <w:pPr>
              <w:pStyle w:val="Compact"/>
              <w:jc w:val="right"/>
            </w:pPr>
            <w:r>
              <w:t xml:space="preserve">0.11</w:t>
            </w:r>
          </w:p>
        </w:tc>
        <w:tc>
          <w:tcPr/>
          <w:p>
            <w:pPr>
              <w:pStyle w:val="Compact"/>
              <w:jc w:val="right"/>
            </w:pPr>
            <w:r>
              <w:t xml:space="preserve">[−0.90, 0.95]</w:t>
            </w:r>
          </w:p>
        </w:tc>
        <w:tc>
          <w:tcPr/>
          <w:p>
            <w:pPr>
              <w:pStyle w:val="Compact"/>
              <w:jc w:val="right"/>
            </w:pPr>
            <w:r>
              <w:t xml:space="preserve">0.12</w:t>
            </w:r>
          </w:p>
        </w:tc>
        <w:tc>
          <w:tcPr/>
          <w:p>
            <w:pPr>
              <w:pStyle w:val="Compact"/>
              <w:jc w:val="right"/>
            </w:pPr>
            <w:r>
              <w:t xml:space="preserve">0.59</w:t>
            </w:r>
          </w:p>
        </w:tc>
      </w:tr>
    </w:tbl>
    <w:bookmarkEnd w:id="129"/>
    <w:p>
      <w:pPr>
        <w:pStyle w:val="BodyText"/>
      </w:pPr>
      <w:hyperlink w:anchor="fig-bi-beta-reg-stress-group-plot-report">
        <w:r>
          <w:rPr>
            <w:rStyle w:val="Hyperlink"/>
          </w:rPr>
          <w:t xml:space="preserve">Figure 12</w:t>
        </w:r>
      </w:hyperlink>
      <w:r>
        <w:t xml:space="preserve"> </w:t>
      </w:r>
      <w:r>
        <w:t xml:space="preserve">shows the marginal mean estimates of fixating on a target when marginalizing over proficiency and use.</w:t>
      </w:r>
      <w:r>
        <w:t xml:space="preserve"> </w:t>
      </w:r>
      <w:r>
        <w:t xml:space="preserve">This plot resembles</w:t>
      </w:r>
      <w:r>
        <w:t xml:space="preserve"> </w:t>
      </w:r>
      <w:hyperlink w:anchor="fig-group-prediction-plot-report">
        <w:r>
          <w:rPr>
            <w:rStyle w:val="Hyperlink"/>
          </w:rPr>
          <w:t xml:space="preserve">Figure 4</w:t>
        </w:r>
      </w:hyperlink>
      <w:r>
        <w:t xml:space="preserve">, however, it differs in that it depicts estimates holding proficiency and use constant at their respective averages.</w:t>
      </w:r>
    </w:p>
    <w:tbl>
      <w:tblPr>
        <w:tblStyle w:val="Table"/>
        <w:tblW w:type="pct" w:w="5000"/>
        <w:tblLook w:firstRow="0" w:lastRow="0" w:firstColumn="0" w:lastColumn="0" w:noHBand="0" w:noVBand="0" w:val="0000"/>
      </w:tblPr>
      <w:tblGrid>
        <w:gridCol w:w="7920"/>
      </w:tblGrid>
      <w:tr>
        <w:tc>
          <w:tcPr/>
          <w:bookmarkStart w:id="133" w:name="fig-bi-beta-reg-stress-group-plot-report"/>
          <w:p>
            <w:pPr>
              <w:pStyle w:val="Figure"/>
              <w:jc w:val="center"/>
            </w:pPr>
            <w:r>
              <w:drawing>
                <wp:inline>
                  <wp:extent cx="5334000" cy="2667000"/>
                  <wp:effectExtent b="0" l="0" r="0" t="0"/>
                  <wp:docPr descr="" title="" id="131" name="Picture"/>
                  <a:graphic>
                    <a:graphicData uri="http://schemas.openxmlformats.org/drawingml/2006/picture">
                      <pic:pic>
                        <pic:nvPicPr>
                          <pic:cNvPr descr="../figs/bi-beta-reg-stress-group-plot-1.png" id="132" name="Picture"/>
                          <pic:cNvPicPr>
                            <a:picLocks noChangeArrowheads="1" noChangeAspect="1"/>
                          </pic:cNvPicPr>
                        </pic:nvPicPr>
                        <pic:blipFill>
                          <a:blip r:embed="rId13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Marginal mean estimates of target fixations for HL and L2 groups as a function of stress. Language proficiency and use are held constant at z = 0. .</w:t>
            </w:r>
          </w:p>
          <w:bookmarkEnd w:id="133"/>
        </w:tc>
      </w:tr>
    </w:tbl>
    <w:p>
      <w:pPr>
        <w:pStyle w:val="BodyText"/>
      </w:pPr>
      <w:hyperlink w:anchor="fig-bi-prof-use-plot-report">
        <w:r>
          <w:rPr>
            <w:rStyle w:val="Hyperlink"/>
          </w:rPr>
          <w:t xml:space="preserve">Figure 13</w:t>
        </w:r>
      </w:hyperlink>
      <w:r>
        <w:t xml:space="preserve"> </w:t>
      </w:r>
      <w:r>
        <w:t xml:space="preserve">plots target fixation as a function of group, use, and proficiency in the paroxytone and oxytone stress conditions, as well as marginalizing over stress.</w:t>
      </w:r>
      <w:r>
        <w:t xml:space="preserve"> </w:t>
      </w:r>
      <w:r>
        <w:t xml:space="preserve">This figure complements the zero-inflated beta regression analysis provided in</w:t>
      </w:r>
      <w:r>
        <w:t xml:space="preserve"> </w:t>
      </w:r>
      <w:hyperlink w:anchor="sec-prof-use">
        <w:r>
          <w:rPr>
            <w:rStyle w:val="Hyperlink"/>
          </w:rPr>
          <w:t xml:space="preserve">Section 3.3</w:t>
        </w:r>
      </w:hyperlink>
      <w:r>
        <w:t xml:space="preserve">.</w:t>
      </w:r>
    </w:p>
    <w:tbl>
      <w:tblPr>
        <w:tblStyle w:val="Table"/>
        <w:tblW w:type="pct" w:w="5000"/>
        <w:tblLook w:firstRow="0" w:lastRow="0" w:firstColumn="0" w:lastColumn="0" w:noHBand="0" w:noVBand="0" w:val="0000"/>
      </w:tblPr>
      <w:tblGrid>
        <w:gridCol w:w="7920"/>
      </w:tblGrid>
      <w:tr>
        <w:tc>
          <w:tcPr/>
          <w:bookmarkStart w:id="137" w:name="fig-bi-prof-use-plot-report"/>
          <w:p>
            <w:pPr>
              <w:pStyle w:val="Figure"/>
              <w:jc w:val="center"/>
            </w:pPr>
            <w:r>
              <w:drawing>
                <wp:inline>
                  <wp:extent cx="5334000" cy="4572000"/>
                  <wp:effectExtent b="0" l="0" r="0" t="0"/>
                  <wp:docPr descr="" title="" id="135" name="Picture"/>
                  <a:graphic>
                    <a:graphicData uri="http://schemas.openxmlformats.org/drawingml/2006/picture">
                      <pic:pic>
                        <pic:nvPicPr>
                          <pic:cNvPr descr="../figs/bi-prof-use-plot-1.png" id="136" name="Picture"/>
                          <pic:cNvPicPr>
                            <a:picLocks noChangeArrowheads="1" noChangeAspect="1"/>
                          </pic:cNvPicPr>
                        </pic:nvPicPr>
                        <pic:blipFill>
                          <a:blip r:embed="rId134"/>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Use and proficiency in Spanish.</w:t>
            </w:r>
          </w:p>
          <w:bookmarkEnd w:id="137"/>
        </w:tc>
      </w:tr>
    </w:tbl>
    <w:p>
      <w:r>
        <w:br w:type="page"/>
      </w:r>
    </w:p>
    <w:bookmarkEnd w:id="138"/>
    <w:bookmarkEnd w:id="139"/>
    <w:bookmarkStart w:id="140" w:name="reproducibility-information"/>
    <w:p>
      <w:pPr>
        <w:pStyle w:val="Heading2"/>
      </w:pPr>
      <w:r>
        <w:t xml:space="preserve">5.4 Reproducibility information</w:t>
      </w:r>
    </w:p>
    <w:p>
      <w:pPr>
        <w:pStyle w:val="FirstParagraph"/>
      </w:pPr>
      <w:r>
        <w:rPr>
          <w:bCs/>
          <w:b/>
        </w:rPr>
        <w:t xml:space="preserve">About this document</w:t>
      </w:r>
    </w:p>
    <w:p>
      <w:pPr>
        <w:pStyle w:val="BodyText"/>
      </w:pPr>
      <w:r>
        <w:t xml:space="preserve">This document was written in</w:t>
      </w:r>
      <w:r>
        <w:t xml:space="preserve"> </w:t>
      </w:r>
      <w:r>
        <w:rPr>
          <w:rStyle w:val="VerbatimChar"/>
        </w:rPr>
        <w:t xml:space="preserve">quarto</w:t>
      </w:r>
      <w:r>
        <w:t xml:space="preserve">.</w:t>
      </w:r>
    </w:p>
    <w:p>
      <w:pPr>
        <w:pStyle w:val="BodyText"/>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2022-10-11</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0.12.1 2022-05-02</w:t>
      </w:r>
      <w:r>
        <w:br/>
      </w:r>
      <w:r>
        <w:rPr>
          <w:rStyle w:val="VerbatimChar"/>
        </w:rPr>
        <w:t xml:space="preserve">bit                    4.0.4 2020-08-04</w:t>
      </w:r>
      <w:r>
        <w:br/>
      </w:r>
      <w:r>
        <w:rPr>
          <w:rStyle w:val="VerbatimChar"/>
        </w:rPr>
        <w:t xml:space="preserve">bit64                  4.0.5 2020-08-30</w:t>
      </w:r>
      <w:r>
        <w:br/>
      </w:r>
      <w:r>
        <w:rPr>
          <w:rStyle w:val="VerbatimChar"/>
        </w:rPr>
        <w:t xml:space="preserve">bridgesampling         1.1-2 2021-04-16</w:t>
      </w:r>
      <w:r>
        <w:br/>
      </w:r>
      <w:r>
        <w:rPr>
          <w:rStyle w:val="VerbatimChar"/>
        </w:rPr>
        <w:t xml:space="preserve">brms                  2.17.0 2022-04-13</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3.3.0 2022-04-25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crayon                 1.5.1 2022-03-26</w:t>
      </w:r>
      <w:r>
        <w:br/>
      </w:r>
      <w:r>
        <w:rPr>
          <w:rStyle w:val="VerbatimChar"/>
        </w:rPr>
        <w:t xml:space="preserve">crosstalk              1.2.0 2021-11-04</w:t>
      </w:r>
      <w:r>
        <w:br/>
      </w:r>
      <w:r>
        <w:rPr>
          <w:rStyle w:val="VerbatimChar"/>
        </w:rPr>
        <w:t xml:space="preserve">datawizard             0.5.1 2022-08-17</w:t>
      </w:r>
      <w:r>
        <w:br/>
      </w:r>
      <w:r>
        <w:rPr>
          <w:rStyle w:val="VerbatimChar"/>
        </w:rPr>
        <w:t xml:space="preserve">DBI                    1.1.3 2022-06-18</w:t>
      </w:r>
      <w:r>
        <w:br/>
      </w:r>
      <w:r>
        <w:rPr>
          <w:rStyle w:val="VerbatimChar"/>
        </w:rPr>
        <w:t xml:space="preserve">devtools               2.4.4 2022-07-20</w:t>
      </w:r>
      <w:r>
        <w:br/>
      </w:r>
      <w:r>
        <w:rPr>
          <w:rStyle w:val="VerbatimChar"/>
        </w:rPr>
        <w:t xml:space="preserve">digest                0.6.29 2021-12-01</w:t>
      </w:r>
      <w:r>
        <w:br/>
      </w:r>
      <w:r>
        <w:rPr>
          <w:rStyle w:val="VerbatimChar"/>
        </w:rPr>
        <w:t xml:space="preserve">distributional         0.3.0 2022-01-05</w:t>
      </w:r>
      <w:r>
        <w:br/>
      </w:r>
      <w:r>
        <w:rPr>
          <w:rStyle w:val="VerbatimChar"/>
        </w:rPr>
        <w:t xml:space="preserve">dplyr                  1.0.9 2022-04-28</w:t>
      </w:r>
      <w:r>
        <w:br/>
      </w:r>
      <w:r>
        <w:rPr>
          <w:rStyle w:val="VerbatimChar"/>
        </w:rPr>
        <w:t xml:space="preserve">DT                      0.24 2022-08-09</w:t>
      </w:r>
      <w:r>
        <w:br/>
      </w:r>
      <w:r>
        <w:rPr>
          <w:rStyle w:val="VerbatimChar"/>
        </w:rPr>
        <w:t xml:space="preserve">dygraphs             1.1.1.6 2018-07-11</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0.16 2022-08-09</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generics               0.1.3 2022-07-05</w:t>
      </w:r>
      <w:r>
        <w:br/>
      </w:r>
      <w:r>
        <w:rPr>
          <w:rStyle w:val="VerbatimChar"/>
        </w:rPr>
        <w:t xml:space="preserve">ggdist                 3.2.0 2022-07-19</w:t>
      </w:r>
      <w:r>
        <w:br/>
      </w:r>
      <w:r>
        <w:rPr>
          <w:rStyle w:val="VerbatimChar"/>
        </w:rPr>
        <w:t xml:space="preserve">ggplot2                3.3.6 2022-05-03</w:t>
      </w:r>
      <w:r>
        <w:br/>
      </w:r>
      <w:r>
        <w:rPr>
          <w:rStyle w:val="VerbatimChar"/>
        </w:rPr>
        <w:t xml:space="preserve">ggridges               0.5.3 2021-01-08</w:t>
      </w:r>
      <w:r>
        <w:br/>
      </w:r>
      <w:r>
        <w:rPr>
          <w:rStyle w:val="VerbatimChar"/>
        </w:rPr>
        <w:t xml:space="preserve">glue                   1.6.2 2022-02-24</w:t>
      </w:r>
      <w:r>
        <w:br/>
      </w:r>
      <w:r>
        <w:rPr>
          <w:rStyle w:val="VerbatimChar"/>
        </w:rPr>
        <w:t xml:space="preserve">gridExtra                2.3 2017-09-09</w:t>
      </w:r>
      <w:r>
        <w:br/>
      </w:r>
      <w:r>
        <w:rPr>
          <w:rStyle w:val="VerbatimChar"/>
        </w:rPr>
        <w:t xml:space="preserve">gtable                 0.3.0 2019-03-25</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1.6.5 2022-01-05</w:t>
      </w:r>
      <w:r>
        <w:br/>
      </w:r>
      <w:r>
        <w:rPr>
          <w:rStyle w:val="VerbatimChar"/>
        </w:rPr>
        <w:t xml:space="preserve">igraph                 1.3.4 2022-07-19</w:t>
      </w:r>
      <w:r>
        <w:br/>
      </w:r>
      <w:r>
        <w:rPr>
          <w:rStyle w:val="VerbatimChar"/>
        </w:rPr>
        <w:t xml:space="preserve">inline                0.3.19 2021-05-31</w:t>
      </w:r>
      <w:r>
        <w:br/>
      </w:r>
      <w:r>
        <w:rPr>
          <w:rStyle w:val="VerbatimChar"/>
        </w:rPr>
        <w:t xml:space="preserve">insight               0.18.2 2022-08-10</w:t>
      </w:r>
      <w:r>
        <w:br/>
      </w:r>
      <w:r>
        <w:rPr>
          <w:rStyle w:val="VerbatimChar"/>
        </w:rPr>
        <w:t xml:space="preserve">janitor                2.1.0 2021-01-05</w:t>
      </w:r>
      <w:r>
        <w:br/>
      </w:r>
      <w:r>
        <w:rPr>
          <w:rStyle w:val="VerbatimChar"/>
        </w:rPr>
        <w:t xml:space="preserve">jsonlite               1.8.0 2022-02-22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loo                    2.5.1 2022-03-24</w:t>
      </w:r>
      <w:r>
        <w:br/>
      </w:r>
      <w:r>
        <w:rPr>
          <w:rStyle w:val="VerbatimChar"/>
        </w:rPr>
        <w:t xml:space="preserve">lubridate              1.8.0 2021-10-07</w:t>
      </w:r>
      <w:r>
        <w:br/>
      </w:r>
      <w:r>
        <w:rPr>
          <w:rStyle w:val="VerbatimChar"/>
        </w:rPr>
        <w:t xml:space="preserve">magrittr               2.0.3 2022-03-30</w:t>
      </w:r>
      <w:r>
        <w:br/>
      </w:r>
      <w:r>
        <w:rPr>
          <w:rStyle w:val="VerbatimChar"/>
        </w:rPr>
        <w:t xml:space="preserve">markdown                 1.1 2019-08-07</w:t>
      </w:r>
      <w:r>
        <w:br/>
      </w:r>
      <w:r>
        <w:rPr>
          <w:rStyle w:val="VerbatimChar"/>
        </w:rPr>
        <w:t xml:space="preserve">Matrix                 1.5-0 2022-09-10</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3.1-157 2022-03-25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posterior              1.3.0 2022-08-15</w:t>
      </w:r>
      <w:r>
        <w:br/>
      </w:r>
      <w:r>
        <w:rPr>
          <w:rStyle w:val="VerbatimChar"/>
        </w:rPr>
        <w:t xml:space="preserve">prettyunits            1.1.1 2020-01-24</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0.3.4 2020-04-17</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2.1.2 2022-01-30</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1.0.4 2022-07-12</w:t>
      </w:r>
      <w:r>
        <w:br/>
      </w:r>
      <w:r>
        <w:rPr>
          <w:rStyle w:val="VerbatimChar"/>
        </w:rPr>
        <w:t xml:space="preserve">rmarkdown               2.16 2022-08-24</w:t>
      </w:r>
      <w:r>
        <w:br/>
      </w:r>
      <w:r>
        <w:rPr>
          <w:rStyle w:val="VerbatimChar"/>
        </w:rPr>
        <w:t xml:space="preserve">rprojroot              2.0.3 2022-04-02</w:t>
      </w:r>
      <w:r>
        <w:br/>
      </w:r>
      <w:r>
        <w:rPr>
          <w:rStyle w:val="VerbatimChar"/>
        </w:rPr>
        <w:t xml:space="preserve">rstan                 2.21.5 2022-04-11</w:t>
      </w:r>
      <w:r>
        <w:br/>
      </w:r>
      <w:r>
        <w:rPr>
          <w:rStyle w:val="VerbatimChar"/>
        </w:rPr>
        <w:t xml:space="preserve">rstantools             2.2.0 2022-04-08</w:t>
      </w:r>
      <w:r>
        <w:br/>
      </w:r>
      <w:r>
        <w:rPr>
          <w:rStyle w:val="VerbatimChar"/>
        </w:rPr>
        <w:t xml:space="preserve">rstudioapi              0.14 2022-08-22</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snakecase             0.11.0 2019-05-25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1.2.0 2022-02-01</w:t>
      </w:r>
      <w:r>
        <w:br/>
      </w:r>
      <w:r>
        <w:rPr>
          <w:rStyle w:val="VerbatimChar"/>
        </w:rPr>
        <w:t xml:space="preserve">tidyselect             1.1.2 2022-02-21</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0.4.1 2022-04-13</w:t>
      </w:r>
      <w:r>
        <w:br/>
      </w:r>
      <w:r>
        <w:rPr>
          <w:rStyle w:val="VerbatimChar"/>
        </w:rPr>
        <w:t xml:space="preserve">vroom                  1.5.7 2021-11-30</w:t>
      </w:r>
      <w:r>
        <w:br/>
      </w:r>
      <w:r>
        <w:rPr>
          <w:rStyle w:val="VerbatimChar"/>
        </w:rPr>
        <w:t xml:space="preserve">withr                  2.5.0 2022-03-03</w:t>
      </w:r>
      <w:r>
        <w:br/>
      </w:r>
      <w:r>
        <w:rPr>
          <w:rStyle w:val="VerbatimChar"/>
        </w:rPr>
        <w:t xml:space="preserve">xfun                    0.32 2022-08-10</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1.8-10 2022-04-15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In both cases, the response variable,</w:t>
      </w:r>
      <w:r>
        <w:t xml:space="preserve"> </w:t>
      </w:r>
      <w:r>
        <w:rPr>
          <w:iCs/>
          <w:i/>
        </w:rPr>
        <w:t xml:space="preserve">use</w:t>
      </w:r>
      <w:r>
        <w:t xml:space="preserve"> </w:t>
      </w:r>
      <w:r>
        <w:t xml:space="preserve">or</w:t>
      </w:r>
      <w:r>
        <w:t xml:space="preserve"> </w:t>
      </w:r>
      <w:r>
        <w:rPr>
          <w:iCs/>
          <w:i/>
        </w:rPr>
        <w:t xml:space="preserve">proficiency</w:t>
      </w:r>
      <w:r>
        <w:t xml:space="preserve"> </w:t>
      </w:r>
      <w:r>
        <w:t xml:space="preserve">score, was a proportion.</w:t>
      </w:r>
      <w:r>
        <w:t xml:space="preserve"> </w:t>
      </w:r>
      <w:r>
        <w:t xml:space="preserve">Thus, we used the beta distribution for the model likelihood with a logit linking function.</w:t>
      </w:r>
      <w:r>
        <w:t xml:space="preserve"> </w:t>
      </w:r>
      <w:r>
        <w:t xml:space="preserve">The models included regularizing, weakly informative priors.</w:t>
      </w:r>
      <w:r>
        <w:t xml:space="preserve"> </w:t>
      </w:r>
      <w:r>
        <w:t xml:space="preserve">See</w:t>
      </w:r>
      <w:r>
        <w:t xml:space="preserve"> </w:t>
      </w:r>
      <w:hyperlink w:anchor="sec-prof-use-supp">
        <w:r>
          <w:rPr>
            <w:rStyle w:val="Hyperlink"/>
          </w:rPr>
          <w:t xml:space="preserve">Section 5.3</w:t>
        </w:r>
      </w:hyperlink>
      <w:r>
        <w:t xml:space="preserve"> </w:t>
      </w:r>
      <w:r>
        <w:t xml:space="preserve">of the supplementary materials for full details.</w:t>
      </w:r>
    </w:p>
  </w:footnote>
  <w:footnote w:id="25">
    <w:p>
      <w:pPr>
        <w:pStyle w:val="FootnoteText"/>
      </w:pPr>
      <w:r>
        <w:rPr>
          <w:rStyle w:val="FootnoteReference"/>
        </w:rPr>
        <w:footnoteRef/>
      </w:r>
      <w:r>
        <w:t xml:space="preserve"> </w:t>
      </w:r>
      <w:r>
        <w:t xml:space="preserve">GAMMs represent an extension to the linear model framework that allow non-linear functions called factor smooths to be applied to predictors.</w:t>
      </w:r>
      <w:r>
        <w:t xml:space="preserve"> </w:t>
      </w:r>
      <w:r>
        <w:t xml:space="preserve">In this sense, the predictors can be classified into two types: parametric terms (equivalent to fixed effects in hierarchical model terminology) and smooth terms.</w:t>
      </w:r>
      <w:r>
        <w:t xml:space="preserve"> </w:t>
      </w:r>
      <w:r>
        <w:t xml:space="preserve">Random smooths are conceptually similar to random slopes and intercepts in the mixed-effects regression framework</w:t>
      </w:r>
      <w:r>
        <w:t xml:space="preserve"> </w:t>
      </w:r>
      <w:r>
        <w:t xml:space="preserve">(Winter &amp; Wieling, 2016)</w:t>
      </w:r>
      <w:r>
        <w:t xml:space="preserve">.</w:t>
      </w:r>
      <w:r>
        <w:t xml:space="preserve"> </w:t>
      </w:r>
      <w:r>
        <w:t xml:space="preserve">Thus, they allow the by-subject trajectory shapes to vary as a function of a parametric effect and are essential in avoiding anti-conservative models.</w:t>
      </w:r>
    </w:p>
  </w:footnote>
  <w:footnote w:id="26">
    <w:p>
      <w:pPr>
        <w:pStyle w:val="FootnoteText"/>
      </w:pPr>
      <w:r>
        <w:rPr>
          <w:rStyle w:val="FootnoteReference"/>
        </w:rPr>
        <w:footnoteRef/>
      </w:r>
      <w:r>
        <w:t xml:space="preserve"> </w:t>
      </w:r>
      <w:r>
        <w:t xml:space="preserve">See supplementary materials for detailed information.</w:t>
      </w:r>
    </w:p>
  </w:footnote>
  <w:footnote w:id="51">
    <w:p>
      <w:pPr>
        <w:pStyle w:val="FootnoteText"/>
      </w:pPr>
      <w:r>
        <w:rPr>
          <w:rStyle w:val="FootnoteReference"/>
        </w:rPr>
        <w:footnoteRef/>
      </w:r>
      <w:r>
        <w:t xml:space="preserve"> </w:t>
      </w:r>
      <w:r>
        <w:t xml:space="preserve">More information regarding zero-inflated beta regression is available in the supplementary materials.</w:t>
      </w:r>
    </w:p>
  </w:footnote>
  <w:footnote w:id="105">
    <w:p>
      <w:pPr>
        <w:pStyle w:val="FootnoteText"/>
      </w:pPr>
      <w:r>
        <w:rPr>
          <w:rStyle w:val="FootnoteReference"/>
        </w:rPr>
        <w:footnoteRef/>
      </w:r>
      <w:r>
        <w:t xml:space="preserve"> </w:t>
      </w:r>
      <w:r>
        <w:t xml:space="preserve">We utilize a ROPE of ±1 for standardized values. For non-standardized values</w:t>
      </w:r>
      <w:r>
        <w:t xml:space="preserve"> </w:t>
      </w:r>
      <w:r>
        <w:t xml:space="preserve">Kruschke (2018)</w:t>
      </w:r>
      <w:r>
        <w:t xml:space="preserve"> </w:t>
      </w:r>
      <w:r>
        <w:t xml:space="preserve">recommends using the following formula:</w:t>
      </w:r>
      <w:r>
        <w:t xml:space="preserve"> </w:t>
      </w: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0" Target="media/rId130.png" /><Relationship Type="http://schemas.openxmlformats.org/officeDocument/2006/relationships/image" Id="rId114" Target="media/rId114.png" /><Relationship Type="http://schemas.openxmlformats.org/officeDocument/2006/relationships/image" Id="rId56" Target="media/rId56.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24" Target="media/rId124.png" /><Relationship Type="http://schemas.openxmlformats.org/officeDocument/2006/relationships/image" Id="rId52" Target="media/rId52.png" /><Relationship Type="http://schemas.openxmlformats.org/officeDocument/2006/relationships/image" Id="rId119" Target="media/rId11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109" Target="media/rId109.png" /><Relationship Type="http://schemas.openxmlformats.org/officeDocument/2006/relationships/hyperlink" Id="rId97" Target="https://doi.org/10.1006/jmla.2000.2783" TargetMode="External" /><Relationship Type="http://schemas.openxmlformats.org/officeDocument/2006/relationships/hyperlink" Id="rId77" Target="https://doi.org/10.1007/978-1-4612-2852-3_3" TargetMode="External" /><Relationship Type="http://schemas.openxmlformats.org/officeDocument/2006/relationships/hyperlink" Id="rId91" Target="https://doi.org/10.1016/j.wocn.2013.01.006" TargetMode="External" /><Relationship Type="http://schemas.openxmlformats.org/officeDocument/2006/relationships/hyperlink" Id="rId87" Target="https://doi.org/10.1016/s0010-0277(02)00198-1" TargetMode="External" /><Relationship Type="http://schemas.openxmlformats.org/officeDocument/2006/relationships/hyperlink" Id="rId85" Target="https://doi.org/10.1017/S1366728911000447" TargetMode="External" /><Relationship Type="http://schemas.openxmlformats.org/officeDocument/2006/relationships/hyperlink" Id="rId99" Target="https://doi.org/10.1017/S136672891700030X" TargetMode="External" /><Relationship Type="http://schemas.openxmlformats.org/officeDocument/2006/relationships/hyperlink" Id="rId68" Target="https://doi.org/10.1044/2014_JSLHR-L-13-0279" TargetMode="External" /><Relationship Type="http://schemas.openxmlformats.org/officeDocument/2006/relationships/hyperlink" Id="rId62" Target="https://doi.org/10.1075/cilt.244.21bul" TargetMode="External" /><Relationship Type="http://schemas.openxmlformats.org/officeDocument/2006/relationships/hyperlink" Id="rId101" Target="https://doi.org/10.1093/jole/lzv003" TargetMode="External" /><Relationship Type="http://schemas.openxmlformats.org/officeDocument/2006/relationships/hyperlink" Id="rId94" Target="https://doi.org/10.1111/j.1944-9720.2012.01191.x" TargetMode="External" /><Relationship Type="http://schemas.openxmlformats.org/officeDocument/2006/relationships/hyperlink" Id="rId83" Target="https://doi.org/10.1121/1.2188377" TargetMode="External" /><Relationship Type="http://schemas.openxmlformats.org/officeDocument/2006/relationships/hyperlink" Id="rId70" Target="https://doi.org/10.1177/002383090204500301" TargetMode="External" /><Relationship Type="http://schemas.openxmlformats.org/officeDocument/2006/relationships/hyperlink" Id="rId75" Target="https://doi.org/10.1515/LING.2006.040" TargetMode="External" /><Relationship Type="http://schemas.openxmlformats.org/officeDocument/2006/relationships/hyperlink" Id="rId81" Target="https://doi.org/10.1515/lingvan-2017-0007" TargetMode="External" /><Relationship Type="http://schemas.openxmlformats.org/officeDocument/2006/relationships/hyperlink" Id="rId64" Target="https://doi.org/10.18637/jss.v080.i01" TargetMode="External" /><Relationship Type="http://schemas.openxmlformats.org/officeDocument/2006/relationships/hyperlink" Id="rId66" Target="https://doi.org/10.32614/RJ-2018-017" TargetMode="External" /><Relationship Type="http://schemas.openxmlformats.org/officeDocument/2006/relationships/hyperlink" Id="rId79" Target="https://doi.org/10.3390/e19100555" TargetMode="External" /></Relationships>
</file>

<file path=word/_rels/footnotes.xml.rels><?xml version="1.0" encoding="UTF-8"?><Relationships xmlns="http://schemas.openxmlformats.org/package/2006/relationships"><Relationship Type="http://schemas.openxmlformats.org/officeDocument/2006/relationships/hyperlink" Id="rId97" Target="https://doi.org/10.1006/jmla.2000.2783" TargetMode="External" /><Relationship Type="http://schemas.openxmlformats.org/officeDocument/2006/relationships/hyperlink" Id="rId77" Target="https://doi.org/10.1007/978-1-4612-2852-3_3" TargetMode="External" /><Relationship Type="http://schemas.openxmlformats.org/officeDocument/2006/relationships/hyperlink" Id="rId91" Target="https://doi.org/10.1016/j.wocn.2013.01.006" TargetMode="External" /><Relationship Type="http://schemas.openxmlformats.org/officeDocument/2006/relationships/hyperlink" Id="rId87" Target="https://doi.org/10.1016/s0010-0277(02)00198-1" TargetMode="External" /><Relationship Type="http://schemas.openxmlformats.org/officeDocument/2006/relationships/hyperlink" Id="rId85" Target="https://doi.org/10.1017/S1366728911000447" TargetMode="External" /><Relationship Type="http://schemas.openxmlformats.org/officeDocument/2006/relationships/hyperlink" Id="rId99" Target="https://doi.org/10.1017/S136672891700030X" TargetMode="External" /><Relationship Type="http://schemas.openxmlformats.org/officeDocument/2006/relationships/hyperlink" Id="rId68" Target="https://doi.org/10.1044/2014_JSLHR-L-13-0279" TargetMode="External" /><Relationship Type="http://schemas.openxmlformats.org/officeDocument/2006/relationships/hyperlink" Id="rId62" Target="https://doi.org/10.1075/cilt.244.21bul" TargetMode="External" /><Relationship Type="http://schemas.openxmlformats.org/officeDocument/2006/relationships/hyperlink" Id="rId101" Target="https://doi.org/10.1093/jole/lzv003" TargetMode="External" /><Relationship Type="http://schemas.openxmlformats.org/officeDocument/2006/relationships/hyperlink" Id="rId94" Target="https://doi.org/10.1111/j.1944-9720.2012.01191.x" TargetMode="External" /><Relationship Type="http://schemas.openxmlformats.org/officeDocument/2006/relationships/hyperlink" Id="rId83" Target="https://doi.org/10.1121/1.2188377" TargetMode="External" /><Relationship Type="http://schemas.openxmlformats.org/officeDocument/2006/relationships/hyperlink" Id="rId70" Target="https://doi.org/10.1177/002383090204500301" TargetMode="External" /><Relationship Type="http://schemas.openxmlformats.org/officeDocument/2006/relationships/hyperlink" Id="rId75" Target="https://doi.org/10.1515/LING.2006.040" TargetMode="External" /><Relationship Type="http://schemas.openxmlformats.org/officeDocument/2006/relationships/hyperlink" Id="rId81" Target="https://doi.org/10.1515/lingvan-2017-0007" TargetMode="External" /><Relationship Type="http://schemas.openxmlformats.org/officeDocument/2006/relationships/hyperlink" Id="rId64" Target="https://doi.org/10.18637/jss.v080.i01" TargetMode="External" /><Relationship Type="http://schemas.openxmlformats.org/officeDocument/2006/relationships/hyperlink" Id="rId66" Target="https://doi.org/10.32614/RJ-2018-017" TargetMode="External" /><Relationship Type="http://schemas.openxmlformats.org/officeDocument/2006/relationships/hyperlink" Id="rId79" Target="https://doi.org/10.3390/e191005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2022-10-11T06:15:55Z</dcterms:created>
  <dcterms:modified xsi:type="dcterms:W3CDTF">2022-10-11T06:15:55Z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Write-up of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2022-10-11</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False</vt:lpwstr>
  </property>
  <property fmtid="{D5CDD505-2E9C-101B-9397-08002B2CF9AE}" pid="19" name="lot">
    <vt:lpwstr>False</vt:lpwstr>
  </property>
  <property fmtid="{D5CDD505-2E9C-101B-9397-08002B2CF9AE}" pid="20" name="subtitle">
    <vt:lpwstr>Report</vt:lpwstr>
  </property>
  <property fmtid="{D5CDD505-2E9C-101B-9397-08002B2CF9AE}" pid="21" name="theme">
    <vt:lpwstr/>
  </property>
  <property fmtid="{D5CDD505-2E9C-101B-9397-08002B2CF9AE}" pid="22" name="toc-title">
    <vt:lpwstr>Table of contents</vt:lpwstr>
  </property>
</Properties>
</file>