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26.png" ContentType="image/png"/>
  <Override PartName="/word/media/rId22.png" ContentType="image/png"/>
  <Override PartName="/word/media/rId30.png" ContentType="image/png"/>
  <Override PartName="/word/media/rId33.png" ContentType="image/png"/>
  <Override PartName="/word/media/rId37.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Summary</w:t>
      </w:r>
    </w:p>
    <w:p>
      <w:pPr>
        <w:pStyle w:val="Author"/>
      </w:pPr>
      <w:r>
        <w:t xml:space="preserve">Joseph</w:t>
      </w:r>
      <w:r>
        <w:t xml:space="preserve"> </w:t>
      </w:r>
      <w:r>
        <w:t xml:space="preserve">V.</w:t>
      </w:r>
      <w:r>
        <w:t xml:space="preserve"> </w:t>
      </w:r>
      <w:r>
        <w:t xml:space="preserve">Casillas</w:t>
      </w:r>
    </w:p>
    <w:p>
      <w:pPr>
        <w:pStyle w:val="Date"/>
      </w:pPr>
      <w:r>
        <w:t xml:space="preserve">2022-10-05</w:t>
      </w:r>
    </w:p>
    <w:p>
      <w:pPr>
        <w:pStyle w:val="Abstract"/>
      </w:pPr>
      <w:r>
        <w:t xml:space="preserve">Summary</w:t>
      </w:r>
      <w:r>
        <w:t xml:space="preserve"> </w:t>
      </w:r>
      <w:r>
        <w:t xml:space="preserve">of</w:t>
      </w:r>
      <w:r>
        <w:t xml:space="preserve"> </w:t>
      </w:r>
      <w:r>
        <w:t xml:space="preserve">analyses</w:t>
      </w:r>
      <w:r>
        <w:t xml:space="preserve"> </w:t>
      </w:r>
      <w:r>
        <w:t xml:space="preserve">for</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take-aways"/>
    <w:p>
      <w:pPr>
        <w:pStyle w:val="Heading1"/>
      </w:pPr>
      <w:r>
        <w:t xml:space="preserve">1. Take-aways</w:t>
      </w:r>
    </w:p>
    <w:p>
      <w:pPr>
        <w:numPr>
          <w:ilvl w:val="0"/>
          <w:numId w:val="1001"/>
        </w:numPr>
        <w:pStyle w:val="Compact"/>
      </w:pPr>
      <w:r>
        <w:t xml:space="preserve">The two bilingual groups are essentially equivalent regarding proficiency and use.</w:t>
      </w:r>
    </w:p>
    <w:p>
      <w:pPr>
        <w:numPr>
          <w:ilvl w:val="0"/>
          <w:numId w:val="1001"/>
        </w:numPr>
        <w:pStyle w:val="Compact"/>
      </w:pPr>
      <w:r>
        <w:t xml:space="preserve">Stress matters: Monolinguals always predict, bilinguals do to some degree, but depends on stress (holding use and proficiency constant)</w:t>
      </w:r>
    </w:p>
    <w:p>
      <w:pPr>
        <w:numPr>
          <w:ilvl w:val="1"/>
          <w:numId w:val="1002"/>
        </w:numPr>
        <w:pStyle w:val="Compact"/>
      </w:pPr>
      <w:r>
        <w:t xml:space="preserve">HL:</w:t>
      </w:r>
    </w:p>
    <w:p>
      <w:pPr>
        <w:numPr>
          <w:ilvl w:val="2"/>
          <w:numId w:val="1003"/>
        </w:numPr>
        <w:pStyle w:val="Compact"/>
      </w:pPr>
      <w:r>
        <w:t xml:space="preserve">Paroxytone (CANta) (most common): 👍</w:t>
      </w:r>
    </w:p>
    <w:p>
      <w:pPr>
        <w:numPr>
          <w:ilvl w:val="2"/>
          <w:numId w:val="1003"/>
        </w:numPr>
        <w:pStyle w:val="Compact"/>
      </w:pPr>
      <w:r>
        <w:t xml:space="preserve">Oxytone (canTA) (less common): 👎</w:t>
      </w:r>
    </w:p>
    <w:p>
      <w:pPr>
        <w:numPr>
          <w:ilvl w:val="1"/>
          <w:numId w:val="1002"/>
        </w:numPr>
        <w:pStyle w:val="Compact"/>
      </w:pPr>
      <w:r>
        <w:t xml:space="preserve">L2:</w:t>
      </w:r>
    </w:p>
    <w:p>
      <w:pPr>
        <w:numPr>
          <w:ilvl w:val="2"/>
          <w:numId w:val="1004"/>
        </w:numPr>
        <w:pStyle w:val="Compact"/>
      </w:pPr>
      <w:r>
        <w:t xml:space="preserve">Paroxytone (CANta) (most common): 👍</w:t>
      </w:r>
    </w:p>
    <w:p>
      <w:pPr>
        <w:numPr>
          <w:ilvl w:val="2"/>
          <w:numId w:val="1004"/>
        </w:numPr>
        <w:pStyle w:val="Compact"/>
      </w:pPr>
      <w:r>
        <w:t xml:space="preserve">Oxytone (canTA) (less common): 👍</w:t>
      </w:r>
    </w:p>
    <w:p>
      <w:pPr>
        <w:numPr>
          <w:ilvl w:val="0"/>
          <w:numId w:val="1001"/>
        </w:numPr>
        <w:pStyle w:val="Compact"/>
      </w:pPr>
      <w:r>
        <w:t xml:space="preserve">Group differences</w:t>
      </w:r>
    </w:p>
    <w:p>
      <w:pPr>
        <w:numPr>
          <w:ilvl w:val="1"/>
          <w:numId w:val="1005"/>
        </w:numPr>
        <w:pStyle w:val="Compact"/>
      </w:pPr>
      <w:r>
        <w:t xml:space="preserve">Monolingual time course different from both bilingual groups (they predict sooner) regardless of stress</w:t>
      </w:r>
    </w:p>
    <w:p>
      <w:pPr>
        <w:numPr>
          <w:ilvl w:val="1"/>
          <w:numId w:val="1005"/>
        </w:numPr>
        <w:pStyle w:val="Compact"/>
      </w:pPr>
      <w:r>
        <w:t xml:space="preserve">HL and L2ers have essentially the same time course with paroxytonic stress, but L2 course is slightly delayed in comparison, the opposite is true for oxytonic stress, i.e., the HL time course is slightly delayed</w:t>
      </w:r>
    </w:p>
    <w:p>
      <w:pPr>
        <w:numPr>
          <w:ilvl w:val="1"/>
          <w:numId w:val="1005"/>
        </w:numPr>
        <w:pStyle w:val="Compact"/>
      </w:pPr>
      <w:r>
        <w:t xml:space="preserve">L2ers predict more than HL with (less common) oxytonic stress pattern (but still not a lot)</w:t>
      </w:r>
    </w:p>
    <w:p>
      <w:pPr>
        <w:numPr>
          <w:ilvl w:val="0"/>
          <w:numId w:val="1001"/>
        </w:numPr>
        <w:pStyle w:val="Compact"/>
      </w:pPr>
      <w:r>
        <w:t xml:space="preserve">Proficiency, use, and prediction</w:t>
      </w:r>
    </w:p>
    <w:p>
      <w:pPr>
        <w:numPr>
          <w:ilvl w:val="1"/>
          <w:numId w:val="1006"/>
        </w:numPr>
        <w:pStyle w:val="Compact"/>
      </w:pPr>
      <w:r>
        <w:t xml:space="preserve">HL</w:t>
      </w:r>
    </w:p>
    <w:p>
      <w:pPr>
        <w:numPr>
          <w:ilvl w:val="2"/>
          <w:numId w:val="1007"/>
        </w:numPr>
        <w:pStyle w:val="Compact"/>
      </w:pPr>
      <w:r>
        <w:t xml:space="preserve">High use individuals always predict in paroxytone condition.</w:t>
      </w:r>
    </w:p>
    <w:p>
      <w:pPr>
        <w:numPr>
          <w:ilvl w:val="2"/>
          <w:numId w:val="1007"/>
        </w:numPr>
        <w:pStyle w:val="Compact"/>
      </w:pPr>
      <w:r>
        <w:t xml:space="preserve">As use decreases, so does prediction</w:t>
      </w:r>
    </w:p>
    <w:p>
      <w:pPr>
        <w:numPr>
          <w:ilvl w:val="2"/>
          <w:numId w:val="1007"/>
        </w:numPr>
        <w:pStyle w:val="Compact"/>
      </w:pPr>
      <w:r>
        <w:t xml:space="preserve">Marginalizing over stress, prediction is pretty good across the board</w:t>
      </w:r>
    </w:p>
    <w:p>
      <w:pPr>
        <w:numPr>
          <w:ilvl w:val="2"/>
          <w:numId w:val="1007"/>
        </w:numPr>
        <w:pStyle w:val="Compact"/>
      </w:pPr>
      <w:r>
        <w:t xml:space="preserve">For oxytonic stress condition, only high use/high prof individuals predict</w:t>
      </w:r>
    </w:p>
    <w:p>
      <w:pPr>
        <w:numPr>
          <w:ilvl w:val="2"/>
          <w:numId w:val="1007"/>
        </w:numPr>
        <w:pStyle w:val="Compact"/>
      </w:pPr>
      <w:r>
        <w:t xml:space="preserve">Unexplained weirdness… in oxytone condition low prof/low use predicts higher (not sure about this)</w:t>
      </w:r>
    </w:p>
    <w:p>
      <w:pPr>
        <w:numPr>
          <w:ilvl w:val="1"/>
          <w:numId w:val="1006"/>
        </w:numPr>
        <w:pStyle w:val="Compact"/>
      </w:pPr>
      <w:r>
        <w:t xml:space="preserve">L2</w:t>
      </w:r>
    </w:p>
    <w:p>
      <w:pPr>
        <w:numPr>
          <w:ilvl w:val="2"/>
          <w:numId w:val="1008"/>
        </w:numPr>
        <w:pStyle w:val="Compact"/>
      </w:pPr>
      <w:r>
        <w:t xml:space="preserve">Generally use is less important</w:t>
      </w:r>
    </w:p>
    <w:p>
      <w:pPr>
        <w:numPr>
          <w:ilvl w:val="2"/>
          <w:numId w:val="1008"/>
        </w:numPr>
        <w:pStyle w:val="Compact"/>
      </w:pPr>
      <w:r>
        <w:t xml:space="preserve">Higher proficiency associated with higher prediction</w:t>
      </w:r>
    </w:p>
    <w:p>
      <w:pPr>
        <w:numPr>
          <w:ilvl w:val="2"/>
          <w:numId w:val="1008"/>
        </w:numPr>
        <w:pStyle w:val="Compact"/>
      </w:pPr>
      <w:r>
        <w:t xml:space="preserve">Lowest overall prediction in paroxytone condition</w:t>
      </w:r>
    </w:p>
    <w:bookmarkEnd w:id="20"/>
    <w:bookmarkStart w:id="55" w:name="key-plots"/>
    <w:p>
      <w:pPr>
        <w:pStyle w:val="Heading1"/>
      </w:pPr>
      <w:r>
        <w:t xml:space="preserve">2. Key plots</w:t>
      </w:r>
    </w:p>
    <w:bookmarkStart w:id="25" w:name="profuse-check"/>
    <w:p>
      <w:pPr>
        <w:pStyle w:val="Heading2"/>
      </w:pPr>
      <w:r>
        <w:t xml:space="preserve">2.1 Prof/use check</w:t>
      </w:r>
    </w:p>
    <w:p>
      <w:pPr>
        <w:pStyle w:val="FirstParagraph"/>
      </w:pPr>
      <w:r>
        <w:t xml:space="preserve">See</w:t>
      </w:r>
      <w:r>
        <w:t xml:space="preserve"> </w:t>
      </w:r>
      <w:hyperlink r:id="rId21">
        <w:r>
          <w:rPr>
            <w:rStyle w:val="Hyperlink"/>
          </w:rPr>
          <w:t xml:space="preserve">Proficiency/use cleaup and EDA</w:t>
        </w:r>
      </w:hyperlink>
      <w:r>
        <w:t xml:space="preserve"> </w:t>
      </w:r>
      <w:r>
        <w:t xml:space="preserve">for full details.</w:t>
      </w:r>
      <w:r>
        <w:t xml:space="preserve"> </w:t>
      </w:r>
      <w:r>
        <w:t xml:space="preserve">Eight of 130 participants removed to make</w:t>
      </w:r>
      <w:r>
        <w:t xml:space="preserve"> </w:t>
      </w:r>
      <w:r>
        <w:rPr>
          <w:iCs/>
          <w:i/>
        </w:rPr>
        <w:t xml:space="preserve">use</w:t>
      </w:r>
      <w:r>
        <w:t xml:space="preserve"> </w:t>
      </w:r>
      <w:r>
        <w:t xml:space="preserve">more comparable between groups.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0000"/>
                  <wp:effectExtent b="0" l="0" r="0" t="0"/>
                  <wp:docPr descr="" title="" id="23" name="Picture"/>
                  <a:graphic>
                    <a:graphicData uri="http://schemas.openxmlformats.org/drawingml/2006/picture">
                      <pic:pic>
                        <pic:nvPicPr>
                          <pic:cNvPr descr="../figs/eda-prof-use-marginal-mean-estimates-1.png" id="24" name="Picture"/>
                          <pic:cNvPicPr>
                            <a:picLocks noChangeArrowheads="1" noChangeAspect="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Estimated marginal mean difference between HL and L2 groups for standardized</w:t>
            </w:r>
            <w:r>
              <w:t xml:space="preserve"> </w:t>
            </w:r>
            <w:r>
              <w:rPr>
                <w:iCs/>
                <w:i/>
              </w:rPr>
              <w:t xml:space="preserve">use</w:t>
            </w:r>
            <w:r>
              <w:t xml:space="preserve"> </w:t>
            </w:r>
            <w:r>
              <w:t xml:space="preserve">and</w:t>
            </w:r>
            <w:r>
              <w:t xml:space="preserve"> </w:t>
            </w:r>
            <w:r>
              <w:rPr>
                <w:iCs/>
                <w:i/>
              </w:rPr>
              <w:t xml:space="preserve">proficiency</w:t>
            </w:r>
            <w:r>
              <w:t xml:space="preserve">. The blue vertical bar represents a region of practical equivalence (ROPE) of ±0.1.</w:t>
            </w:r>
          </w:p>
        </w:tc>
      </w:tr>
    </w:tbl>
    <w:bookmarkEnd w:id="25"/>
    <w:bookmarkStart w:id="29" w:name="eye-tracking-raw-data"/>
    <w:p>
      <w:pPr>
        <w:pStyle w:val="Heading2"/>
      </w:pPr>
      <w:r>
        <w:t xml:space="preserve">2.2 Eye-tracking: Raw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27" name="Picture"/>
                  <a:graphic>
                    <a:graphicData uri="http://schemas.openxmlformats.org/drawingml/2006/picture">
                      <pic:pic>
                        <pic:nvPicPr>
                          <pic:cNvPr descr="../figs/checks-fixes-1.png" id="28"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Time course of raw target fixation data as a function of stress condition (paroxytone, oxytone) for monolingual, HL, and L2 groups. Transparent ribbons represent 99% bootstrapped confidence intervals.</w:t>
            </w:r>
          </w:p>
        </w:tc>
      </w:tr>
    </w:tbl>
    <w:bookmarkEnd w:id="29"/>
    <w:bookmarkStart w:id="45" w:name="eye-tracking-group-model-no-profuse"/>
    <w:p>
      <w:pPr>
        <w:pStyle w:val="Heading2"/>
      </w:pPr>
      <w:r>
        <w:t xml:space="preserve">2.3 Eye-tracking: Group model (no prof/use)</w:t>
      </w:r>
    </w:p>
    <w:bookmarkStart w:id="36" w:name="time-course-gamms"/>
    <w:p>
      <w:pPr>
        <w:pStyle w:val="Heading3"/>
      </w:pPr>
      <w:r>
        <w:t xml:space="preserve">2.3.1 Time course: GAMMs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1" name="Picture"/>
                  <a:graphic>
                    <a:graphicData uri="http://schemas.openxmlformats.org/drawingml/2006/picture">
                      <pic:pic>
                        <pic:nvPicPr>
                          <pic:cNvPr descr="../figs/group-comparison-plot-1.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all three groups. The time course is centered around the target syllable offset (point 0). Vertical lines represent 200ms after target syllable offset. Lines represent group trajectories plus 95%, 80%, and 50% credible intervals.</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34" name="Picture"/>
                  <a:graphic>
                    <a:graphicData uri="http://schemas.openxmlformats.org/drawingml/2006/picture">
                      <pic:pic>
                        <pic:nvPicPr>
                          <pic:cNvPr descr="../figs/group-diff-smooths-plot-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Pairwise difference smooths for paroxytone and oxytone items. From dark to light, colors represent 95%, 80%, 70%, 60%, 50%, 35% and 10% credible intervals.</w:t>
            </w:r>
          </w:p>
        </w:tc>
      </w:tr>
    </w:tbl>
    <w:bookmarkEnd w:id="36"/>
    <w:bookmarkStart w:id="40" w:name="prediction-at-target-offset"/>
    <w:p>
      <w:pPr>
        <w:pStyle w:val="Heading3"/>
      </w:pPr>
      <w:r>
        <w:t xml:space="preserve">2.3.2 Prediction at target offset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8" name="Picture"/>
                  <a:graphic>
                    <a:graphicData uri="http://schemas.openxmlformats.org/drawingml/2006/picture">
                      <pic:pic>
                        <pic:nvPicPr>
                          <pic:cNvPr descr="../figs/group-prediction-plot-1.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Proportion of target fixations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Density mass of the posterior distribution that falls within the ROPE is discolored (pinkish).</w:t>
            </w:r>
          </w:p>
        </w:tc>
      </w:tr>
    </w:tbl>
    <w:bookmarkEnd w:id="40"/>
    <w:bookmarkStart w:id="44" w:name="X83653d49ec0a459e92a666e5086d88940d2eac0"/>
    <w:p>
      <w:pPr>
        <w:pStyle w:val="Heading3"/>
      </w:pPr>
      <w:r>
        <w:t xml:space="preserve">2.3.3 Estimated marginal slopes at target offset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42" name="Picture"/>
                  <a:graphic>
                    <a:graphicData uri="http://schemas.openxmlformats.org/drawingml/2006/picture">
                      <pic:pic>
                        <pic:nvPicPr>
                          <pic:cNvPr descr="../figs/marginal-slopes-plot-1.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Marginal slope estimates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w:t>
            </w:r>
          </w:p>
        </w:tc>
      </w:tr>
    </w:tbl>
    <w:bookmarkEnd w:id="44"/>
    <w:bookmarkEnd w:id="45"/>
    <w:bookmarkStart w:id="54" w:name="bilinguals-only-profuse"/>
    <w:p>
      <w:pPr>
        <w:pStyle w:val="Heading2"/>
      </w:pPr>
      <w:r>
        <w:t xml:space="preserve">2.4 Bilinguals only (prof/use)</w:t>
      </w:r>
    </w:p>
    <w:bookmarkStart w:id="49" w:name="time-course-gamms-1"/>
    <w:p>
      <w:pPr>
        <w:pStyle w:val="Heading3"/>
      </w:pPr>
      <w:r>
        <w:t xml:space="preserve">2.4.1 Time course: GAMMs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47" name="Picture"/>
                  <a:graphic>
                    <a:graphicData uri="http://schemas.openxmlformats.org/drawingml/2006/picture">
                      <pic:pic>
                        <pic:nvPicPr>
                          <pic:cNvPr descr="../figs/bi-comparison-plot-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tc>
      </w:tr>
    </w:tbl>
    <w:bookmarkEnd w:id="49"/>
    <w:bookmarkStart w:id="53" w:name="prediction-at-target-offset-zoidberg"/>
    <w:p>
      <w:pPr>
        <w:pStyle w:val="Heading3"/>
      </w:pPr>
      <w:r>
        <w:t xml:space="preserve">2.4.2 Prediction at target offset: ZOIDBERG</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72000"/>
                  <wp:effectExtent b="0" l="0" r="0" t="0"/>
                  <wp:docPr descr="" title="" id="51" name="Picture"/>
                  <a:graphic>
                    <a:graphicData uri="http://schemas.openxmlformats.org/drawingml/2006/picture">
                      <pic:pic>
                        <pic:nvPicPr>
                          <pic:cNvPr descr="../figs/bi-prof-use-heatmap-1.png" id="52" name="Picture"/>
                          <pic:cNvPicPr>
                            <a:picLocks noChangeArrowheads="1" noChangeAspect="1"/>
                          </pic:cNvPicPr>
                        </pic:nvPicPr>
                        <pic:blipFill>
                          <a:blip r:embed="rId50"/>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Heatmap of target fixations 200ms after target syllable offset. The heatmap illustrates the conditional effects of normalized proficiency and use scores for the bilingual groups. The top rows illustrate model estimate for the paroxytone condtion, the middle rows marginalize over stress conditions, and the bottom rows represent model estimate for the oxytone condition.</w:t>
            </w:r>
          </w:p>
        </w:tc>
      </w:tr>
    </w:tbl>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hyperlink" Id="rId21" Target="https://www.jvcasillas.com/morph_pred_hs/scripts/02_eda_prof_use.html" TargetMode="External" /></Relationships>
</file>

<file path=word/_rels/footnotes.xml.rels><?xml version="1.0" encoding="UTF-8"?><Relationships xmlns="http://schemas.openxmlformats.org/package/2006/relationships"><Relationship Type="http://schemas.openxmlformats.org/officeDocument/2006/relationships/hyperlink" Id="rId21" Target="https://www.jvcasillas.com/morph_pred_hs/scripts/02_eda_prof_us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2022-10-11T06:15:21Z</dcterms:created>
  <dcterms:modified xsi:type="dcterms:W3CDTF">2022-10-11T06:15:21Z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Summary of analyses for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2022-10-05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True</vt:lpwstr>
  </property>
  <property fmtid="{D5CDD505-2E9C-101B-9397-08002B2CF9AE}" pid="19" name="lot">
    <vt:lpwstr>True</vt:lpwstr>
  </property>
  <property fmtid="{D5CDD505-2E9C-101B-9397-08002B2CF9AE}" pid="20" name="subtitle">
    <vt:lpwstr>Summary</vt:lpwstr>
  </property>
  <property fmtid="{D5CDD505-2E9C-101B-9397-08002B2CF9AE}" pid="21" name="theme">
    <vt:lpwstr/>
  </property>
  <property fmtid="{D5CDD505-2E9C-101B-9397-08002B2CF9AE}" pid="22" name="toc-title">
    <vt:lpwstr>Table of contents</vt:lpwstr>
  </property>
</Properties>
</file>