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78.pdf" ContentType="application/pdf"/>
  <Override PartName="/word/media/rId42.pdf" ContentType="application/pdf"/>
  <Override PartName="/word/media/rId29.pdf" ContentType="application/pdf"/>
  <Override PartName="/word/media/rId72.pdf" ContentType="application/pdf"/>
  <Override PartName="/word/media/rId33.pdf" ContentType="application/pdf"/>
  <Override PartName="/word/media/rId47.pdf" ContentType="application/pdf"/>
  <Override PartName="/word/media/rId51.pdf" ContentType="application/pdf"/>
  <Override PartName="/word/media/rId61.pdf" ContentType="application/pdf"/>
  <Override PartName="/word/media/rId65.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8"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group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p>
    <w:bookmarkEnd w:id="22"/>
    <w:bookmarkStart w:id="23" w:name="materials"/>
    <w:p>
      <w:pPr>
        <w:pStyle w:val="Heading2"/>
      </w:pPr>
      <w:r>
        <w:t xml:space="preserve">Materials</w:t>
      </w:r>
    </w:p>
    <w:p>
      <w:pPr>
        <w:pStyle w:val="FirstParagraph"/>
      </w:pPr>
      <w:r>
        <w:t xml:space="preserve">INCLUDE INFO FROM ALDRICH’s STUDY</w:t>
      </w:r>
      <w:r>
        <w:br/>
      </w:r>
      <w:r>
        <w:t xml:space="preserve">There were 52 target words (English: k = 28; Spanish: k = 24) that contained voiced and voiceless coronal stops in word initial position.</w:t>
      </w:r>
      <w:r>
        <w:t xml:space="preserve"> </w:t>
      </w:r>
      <w:r>
        <w:t xml:space="preserve">For each language, 12 targets began with /d/ and 12 began with /t/, equally divided between stressed and unstressed syllables (see supplementary materials).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dataset included 3519 tokens (24 target words per language × 3 repetitions).</w:t>
      </w:r>
      <w:r>
        <w:t xml:space="preserve"> </w:t>
      </w:r>
      <w:r>
        <w:t xml:space="preserve">Three items (3%) were discarded due to mispronunciations or extraneous noise.</w:t>
      </w:r>
      <w:r>
        <w:t xml:space="preserve"> </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4"/>
    <w:bookmarkStart w:id="25" w:name="procedure"/>
    <w:p>
      <w:pPr>
        <w:pStyle w:val="Heading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2.16.3)</w:t>
      </w:r>
      <w:r>
        <w:t xml:space="preserve">.</w:t>
      </w:r>
      <w:r>
        <w:t xml:space="preserve"> </w:t>
      </w:r>
      <w:r>
        <w:t xml:space="preserve">Bayesian Data Analysis (BDA) is an alternative to frequentist statistical analysis.</w:t>
      </w:r>
      <w:r>
        <w:rPr>
          <w:rStyle w:val="FootnoteReference"/>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5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7" w:name="experiment-1-monolinguals"/>
    <w:p>
      <w:pPr>
        <w:pStyle w:val="Heading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bookmarkStart w:id="32" w:name="fig-monolinguals"/>
      <w:r>
        <w:drawing>
          <wp:inline>
            <wp:extent cx="5943600" cy="3962400"/>
            <wp:effectExtent b="0" l="0" r="0" t="0"/>
            <wp:docPr descr="Figure 1: VOT and burst metrics of coronal stops (/d/, /t/) from monolingual speakers as a function of language (English, Spanish). Transparent points represent participant averages. Solid points indicate posterior means ±95% and 66% credible intervals." title="" id="30" name="Picture"/>
            <a:graphic>
              <a:graphicData uri="http://schemas.openxmlformats.org/drawingml/2006/picture">
                <pic:pic>
                  <pic:nvPicPr>
                    <pic:cNvPr descr="/Users/casillas/academia/research/in_progress/spanish_english_coronals/figs/mono_all_metrics.pdf"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bookmarkEnd w:id="32"/>
    </w:p>
    <w:p>
      <w:pPr>
        <w:pStyle w:val="ImageCaption"/>
      </w:pPr>
      <w:r>
        <w:t xml:space="preserve">Figure 1: VOT and burst metrics of coronal stops (/d/, /t/) from monolingual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VOT did not vary as a function of the formant frequencies of the following vowel (F1: β = −0.010, HDI = [−0.041, 0.020], ROPE = 1, MPE = 0.752; F2: β = 0.010, HDI = [−0.023, 0.042], ROPE = 1, MPE = 0.73).</w:t>
      </w:r>
      <w:r>
        <w:t xml:space="preserve"> </w:t>
      </w:r>
      <w:r>
        <w:t xml:space="preserve">We also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monolinguals-d-t">
        <w:r>
          <w:rPr>
            <w:rStyle w:val="Hyperlink"/>
          </w:rPr>
          <w:t xml:space="preserve">Figure 9</w:t>
        </w:r>
      </w:hyperlink>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phoneme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phoneme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phoneme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phonemes (β = −0.282, HDI = [−0.355, −0.204], ROPE = 0, MPE = 1), though, again, there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phoneme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CaptionedFigure"/>
      </w:pPr>
      <w:bookmarkStart w:id="36" w:name="fig-monolinguals-summary"/>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34" name="Picture"/>
            <a:graphic>
              <a:graphicData uri="http://schemas.openxmlformats.org/drawingml/2006/picture">
                <pic:pic>
                  <pic:nvPicPr>
                    <pic:cNvPr descr="/Users/casillas/academia/research/in_progress/spanish_english_coronals/figs/mono_summary.pdf" id="35" name="Picture"/>
                    <pic:cNvPicPr>
                      <a:picLocks noChangeArrowheads="1" noChangeAspect="1"/>
                    </pic:cNvPicPr>
                  </pic:nvPicPr>
                  <pic:blipFill>
                    <a:blip r:embed="rId33"/>
                    <a:stretch>
                      <a:fillRect/>
                    </a:stretch>
                  </pic:blipFill>
                  <pic:spPr bwMode="auto">
                    <a:xfrm>
                      <a:off x="0" y="0"/>
                      <a:ext cx="5943600" cy="3760611"/>
                    </a:xfrm>
                    <a:prstGeom prst="rect">
                      <a:avLst/>
                    </a:prstGeom>
                    <a:noFill/>
                    <a:ln w="9525">
                      <a:noFill/>
                      <a:headEnd/>
                      <a:tailEnd/>
                    </a:ln>
                  </pic:spPr>
                </pic:pic>
              </a:graphicData>
            </a:graphic>
          </wp:inline>
        </w:drawing>
      </w:r>
      <w:bookmarkEnd w:id="36"/>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rPr>
          <w:bCs/>
          <w:b/>
        </w:rPr>
        <w:t xml:space="preserve">Interim discussion.</w:t>
      </w:r>
    </w:p>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 with skewness and kurtosis patterning similarly, as did COG and standard deviation.</w:t>
      </w:r>
    </w:p>
    <w:bookmarkEnd w:id="37"/>
    <w:bookmarkStart w:id="46"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phoneme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within-participant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phoneme (/d/, /t/).</w:t>
      </w:r>
      <w:r>
        <w:t xml:space="preserve"> </w:t>
      </w:r>
      <w:r>
        <w:t xml:space="preserve">For all plots, the y-axis represents the outcome variable in standardized units, the x-axis indicates the language, and voicing is represented by color.</w:t>
      </w:r>
    </w:p>
    <w:p>
      <w:pPr>
        <w:pStyle w:val="CaptionedFigure"/>
      </w:pPr>
      <w:bookmarkStart w:id="41" w:name="fig-bilinguals"/>
      <w:r>
        <w:drawing>
          <wp:inline>
            <wp:extent cx="5943600" cy="3962400"/>
            <wp:effectExtent b="0" l="0" r="0" t="0"/>
            <wp:docPr descr="Figure 3: VOT and burst metrics of coronal stops (/d/, /t/) from bilingual speakers as a function of language (English, Spanish). Transparent points represent participant averages. Solid points indicate posterior means ±95% and 66% credible intervals." title="" id="39" name="Picture"/>
            <a:graphic>
              <a:graphicData uri="http://schemas.openxmlformats.org/drawingml/2006/picture">
                <pic:pic>
                  <pic:nvPicPr>
                    <pic:cNvPr descr="/Users/casillas/academia/research/in_progress/spanish_english_coronals/figs/bi_all_metrics.pdf" id="4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bookmarkEnd w:id="41"/>
    </w:p>
    <w:p>
      <w:pPr>
        <w:pStyle w:val="ImageCaption"/>
      </w:pPr>
      <w:r>
        <w:t xml:space="preserve">Figure 3: VOT and burst metrics of coronal stops (/d/, /t/) from bilingual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VOT for English stops was higher than for Spanish stops (β = 0.523, HDI = [0.481, 0.566], ROPE = 0, MPE = 1), as was the case for voiceless segments in comparison with voiced segments (β = −0.633, HDI = [−0.738, −0.522], ROPE = 0, MPE = 1).</w:t>
      </w:r>
      <w:r>
        <w:t xml:space="preserve"> </w:t>
      </w:r>
      <w:r>
        <w:t xml:space="preserve">The two predictors did not interact (β = 0.025, HDI = [−0.017, 0.067], ROPE = 1, MPE = 0.883).</w:t>
      </w:r>
      <w:r>
        <w:t xml:space="preserve"> </w:t>
      </w:r>
      <w:r>
        <w:t xml:space="preserve">Upon comparing the short-lag stops of each language, English /d/ and Spanish /t/, we found minimal evidence that the segments differed from each other (β = −0.219, HDI = [−0.45, −0.001], ROPE = 0.128, MPE = 0.971).</w:t>
      </w:r>
      <w:r>
        <w:t xml:space="preserve"> </w:t>
      </w:r>
      <w:r>
        <w:t xml:space="preserve">Approximately 12% of the HDI fell within the predetermined region of practical equivalence, though given the model, the data, and our prior assumptions, there is a 97% chance the effect is negative, i.e., that English /d/ has lower VOT than Spanish /t/.</w:t>
      </w:r>
      <w:r>
        <w:t xml:space="preserve"> </w:t>
      </w:r>
      <w:r>
        <w:t xml:space="preserve">This is likely due to the bilinguals’ tendency to pre-voice in English.</w:t>
      </w:r>
      <w:r>
        <w:t xml:space="preserve"> </w:t>
      </w:r>
      <w:r>
        <w:t xml:space="preserve">The VOT data is plotted in the first panel of</w:t>
      </w:r>
      <w:r>
        <w:t xml:space="preserve"> </w:t>
      </w:r>
      <w:hyperlink w:anchor="fig-bilinguals">
        <w:r>
          <w:rPr>
            <w:rStyle w:val="Hyperlink"/>
          </w:rPr>
          <w:t xml:space="preserve">Figure 3</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bilinguals-d-t">
        <w:r>
          <w:rPr>
            <w:rStyle w:val="Hyperlink"/>
          </w:rPr>
          <w:t xml:space="preserve">Figure 10</w:t>
        </w:r>
      </w:hyperlink>
      <w:r>
        <w:t xml:space="preserve"> </w:t>
      </w:r>
      <w:r>
        <w:t xml:space="preserve">of the supplementary materials.</w:t>
      </w:r>
    </w:p>
    <w:p>
      <w:pPr>
        <w:pStyle w:val="BodyText"/>
      </w:pPr>
      <w:r>
        <w:rPr>
          <w:bCs/>
          <w:b/>
        </w:rPr>
        <w:t xml:space="preserve">Relative intensity.</w:t>
      </w:r>
      <w:r>
        <w:t xml:space="preserve"> </w:t>
      </w:r>
      <w:r>
        <w:t xml:space="preserve">We plot the relative intensity data in the top middle panel of</w:t>
      </w:r>
      <w:r>
        <w:t xml:space="preserve"> </w:t>
      </w:r>
      <w:hyperlink w:anchor="fig-bilinguals">
        <w:r>
          <w:rPr>
            <w:rStyle w:val="Hyperlink"/>
          </w:rPr>
          <w:t xml:space="preserve">Figure 3</w:t>
        </w:r>
      </w:hyperlink>
      <w:r>
        <w:t xml:space="preserve">.</w:t>
      </w:r>
      <w:r>
        <w:t xml:space="preserve"> </w:t>
      </w:r>
      <w:r>
        <w:t xml:space="preserve">There was no evidence for a group effect (β = 0.097, HDI = [0.030, 0.161], ROPE = 0.543, MPE = 0.997), nor for phoneme (β = −0.070, HDI = [−0.147, 0.011], ROPE = 0.787, MPE = 0.959) or F2 effects (β = −0.073, HDI = [−0.134, −0.014], ROPE = 0.821, MPE = 0.991).</w:t>
      </w:r>
      <w:r>
        <w:t xml:space="preserve"> </w:t>
      </w:r>
      <w:r>
        <w:t xml:space="preserve">We found a relationship between height of the following /a/ and relative intensity of the burst (β = −0.224, HDI = [−0.303, −0.139], ROPE = 0, MPE = 1).</w:t>
      </w:r>
      <w:r>
        <w:t xml:space="preserve"> </w:t>
      </w:r>
      <w:r>
        <w:t xml:space="preserve">Concretely, higher F1 values were associated with lower relative intensity.</w:t>
      </w:r>
      <w:r>
        <w:t xml:space="preserve"> </w:t>
      </w:r>
      <w:r>
        <w:t xml:space="preserve">There was no evidence supporting a language × phoneme interaction (β = 0.002, HDI = [−0.066, 0.063], ROPE = 1, MPE = 0.512).</w:t>
      </w:r>
    </w:p>
    <w:p>
      <w:pPr>
        <w:pStyle w:val="BodyText"/>
      </w:pPr>
      <w:r>
        <w:rPr>
          <w:bCs/>
          <w:b/>
        </w:rPr>
        <w:t xml:space="preserve">Center of gravity.</w:t>
      </w:r>
      <w:r>
        <w:t xml:space="preserve"> </w:t>
      </w:r>
      <w:r>
        <w:t xml:space="preserve">COG was higher in English stops than in Spanish stops (β = 0.661, HDI = [0.631, 0.692], ROPE = 0, MPE = 1).</w:t>
      </w:r>
      <w:r>
        <w:t xml:space="preserve"> </w:t>
      </w:r>
      <w:r>
        <w:t xml:space="preserve">Voiceless segments had higher COG than the voiced segments (β = −0.308, HDI = [−0.340, −0.270], ROPE = 0, MPE = 1).</w:t>
      </w:r>
      <w:r>
        <w:t xml:space="preserve"> </w:t>
      </w:r>
      <w:r>
        <w:t xml:space="preserve">We found weak evidence for a language × phoneme (β = 0.096, HDI = [0.067, 0.126], ROPE = 0.62, MPE = 1).</w:t>
      </w:r>
      <w:r>
        <w:t xml:space="preserve"> </w:t>
      </w:r>
      <w:r>
        <w:t xml:space="preserve">The difference between voiced and voiceless coronals was slightly larger in Spanish than it was in English.</w:t>
      </w:r>
      <w:r>
        <w:t xml:space="preserve"> </w:t>
      </w:r>
      <w:r>
        <w:t xml:space="preserve">No other predictors had an effect on COG.</w:t>
      </w:r>
      <w:r>
        <w:t xml:space="preserve"> </w:t>
      </w:r>
      <w:r>
        <w:t xml:space="preserve">The COG data is plotted in the first row, third panel of</w:t>
      </w:r>
      <w:r>
        <w:t xml:space="preserve"> </w:t>
      </w:r>
      <w:hyperlink w:anchor="fig-bilinguals">
        <w:r>
          <w:rPr>
            <w:rStyle w:val="Hyperlink"/>
          </w:rPr>
          <w:t xml:space="preserve">Figure 3</w:t>
        </w:r>
      </w:hyperlink>
      <w:r>
        <w:t xml:space="preserve">.</w:t>
      </w:r>
    </w:p>
    <w:p>
      <w:pPr>
        <w:pStyle w:val="BodyText"/>
      </w:pPr>
      <w:r>
        <w:rPr>
          <w:bCs/>
          <w:b/>
        </w:rPr>
        <w:t xml:space="preserve">Kurtosis.</w:t>
      </w:r>
    </w:p>
    <w:p>
      <w:pPr>
        <w:pStyle w:val="BodyText"/>
      </w:pPr>
      <w:r>
        <w:t xml:space="preserve">(β = −0.635, HDI = [−0.668, −0.603], ROPE = 0, MPE = 1)</w:t>
      </w:r>
    </w:p>
    <w:p>
      <w:pPr>
        <w:pStyle w:val="BodyText"/>
      </w:pPr>
      <w:r>
        <w:t xml:space="preserve">(β = 0.276, HDI = [0.237, 0.313], ROPE = 0, MPE = 1)</w:t>
      </w:r>
    </w:p>
    <w:p>
      <w:pPr>
        <w:pStyle w:val="BodyText"/>
      </w:pPr>
      <w:r>
        <w:t xml:space="preserve">(β = −0.173, HDI = [−0.204, −0.143], ROPE = 0, MPE = 1)</w:t>
      </w:r>
    </w:p>
    <w:p>
      <w:pPr>
        <w:pStyle w:val="BodyText"/>
      </w:pPr>
      <w:r>
        <w:t xml:space="preserve">(F1: β = −0.018, HDI = [−0.056, 0.022], ROPE = 1, MPE = 0.808; F2: β = −0.009, HDI = [−0.048, 0.029], ROPE = 1, MPE = 0.666).</w:t>
      </w:r>
    </w:p>
    <w:p>
      <w:pPr>
        <w:pStyle w:val="BodyText"/>
      </w:pPr>
      <w:r>
        <w:t xml:space="preserve">(Spanish /d/ vs. Spanish /t/: β = 0.897, HDI = [0.798, 1.003], ROPE = 0, MPE = 1)</w:t>
      </w:r>
    </w:p>
    <w:p>
      <w:pPr>
        <w:pStyle w:val="BodyText"/>
      </w:pPr>
      <w:r>
        <w:t xml:space="preserve">(English /d/ vs. English /t/: β = 0.207, HDI = [0.11, 0.3], ROPE = 0, MPE = 1)</w:t>
      </w:r>
    </w:p>
    <w:p>
      <w:pPr>
        <w:pStyle w:val="BodyText"/>
      </w:pPr>
      <w:r>
        <w:rPr>
          <w:bCs/>
          <w:b/>
        </w:rPr>
        <w:t xml:space="preserve">Standard deviation.</w:t>
      </w:r>
    </w:p>
    <w:p>
      <w:pPr>
        <w:pStyle w:val="BodyText"/>
      </w:pPr>
      <w:r>
        <w:t xml:space="preserve">(β = 0.568, HDI = [0.534, 0.604], ROPE = 0, MPE = 1)</w:t>
      </w:r>
    </w:p>
    <w:p>
      <w:pPr>
        <w:pStyle w:val="BodyText"/>
      </w:pPr>
      <w:r>
        <w:t xml:space="preserve">(β = −0.230, HDI = [−0.282, −0.178], ROPE = 0, MPE = 1)</w:t>
      </w:r>
    </w:p>
    <w:p>
      <w:pPr>
        <w:pStyle w:val="BodyText"/>
      </w:pPr>
      <w:r>
        <w:t xml:space="preserve">(β = 0.082, HDI = [0.046, 0.115], ROPE = 0.866, MPE = 1)</w:t>
      </w:r>
    </w:p>
    <w:p>
      <w:pPr>
        <w:pStyle w:val="BodyText"/>
      </w:pPr>
      <w:r>
        <w:t xml:space="preserve">(F1: β = 0.000, HDI = [−0.043, 0.046], ROPE = 1, MPE = 0.506; F2: β = 0.004, HDI = [−0.038, 0.050], ROPE = 1, MPE = 0.571).</w:t>
      </w:r>
    </w:p>
    <w:p>
      <w:pPr>
        <w:pStyle w:val="BodyText"/>
      </w:pPr>
      <w:r>
        <w:t xml:space="preserve">(Spanish /d/ vs. Spanish /t/: β = −0.625, HDI = [−0.754, −0.499], ROPE = 0, MPE = 1)</w:t>
      </w:r>
    </w:p>
    <w:p>
      <w:pPr>
        <w:pStyle w:val="BodyText"/>
      </w:pPr>
      <w:r>
        <w:t xml:space="preserve">(English /d/ vs. English /t/: β = −0.296, HDI = [−0.417, −0.174], ROPE = 0, MPE = 1)</w:t>
      </w:r>
    </w:p>
    <w:p>
      <w:pPr>
        <w:pStyle w:val="BodyText"/>
      </w:pPr>
      <w:r>
        <w:rPr>
          <w:bCs/>
          <w:b/>
        </w:rPr>
        <w:t xml:space="preserve">Skewness.</w:t>
      </w:r>
    </w:p>
    <w:p>
      <w:pPr>
        <w:pStyle w:val="BodyText"/>
      </w:pPr>
      <w:r>
        <w:t xml:space="preserve">(β = −0.611, HDI = [−0.642, −0.576], ROPE = 0, MPE = 1)</w:t>
      </w:r>
    </w:p>
    <w:p>
      <w:pPr>
        <w:pStyle w:val="BodyText"/>
      </w:pPr>
      <w:r>
        <w:t xml:space="preserve">(β = 0.298, HDI = [0.264, 0.337], ROPE = 0, MPE = 1)</w:t>
      </w:r>
    </w:p>
    <w:p>
      <w:pPr>
        <w:pStyle w:val="BodyText"/>
      </w:pPr>
      <w:r>
        <w:t xml:space="preserve">(β = −0.140, HDI = [−0.169, −0.105], ROPE = 0, MPE = 1)</w:t>
      </w:r>
    </w:p>
    <w:p>
      <w:pPr>
        <w:pStyle w:val="BodyText"/>
      </w:pPr>
      <w:r>
        <w:t xml:space="preserve">(F1: β = −0.029, HDI = [−0.068, 0.012], ROPE = 1, MPE = 0.921; F2: β = −0.008, HDI = [−0.047, 0.031], ROPE = 1, MPE = 0.649).</w:t>
      </w:r>
    </w:p>
    <w:p>
      <w:pPr>
        <w:pStyle w:val="BodyText"/>
      </w:pPr>
      <w:r>
        <w:t xml:space="preserve">(Spanish /d/ vs. Spanish /t/: β = 0.875, HDI = [0.774, 0.978], ROPE = 0, MPE = 1)</w:t>
      </w:r>
    </w:p>
    <w:p>
      <w:pPr>
        <w:pStyle w:val="BodyText"/>
      </w:pPr>
      <w:r>
        <w:t xml:space="preserve">(English /d/ vs. English /t/: β = 0.317, HDI = [0.221, 0.41], ROPE = 0, MPE = 1)</w:t>
      </w:r>
    </w:p>
    <w:p>
      <w:pPr>
        <w:pStyle w:val="CaptionedFigure"/>
      </w:pPr>
      <w:bookmarkStart w:id="45" w:name="fig-bilinguals-summary"/>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43" name="Picture"/>
            <a:graphic>
              <a:graphicData uri="http://schemas.openxmlformats.org/drawingml/2006/picture">
                <pic:pic>
                  <pic:nvPicPr>
                    <pic:cNvPr descr="/Users/casillas/academia/research/in_progress/spanish_english_coronals/figs/bi_summary.pdf" id="44" name="Picture"/>
                    <pic:cNvPicPr>
                      <a:picLocks noChangeArrowheads="1" noChangeAspect="1"/>
                    </pic:cNvPicPr>
                  </pic:nvPicPr>
                  <pic:blipFill>
                    <a:blip r:embed="rId42"/>
                    <a:stretch>
                      <a:fillRect/>
                    </a:stretch>
                  </pic:blipFill>
                  <pic:spPr bwMode="auto">
                    <a:xfrm>
                      <a:off x="0" y="0"/>
                      <a:ext cx="5943600" cy="3760611"/>
                    </a:xfrm>
                    <a:prstGeom prst="rect">
                      <a:avLst/>
                    </a:prstGeom>
                    <a:noFill/>
                    <a:ln w="9525">
                      <a:noFill/>
                      <a:headEnd/>
                      <a:tailEnd/>
                    </a:ln>
                  </pic:spPr>
                </pic:pic>
              </a:graphicData>
            </a:graphic>
          </wp:inline>
        </w:drawing>
      </w:r>
      <w:bookmarkEnd w:id="45"/>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p>
      <w:pPr>
        <w:pStyle w:val="BodyText"/>
      </w:pPr>
      <w:r>
        <w:rPr>
          <w:bCs/>
          <w:b/>
        </w:rPr>
        <w:t xml:space="preserve">Interim discussion.</w:t>
      </w:r>
    </w:p>
    <w:p>
      <w:pPr>
        <w:pStyle w:val="BodyText"/>
      </w:pPr>
      <w:hyperlink w:anchor="fig-bilinguals-summary">
        <w:r>
          <w:rPr>
            <w:rStyle w:val="Hyperlink"/>
          </w:rPr>
          <w:t xml:space="preserve">Figure 4</w:t>
        </w:r>
      </w:hyperlink>
      <w:r>
        <w:t xml:space="preserve"> </w:t>
      </w:r>
      <w:r>
        <w:t xml:space="preserve">General summary and patterns.</w:t>
      </w:r>
    </w:p>
    <w:bookmarkEnd w:id="46"/>
    <w:bookmarkStart w:id="55" w:name="experiment-3-bilingual-poa-data"/>
    <w:p>
      <w:pPr>
        <w:pStyle w:val="Heading2"/>
      </w:pPr>
      <w:r>
        <w:t xml:space="preserve">Experiment 3: Bilingual POA data</w:t>
      </w:r>
    </w:p>
    <w:p>
      <w:pPr>
        <w:pStyle w:val="FirstParagraph"/>
      </w:pPr>
      <w:r>
        <w:t xml:space="preserve">Model info here.</w:t>
      </w:r>
    </w:p>
    <w:p>
      <w:pPr>
        <w:pStyle w:val="CaptionedFigure"/>
      </w:pPr>
      <w:bookmarkStart w:id="50" w:name="fig-poa-bilinguals"/>
      <w:r>
        <w:drawing>
          <wp:inline>
            <wp:extent cx="5943600" cy="3962400"/>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48" name="Picture"/>
            <a:graphic>
              <a:graphicData uri="http://schemas.openxmlformats.org/drawingml/2006/picture">
                <pic:pic>
                  <pic:nvPicPr>
                    <pic:cNvPr descr="/Users/casillas/academia/research/in_progress/spanish_english_coronals/figs/poa_all_metrics.pdf"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bookmarkEnd w:id="50"/>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bookmarkStart w:id="54" w:name="fig-poa-bilinguals-summary"/>
      <w:r>
        <w:drawing>
          <wp:inline>
            <wp:extent cx="5943600" cy="3760611"/>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52" name="Picture"/>
            <a:graphic>
              <a:graphicData uri="http://schemas.openxmlformats.org/drawingml/2006/picture">
                <pic:pic>
                  <pic:nvPicPr>
                    <pic:cNvPr descr="/Users/casillas/academia/research/in_progress/spanish_english_coronals/figs/poa_summary.pdf" id="53" name="Picture"/>
                    <pic:cNvPicPr>
                      <a:picLocks noChangeArrowheads="1" noChangeAspect="1"/>
                    </pic:cNvPicPr>
                  </pic:nvPicPr>
                  <pic:blipFill>
                    <a:blip r:embed="rId51"/>
                    <a:stretch>
                      <a:fillRect/>
                    </a:stretch>
                  </pic:blipFill>
                  <pic:spPr bwMode="auto">
                    <a:xfrm>
                      <a:off x="0" y="0"/>
                      <a:ext cx="5943600" cy="3760611"/>
                    </a:xfrm>
                    <a:prstGeom prst="rect">
                      <a:avLst/>
                    </a:prstGeom>
                    <a:noFill/>
                    <a:ln w="9525">
                      <a:noFill/>
                      <a:headEnd/>
                      <a:tailEnd/>
                    </a:ln>
                  </pic:spPr>
                </pic:pic>
              </a:graphicData>
            </a:graphic>
          </wp:inline>
        </w:drawing>
      </w:r>
      <w:bookmarkEnd w:id="54"/>
    </w:p>
    <w:p>
      <w:pPr>
        <w:pStyle w:val="ImageCaption"/>
      </w:pPr>
      <w:r>
        <w:t xml:space="preserve">Figure 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hyperlink w:anchor="fig-poa-bilinguals-summary">
        <w:r>
          <w:rPr>
            <w:rStyle w:val="Hyperlink"/>
          </w:rPr>
          <w:t xml:space="preserve">Figure 6</w:t>
        </w:r>
      </w:hyperlink>
    </w:p>
    <w:p>
      <w:pPr>
        <w:pStyle w:val="BodyText"/>
      </w:pPr>
      <w:r>
        <w:t xml:space="preserve">General summary and patterns.</w:t>
      </w:r>
    </w:p>
    <w:bookmarkEnd w:id="55"/>
    <w:bookmarkEnd w:id="56"/>
    <w:bookmarkStart w:id="59" w:name="discussion"/>
    <w:p>
      <w:pPr>
        <w:pStyle w:val="Heading1"/>
      </w:pPr>
      <w:r>
        <w:t xml:space="preserve">Discussion</w:t>
      </w:r>
    </w:p>
    <w:bookmarkStart w:id="57" w:name="summary-of-findings"/>
    <w:p>
      <w:pPr>
        <w:pStyle w:val="Heading2"/>
      </w:pPr>
      <w:r>
        <w:t xml:space="preserve">Summary of findings</w:t>
      </w:r>
    </w:p>
    <w:bookmarkEnd w:id="57"/>
    <w:bookmarkStart w:id="58" w:name="interpretation-and-implications"/>
    <w:p>
      <w:pPr>
        <w:pStyle w:val="Heading2"/>
      </w:pPr>
      <w:r>
        <w:t xml:space="preserve">Interpretation and implications</w:t>
      </w:r>
    </w:p>
    <w:bookmarkEnd w:id="58"/>
    <w:bookmarkEnd w:id="59"/>
    <w:bookmarkStart w:id="60" w:name="conclusion"/>
    <w:p>
      <w:pPr>
        <w:pStyle w:val="Heading1"/>
      </w:pPr>
      <w:r>
        <w:t xml:space="preserve">Conclusion</w:t>
      </w:r>
    </w:p>
    <w:p>
      <w:r>
        <w:br w:type="page"/>
      </w:r>
    </w:p>
    <w:bookmarkEnd w:id="60"/>
    <w:bookmarkStart w:id="91" w:name="supplementary-materials"/>
    <w:p>
      <w:pPr>
        <w:pStyle w:val="Heading1"/>
      </w:pPr>
      <w:r>
        <w:t xml:space="preserve">Supplementary materials</w:t>
      </w:r>
    </w:p>
    <w:bookmarkStart w:id="70"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7</w:t>
        </w:r>
      </w:hyperlink>
      <w:r>
        <w:t xml:space="preserve"> </w:t>
      </w:r>
      <w:r>
        <w:t xml:space="preserve">plots the F1 × F2 data and</w:t>
      </w:r>
      <w:r>
        <w:t xml:space="preserve"> </w:t>
      </w:r>
      <w:hyperlink w:anchor="fig-monolingual-vowels-summary">
        <w:r>
          <w:rPr>
            <w:rStyle w:val="Hyperlink"/>
          </w:rPr>
          <w:t xml:space="preserve">Figure 8</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p>
      <w:pPr>
        <w:pStyle w:val="CaptionedFigure"/>
      </w:pPr>
      <w:bookmarkStart w:id="64" w:name="fig-monolingual-vowels"/>
      <w:r>
        <w:drawing>
          <wp:inline>
            <wp:extent cx="5943600" cy="3302000"/>
            <wp:effectExtent b="0" l="0" r="0" t="0"/>
            <wp:docPr descr="Figure 7: F1 × F2 of /a/ from monolingual speakers as a function of language (English, Spanish). Transparent points represent raw data. Solid points indicate posterior means ±95% and 80% credible intervals." title="" id="62" name="Picture"/>
            <a:graphic>
              <a:graphicData uri="http://schemas.openxmlformats.org/drawingml/2006/picture">
                <pic:pic>
                  <pic:nvPicPr>
                    <pic:cNvPr descr="/Users/casillas/academia/research/in_progress/spanish_english_coronals/figs/vowel_all_metrics_marginal.pdf" id="63" name="Picture"/>
                    <pic:cNvPicPr>
                      <a:picLocks noChangeArrowheads="1" noChangeAspect="1"/>
                    </pic:cNvPicPr>
                  </pic:nvPicPr>
                  <pic:blipFill>
                    <a:blip r:embed="rId61"/>
                    <a:stretch>
                      <a:fillRect/>
                    </a:stretch>
                  </pic:blipFill>
                  <pic:spPr bwMode="auto">
                    <a:xfrm>
                      <a:off x="0" y="0"/>
                      <a:ext cx="5943600" cy="3302000"/>
                    </a:xfrm>
                    <a:prstGeom prst="rect">
                      <a:avLst/>
                    </a:prstGeom>
                    <a:noFill/>
                    <a:ln w="9525">
                      <a:noFill/>
                      <a:headEnd/>
                      <a:tailEnd/>
                    </a:ln>
                  </pic:spPr>
                </pic:pic>
              </a:graphicData>
            </a:graphic>
          </wp:inline>
        </w:drawing>
      </w:r>
      <w:bookmarkEnd w:id="64"/>
    </w:p>
    <w:p>
      <w:pPr>
        <w:pStyle w:val="ImageCaption"/>
      </w:pPr>
      <w:r>
        <w:t xml:space="preserve">Figure 7: F1 × F2 of /a/ from monolingual speakers as a function of language (English, Spanish). Transparent points represent raw data. Solid points indicate posterior means ±95% and 80% credible intervals.</w:t>
      </w:r>
    </w:p>
    <w:p>
      <w:pPr>
        <w:pStyle w:val="CaptionedFigure"/>
      </w:pPr>
      <w:bookmarkStart w:id="68" w:name="fig-monolingual-vowels-summary"/>
      <w:r>
        <w:drawing>
          <wp:inline>
            <wp:extent cx="5943600" cy="1981200"/>
            <wp:effectExtent b="0" l="0" r="0" t="0"/>
            <wp:docPr descr="Figure 8: Posterior medians ±95% and 66% credible intervals for F1 and F2 from monolingual speaker data." title="" id="66" name="Picture"/>
            <a:graphic>
              <a:graphicData uri="http://schemas.openxmlformats.org/drawingml/2006/picture">
                <pic:pic>
                  <pic:nvPicPr>
                    <pic:cNvPr descr="/Users/casillas/academia/research/in_progress/spanish_english_coronals/figs/vowel_summary.pdf" id="67" name="Picture"/>
                    <pic:cNvPicPr>
                      <a:picLocks noChangeArrowheads="1" noChangeAspect="1"/>
                    </pic:cNvPicPr>
                  </pic:nvPicPr>
                  <pic:blipFill>
                    <a:blip r:embed="rId65"/>
                    <a:stretch>
                      <a:fillRect/>
                    </a:stretch>
                  </pic:blipFill>
                  <pic:spPr bwMode="auto">
                    <a:xfrm>
                      <a:off x="0" y="0"/>
                      <a:ext cx="5943600" cy="1981200"/>
                    </a:xfrm>
                    <a:prstGeom prst="rect">
                      <a:avLst/>
                    </a:prstGeom>
                    <a:noFill/>
                    <a:ln w="9525">
                      <a:noFill/>
                      <a:headEnd/>
                      <a:tailEnd/>
                    </a:ln>
                  </pic:spPr>
                </pic:pic>
              </a:graphicData>
            </a:graphic>
          </wp:inline>
        </w:drawing>
      </w:r>
      <w:bookmarkEnd w:id="68"/>
    </w:p>
    <w:p>
      <w:pPr>
        <w:pStyle w:val="ImageCaption"/>
      </w:pPr>
      <w:r>
        <w:t xml:space="preserve">Figure 8: Posterior medians ±95% and 66% credible intervals for F1 and F2 from monolingual speaker data.</w:t>
      </w:r>
    </w:p>
    <w:bookmarkStart w:id="69"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69"/>
    <w:p>
      <w:r>
        <w:br w:type="page"/>
      </w:r>
    </w:p>
    <w:bookmarkEnd w:id="70"/>
    <w:bookmarkStart w:id="76" w:name="X9d89289f7d393a6c064f99c1ab4969909ac065f"/>
    <w:p>
      <w:pPr>
        <w:pStyle w:val="Heading2"/>
      </w:pPr>
      <w:r>
        <w:t xml:space="preserve">Appendix B: Supplementary analyses (monolinguals)</w:t>
      </w:r>
    </w:p>
    <w:bookmarkStart w:id="71"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71"/>
    <w:p>
      <w:pPr>
        <w:pStyle w:val="CaptionedFigure"/>
      </w:pPr>
      <w:bookmarkStart w:id="75" w:name="fig-monolinguals-d-t"/>
      <w:r>
        <w:drawing>
          <wp:inline>
            <wp:extent cx="5943600" cy="2971800"/>
            <wp:effectExtent b="0" l="0" r="0" t="0"/>
            <wp:docPr descr="Figure 9: Posterior distribution comparing the short-lag stops, English /d/ and Spanish /t/. The white point represents the posterior mean ±95% HDI and the grey region represents the ROPE (±0.1)." title="" id="73" name="Picture"/>
            <a:graphic>
              <a:graphicData uri="http://schemas.openxmlformats.org/drawingml/2006/picture">
                <pic:pic>
                  <pic:nvPicPr>
                    <pic:cNvPr descr="/Users/casillas/academia/research/in_progress/spanish_english_coronals/figs/mono_post_hoc_dt.pdf" id="74" name="Picture"/>
                    <pic:cNvPicPr>
                      <a:picLocks noChangeArrowheads="1" noChangeAspect="1"/>
                    </pic:cNvPicPr>
                  </pic:nvPicPr>
                  <pic:blipFill>
                    <a:blip r:embed="rId72"/>
                    <a:stretch>
                      <a:fillRect/>
                    </a:stretch>
                  </pic:blipFill>
                  <pic:spPr bwMode="auto">
                    <a:xfrm>
                      <a:off x="0" y="0"/>
                      <a:ext cx="5943600" cy="2971800"/>
                    </a:xfrm>
                    <a:prstGeom prst="rect">
                      <a:avLst/>
                    </a:prstGeom>
                    <a:noFill/>
                    <a:ln w="9525">
                      <a:noFill/>
                      <a:headEnd/>
                      <a:tailEnd/>
                    </a:ln>
                  </pic:spPr>
                </pic:pic>
              </a:graphicData>
            </a:graphic>
          </wp:inline>
        </w:drawing>
      </w:r>
      <w:bookmarkEnd w:id="75"/>
    </w:p>
    <w:p>
      <w:pPr>
        <w:pStyle w:val="ImageCaption"/>
      </w:pPr>
      <w:r>
        <w:t xml:space="preserve">Figure 9: Posterior distribution comparing the short-lag stops, English /d/ and Spanish /t/. The white point represents the posterior mean ±95% HDI and the grey region represents the ROPE (±0.1).</w:t>
      </w:r>
    </w:p>
    <w:p>
      <w:r>
        <w:br w:type="page"/>
      </w:r>
    </w:p>
    <w:bookmarkEnd w:id="76"/>
    <w:bookmarkStart w:id="82" w:name="X4637e385458377b68173ba687d51d758dfad53e"/>
    <w:p>
      <w:pPr>
        <w:pStyle w:val="Heading2"/>
      </w:pPr>
      <w:r>
        <w:t xml:space="preserve">Appendix C: Supplementary analyses (bilinguals)</w:t>
      </w:r>
    </w:p>
    <w:bookmarkStart w:id="77" w:name="tbl-bi"/>
    <w:p>
      <w:pPr>
        <w:pStyle w:val="TableCaption"/>
      </w:pPr>
      <w:r>
        <w:t xml:space="preserve">Table 3: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77"/>
    <w:p>
      <w:pPr>
        <w:pStyle w:val="CaptionedFigure"/>
      </w:pPr>
      <w:bookmarkStart w:id="81" w:name="fig-bilinguals-d-t"/>
      <w:r>
        <w:drawing>
          <wp:inline>
            <wp:extent cx="5943600" cy="2971800"/>
            <wp:effectExtent b="0" l="0" r="0" t="0"/>
            <wp:docPr descr="Figure 10: Posterior distribution comparing the short-lag stops, English /d/ and Spanish /t/. The white point represents the posterior mean ±95% HDI and the grey region represents the ROPE (±0.1)." title="" id="79" name="Picture"/>
            <a:graphic>
              <a:graphicData uri="http://schemas.openxmlformats.org/drawingml/2006/picture">
                <pic:pic>
                  <pic:nvPicPr>
                    <pic:cNvPr descr="/Users/casillas/academia/research/in_progress/spanish_english_coronals/figs/bi_post_hoc_dt.pdf" id="80" name="Picture"/>
                    <pic:cNvPicPr>
                      <a:picLocks noChangeArrowheads="1" noChangeAspect="1"/>
                    </pic:cNvPicPr>
                  </pic:nvPicPr>
                  <pic:blipFill>
                    <a:blip r:embed="rId78"/>
                    <a:stretch>
                      <a:fillRect/>
                    </a:stretch>
                  </pic:blipFill>
                  <pic:spPr bwMode="auto">
                    <a:xfrm>
                      <a:off x="0" y="0"/>
                      <a:ext cx="5943600" cy="2971800"/>
                    </a:xfrm>
                    <a:prstGeom prst="rect">
                      <a:avLst/>
                    </a:prstGeom>
                    <a:noFill/>
                    <a:ln w="9525">
                      <a:noFill/>
                      <a:headEnd/>
                      <a:tailEnd/>
                    </a:ln>
                  </pic:spPr>
                </pic:pic>
              </a:graphicData>
            </a:graphic>
          </wp:inline>
        </w:drawing>
      </w:r>
      <w:bookmarkEnd w:id="81"/>
    </w:p>
    <w:p>
      <w:pPr>
        <w:pStyle w:val="ImageCaption"/>
      </w:pPr>
      <w:r>
        <w:t xml:space="preserve">Figure 10: Posterior distribution comparing the short-lag stops, English /d/ and Spanish /t/. The white point represents the posterior mean ±95% HDI and the grey region represents the ROPE (±0.1).</w:t>
      </w:r>
    </w:p>
    <w:p>
      <w:r>
        <w:br w:type="page"/>
      </w:r>
    </w:p>
    <w:bookmarkEnd w:id="82"/>
    <w:bookmarkStart w:id="84" w:name="X4ed28ac254a459bc2dacf748b6fbff35fa34930"/>
    <w:p>
      <w:pPr>
        <w:pStyle w:val="Heading2"/>
      </w:pPr>
      <w:r>
        <w:t xml:space="preserve">Appendix D: Supplementary analyses (place of articulation)</w:t>
      </w:r>
    </w:p>
    <w:bookmarkStart w:id="83" w:name="tbl-bi-poa"/>
    <w:p>
      <w:pPr>
        <w:pStyle w:val="TableCaption"/>
      </w:pPr>
      <w:r>
        <w:t xml:space="preserve">Table 4: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83"/>
    <w:p>
      <w:r>
        <w:br w:type="page"/>
      </w:r>
    </w:p>
    <w:bookmarkEnd w:id="84"/>
    <w:bookmarkStart w:id="87" w:name="appendix-e-bayesian-data-analysis"/>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85"/>
      </w:r>
      <w:r>
        <w:t xml:space="preserve"> </w:t>
      </w:r>
      <w:r>
        <w:t xml:space="preserve">The MPE calculates the proportion of the posterior distribution that is of the median’s sign (or the probability that the effect is positive or negative).</w:t>
      </w:r>
    </w:p>
    <w:p>
      <w:pPr>
        <w:pStyle w:val="BodyText"/>
      </w:pPr>
      <w:bookmarkStart w:id="86"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86"/>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87"/>
    <w:bookmarkStart w:id="90" w:name="appendix-f-reproducibility-information"/>
    <w:p>
      <w:pPr>
        <w:pStyle w:val="Heading2"/>
      </w:pPr>
      <w:r>
        <w:t xml:space="preserve">Appendix F: Reproducibility information</w:t>
      </w:r>
    </w:p>
    <w:bookmarkStart w:id="88" w:name="about-this-document"/>
    <w:p>
      <w:pPr>
        <w:pStyle w:val="Heading3"/>
      </w:pPr>
      <w:r>
        <w:t xml:space="preserve">About this document</w:t>
      </w:r>
    </w:p>
    <w:p>
      <w:pPr>
        <w:pStyle w:val="FirstParagraph"/>
      </w:pPr>
      <w:r>
        <w:t xml:space="preserve">This document was written in Markdown using</w:t>
      </w:r>
      <w:r>
        <w:t xml:space="preserve"> </w:t>
      </w:r>
      <w:r>
        <w:rPr>
          <w:rStyle w:val="VerbatimChar"/>
        </w:rPr>
        <w:t xml:space="preserve">quarto</w:t>
      </w:r>
      <w:r>
        <w:t xml:space="preserve">.</w:t>
      </w:r>
    </w:p>
    <w:bookmarkEnd w:id="88"/>
    <w:bookmarkStart w:id="89"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2022-04-07</w:t>
      </w:r>
      <w:r>
        <w:br/>
      </w:r>
      <w:r>
        <w:rPr>
          <w:rStyle w:val="VerbatimChar"/>
        </w:rPr>
        <w:t xml:space="preserve">&gt;   pandoc   2.17.1.1 @ /Applications/RStudio.app/Contents/MacOS/quarto/bin/ (via rmarkdown)</w:t>
      </w:r>
    </w:p>
    <w:p>
      <w:pPr>
        <w:pStyle w:val="SourceCode"/>
      </w:pPr>
      <w:r>
        <w:rPr>
          <w:rStyle w:val="VerbatimChar"/>
        </w:rPr>
        <w:t xml:space="preserve">&gt;                 loadedversion       date</w:t>
      </w:r>
      <w:r>
        <w:br/>
      </w:r>
      <w:r>
        <w:rPr>
          <w:rStyle w:val="VerbatimChar"/>
        </w:rPr>
        <w:t xml:space="preserve">&gt;  academicWriteR         0.4.1 2021-06-05</w:t>
      </w:r>
      <w:r>
        <w:br/>
      </w:r>
      <w:r>
        <w:rPr>
          <w:rStyle w:val="VerbatimChar"/>
        </w:rPr>
        <w:t xml:space="preserve">&gt;  bayesplot              1.9.0 2022-03-10</w:t>
      </w:r>
      <w:r>
        <w:br/>
      </w:r>
      <w:r>
        <w:rPr>
          <w:rStyle w:val="VerbatimChar"/>
        </w:rPr>
        <w:t xml:space="preserve">&gt;  bayestestR            0.11.5 2021-10-30</w:t>
      </w:r>
      <w:r>
        <w:br/>
      </w:r>
      <w:r>
        <w:rPr>
          <w:rStyle w:val="VerbatimChar"/>
        </w:rPr>
        <w:t xml:space="preserve">&gt;  brms                  2.16.3 2021-11-22</w:t>
      </w:r>
      <w:r>
        <w:br/>
      </w:r>
      <w:r>
        <w:rPr>
          <w:rStyle w:val="VerbatimChar"/>
        </w:rPr>
        <w:t xml:space="preserve">&gt;  broom                 0.7.12 2022-01-28</w:t>
      </w:r>
      <w:r>
        <w:br/>
      </w:r>
      <w:r>
        <w:rPr>
          <w:rStyle w:val="VerbatimChar"/>
        </w:rPr>
        <w:t xml:space="preserve">&gt;  dplyr                  1.0.8 2022-02-08</w:t>
      </w:r>
      <w:r>
        <w:br/>
      </w:r>
      <w:r>
        <w:rPr>
          <w:rStyle w:val="VerbatimChar"/>
        </w:rPr>
        <w:t xml:space="preserve">&gt;  flextable              0.7.0 2022-03-06</w:t>
      </w:r>
      <w:r>
        <w:br/>
      </w:r>
      <w:r>
        <w:rPr>
          <w:rStyle w:val="VerbatimChar"/>
        </w:rPr>
        <w:t xml:space="preserve">&gt;  forcats                0.5.1 2021-01-27</w:t>
      </w:r>
      <w:r>
        <w:br/>
      </w:r>
      <w:r>
        <w:rPr>
          <w:rStyle w:val="VerbatimChar"/>
        </w:rPr>
        <w:t xml:space="preserve">&gt;  future                1.24.0 2022-02-19</w:t>
      </w:r>
      <w:r>
        <w:br/>
      </w:r>
      <w:r>
        <w:rPr>
          <w:rStyle w:val="VerbatimChar"/>
        </w:rPr>
        <w:t xml:space="preserve">&gt;  ggbeeswarm             0.6.0 2017-08-07</w:t>
      </w:r>
      <w:r>
        <w:br/>
      </w:r>
      <w:r>
        <w:rPr>
          <w:rStyle w:val="VerbatimChar"/>
        </w:rPr>
        <w:t xml:space="preserve">&gt;  ggExtra               0.10.0 2022-03-23</w:t>
      </w:r>
      <w:r>
        <w:br/>
      </w:r>
      <w:r>
        <w:rPr>
          <w:rStyle w:val="VerbatimChar"/>
        </w:rPr>
        <w:t xml:space="preserve">&gt;  ggplot2                3.3.5 2021-06-25</w:t>
      </w:r>
      <w:r>
        <w:br/>
      </w:r>
      <w:r>
        <w:rPr>
          <w:rStyle w:val="VerbatimChar"/>
        </w:rPr>
        <w:t xml:space="preserve">&gt;  ggstance               0.3.5 2020-12-17</w:t>
      </w:r>
      <w:r>
        <w:br/>
      </w:r>
      <w:r>
        <w:rPr>
          <w:rStyle w:val="VerbatimChar"/>
        </w:rPr>
        <w:t xml:space="preserve">&gt;  glue                   1.6.2 2022-02-24</w:t>
      </w:r>
      <w:r>
        <w:br/>
      </w:r>
      <w:r>
        <w:rPr>
          <w:rStyle w:val="VerbatimChar"/>
        </w:rPr>
        <w:t xml:space="preserve">&gt;  here                   1.0.1 2020-12-13</w:t>
      </w:r>
      <w:r>
        <w:br/>
      </w:r>
      <w:r>
        <w:rPr>
          <w:rStyle w:val="VerbatimChar"/>
        </w:rPr>
        <w:t xml:space="preserve">&gt;  knitr                   1.38 2022-03-25</w:t>
      </w:r>
      <w:r>
        <w:br/>
      </w:r>
      <w:r>
        <w:rPr>
          <w:rStyle w:val="VerbatimChar"/>
        </w:rPr>
        <w:t xml:space="preserve">&gt;  modelr                 0.1.8 2020-05-19</w:t>
      </w:r>
      <w:r>
        <w:br/>
      </w:r>
      <w:r>
        <w:rPr>
          <w:rStyle w:val="VerbatimChar"/>
        </w:rPr>
        <w:t xml:space="preserve">&gt;  purrr                  0.3.4 2020-04-17</w:t>
      </w:r>
      <w:r>
        <w:br/>
      </w:r>
      <w:r>
        <w:rPr>
          <w:rStyle w:val="VerbatimChar"/>
        </w:rPr>
        <w:t xml:space="preserve">&gt;  Rcpp                 1.0.8.3 2022-03-17</w:t>
      </w:r>
      <w:r>
        <w:br/>
      </w:r>
      <w:r>
        <w:rPr>
          <w:rStyle w:val="VerbatimChar"/>
        </w:rPr>
        <w:t xml:space="preserve">&gt;  readr                  2.1.2 2022-01-30</w:t>
      </w:r>
      <w:r>
        <w:br/>
      </w:r>
      <w:r>
        <w:rPr>
          <w:rStyle w:val="VerbatimChar"/>
        </w:rPr>
        <w:t xml:space="preserve">&gt;  stringr                1.4.0 2019-02-10</w:t>
      </w:r>
      <w:r>
        <w:br/>
      </w:r>
      <w:r>
        <w:rPr>
          <w:rStyle w:val="VerbatimChar"/>
        </w:rPr>
        <w:t xml:space="preserve">&gt;  tidybayes              3.0.2 2022-01-05</w:t>
      </w:r>
      <w:r>
        <w:br/>
      </w:r>
      <w:r>
        <w:rPr>
          <w:rStyle w:val="VerbatimChar"/>
        </w:rPr>
        <w:t xml:space="preserve">&gt;  tidyr                  1.2.0 2022-02-01</w:t>
      </w:r>
    </w:p>
    <w:p>
      <w:r>
        <w:br w:type="page"/>
      </w:r>
    </w:p>
    <w:bookmarkEnd w:id="89"/>
    <w:bookmarkEnd w:id="90"/>
    <w:bookmarkEnd w:id="91"/>
    <w:bookmarkStart w:id="109" w:name="references"/>
    <w:p>
      <w:pPr>
        <w:pStyle w:val="Heading1"/>
      </w:pPr>
      <w:r>
        <w:t xml:space="preserve">References</w:t>
      </w:r>
    </w:p>
    <w:bookmarkStart w:id="108" w:name="refs"/>
    <w:bookmarkStart w:id="93"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92">
        <w:r>
          <w:rPr>
            <w:rStyle w:val="Hyperlink"/>
          </w:rPr>
          <w:t xml:space="preserve">http://www.praat.org/</w:t>
        </w:r>
      </w:hyperlink>
    </w:p>
    <w:bookmarkEnd w:id="93"/>
    <w:bookmarkStart w:id="95"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94">
        <w:r>
          <w:rPr>
            <w:rStyle w:val="Hyperlink"/>
          </w:rPr>
          <w:t xml:space="preserve">https://doi.org/10.18637/jss.v080.i01</w:t>
        </w:r>
      </w:hyperlink>
    </w:p>
    <w:bookmarkEnd w:id="95"/>
    <w:bookmarkStart w:id="97"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96">
        <w:r>
          <w:rPr>
            <w:rStyle w:val="Hyperlink"/>
          </w:rPr>
          <w:t xml:space="preserve">https://doi.org/10.32614/RJ-2018-017</w:t>
        </w:r>
      </w:hyperlink>
    </w:p>
    <w:bookmarkEnd w:id="97"/>
    <w:bookmarkStart w:id="98"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98"/>
    <w:bookmarkStart w:id="99"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99"/>
    <w:bookmarkStart w:id="101"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100">
        <w:r>
          <w:rPr>
            <w:rStyle w:val="Hyperlink"/>
          </w:rPr>
          <w:t xml:space="preserve">https://doi.org/10.3390/e19100555</w:t>
        </w:r>
      </w:hyperlink>
    </w:p>
    <w:bookmarkEnd w:id="101"/>
    <w:bookmarkStart w:id="102"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102"/>
    <w:bookmarkStart w:id="103"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103"/>
    <w:bookmarkStart w:id="105"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04">
        <w:r>
          <w:rPr>
            <w:rStyle w:val="Hyperlink"/>
          </w:rPr>
          <w:t xml:space="preserve">https://www.R-project.org/</w:t>
        </w:r>
      </w:hyperlink>
    </w:p>
    <w:bookmarkEnd w:id="105"/>
    <w:bookmarkStart w:id="106"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106"/>
    <w:bookmarkStart w:id="107"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107"/>
    <w:bookmarkEnd w:id="108"/>
    <w:bookmarkEnd w:id="109"/>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85">
    <w:p>
      <w:pPr>
        <w:pStyle w:val="FootnoteText"/>
      </w:pPr>
      <w:r>
        <w:rPr>
          <w:rStyle w:val="FootnoteReference"/>
        </w:rPr>
        <w:footnoteRef/>
      </w:r>
      <w:r>
        <w:t xml:space="preserve"> </w:t>
      </w:r>
      <w:r>
        <w:t xml:space="preserve">We utilize a ROPE of ±1 for standardized values.</w:t>
      </w:r>
      <w:r>
        <w:t xml:space="preserve"> </w:t>
      </w:r>
      <w:r>
        <w:t xml:space="preserve">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F61084"/>
    <w:pPr>
      <w:spacing w:after="24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78" Target="media/rId78.pdf" /><Relationship Type="http://schemas.openxmlformats.org/officeDocument/2006/relationships/image" Id="rId42" Target="media/rId42.pdf" /><Relationship Type="http://schemas.openxmlformats.org/officeDocument/2006/relationships/image" Id="rId29" Target="media/rId29.pdf" /><Relationship Type="http://schemas.openxmlformats.org/officeDocument/2006/relationships/image" Id="rId72" Target="media/rId72.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51" Target="media/rId51.pdf" /><Relationship Type="http://schemas.openxmlformats.org/officeDocument/2006/relationships/image" Id="rId61" Target="media/rId61.pdf" /><Relationship Type="http://schemas.openxmlformats.org/officeDocument/2006/relationships/image" Id="rId65" Target="media/rId65.pdf" /><Relationship Type="http://schemas.openxmlformats.org/officeDocument/2006/relationships/hyperlink" Id="rId92" Target="http://www.praat.org/" TargetMode="External" /><Relationship Type="http://schemas.openxmlformats.org/officeDocument/2006/relationships/hyperlink" Id="rId94" Target="https://doi.org/10.18637/jss.v080.i01" TargetMode="External" /><Relationship Type="http://schemas.openxmlformats.org/officeDocument/2006/relationships/hyperlink" Id="rId96" Target="https://doi.org/10.32614/RJ-2018-017" TargetMode="External" /><Relationship Type="http://schemas.openxmlformats.org/officeDocument/2006/relationships/hyperlink" Id="rId100" Target="https://doi.org/10.3390/e19100555" TargetMode="External" /><Relationship Type="http://schemas.openxmlformats.org/officeDocument/2006/relationships/hyperlink" Id="rId10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2" Target="http://www.praat.org/" TargetMode="External" /><Relationship Type="http://schemas.openxmlformats.org/officeDocument/2006/relationships/hyperlink" Id="rId94" Target="https://doi.org/10.18637/jss.v080.i01" TargetMode="External" /><Relationship Type="http://schemas.openxmlformats.org/officeDocument/2006/relationships/hyperlink" Id="rId96" Target="https://doi.org/10.32614/RJ-2018-017" TargetMode="External" /><Relationship Type="http://schemas.openxmlformats.org/officeDocument/2006/relationships/hyperlink" Id="rId100" Target="https://doi.org/10.3390/e19100555" TargetMode="External" /><Relationship Type="http://schemas.openxmlformats.org/officeDocument/2006/relationships/hyperlink" Id="rId10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2022-04-08T03:53:48Z</dcterms:created>
  <dcterms:modified xsi:type="dcterms:W3CDTF">2022-04-08T03:53:48Z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bibliography">
    <vt:lpwstr/>
  </property>
  <property fmtid="{D5CDD505-2E9C-101B-9397-08002B2CF9AE}" pid="4" name="csl">
    <vt:lpwstr>../../refs/apa-6th-edition.csl</vt:lpwstr>
  </property>
  <property fmtid="{D5CDD505-2E9C-101B-9397-08002B2CF9AE}" pid="5" name="editor_options">
    <vt:lpwstr/>
  </property>
  <property fmtid="{D5CDD505-2E9C-101B-9397-08002B2CF9AE}" pid="6" name="execute">
    <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dent">
    <vt:lpwstr>True</vt:lpwstr>
  </property>
  <property fmtid="{D5CDD505-2E9C-101B-9397-08002B2CF9AE}" pid="12" name="toc-title">
    <vt:lpwstr>Table of contents</vt:lpwstr>
  </property>
</Properties>
</file>