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df" ContentType="application/pdf"/>
  <Override PartName="/word/media/rId120.pdf" ContentType="application/pdf"/>
  <Override PartName="/word/media/rId116.pdf" ContentType="application/pdf"/>
  <Override PartName="/word/media/rId48.pdf" ContentType="application/pdf"/>
  <Override PartName="/word/media/rId44.pdf" ContentType="application/pdf"/>
  <Override PartName="/word/media/rId31.pdf" ContentType="application/pdf"/>
  <Override PartName="/word/media/rId104.pdf" ContentType="application/pdf"/>
  <Override PartName="/word/media/rId100.pdf" ContentType="application/pdf"/>
  <Override PartName="/word/media/rId109.pdf" ContentType="application/pdf"/>
  <Override PartName="/word/media/rId35.pdf" ContentType="application/pdf"/>
  <Override PartName="/word/media/rId53.pdf" ContentType="application/pdf"/>
  <Override PartName="/word/media/rId61.pdf" ContentType="application/pdf"/>
  <Override PartName="/word/media/rId57.pdf" ContentType="application/pdf"/>
  <Override PartName="/word/media/rId89.pdf" ContentType="application/pdf"/>
  <Override PartName="/word/media/rId93.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Coronal</w:t>
      </w:r>
      <w:r>
        <w:t xml:space="preserve"> </w:t>
      </w:r>
      <w:r>
        <w:t xml:space="preserve">stop</w:t>
      </w:r>
      <w:r>
        <w:t xml:space="preserve"> </w:t>
      </w:r>
      <w:r>
        <w:t xml:space="preserve">production</w:t>
      </w:r>
      <w:r>
        <w:t xml:space="preserve"> </w:t>
      </w:r>
      <w:r>
        <w:t xml:space="preserve">in</w:t>
      </w:r>
      <w:r>
        <w:t xml:space="preserve"> </w:t>
      </w:r>
      <w:r>
        <w:t xml:space="preserve">bilinguals</w:t>
      </w:r>
    </w:p>
    <w:p>
      <w:pPr>
        <w:pStyle w:val="Author"/>
      </w:pPr>
      <w:r>
        <w:t xml:space="preserve">Miquel</w:t>
      </w:r>
      <w:r>
        <w:t xml:space="preserve"> </w:t>
      </w:r>
      <w:r>
        <w:t xml:space="preserve">Simonet,</w:t>
      </w:r>
      <w:r>
        <w:t xml:space="preserve"> </w:t>
      </w:r>
      <w:r>
        <w:t xml:space="preserve">Joseph</w:t>
      </w:r>
      <w:r>
        <w:t xml:space="preserve"> </w:t>
      </w:r>
      <w:r>
        <w:t xml:space="preserve">V.</w:t>
      </w:r>
      <w:r>
        <w:t xml:space="preserve"> </w:t>
      </w:r>
      <w:r>
        <w:t xml:space="preserve">Casillas,</w:t>
      </w:r>
      <w:r>
        <w:t xml:space="preserve"> </w:t>
      </w:r>
      <w:r>
        <w:t xml:space="preserve">&amp;</w:t>
      </w:r>
      <w:r>
        <w:t xml:space="preserve"> </w:t>
      </w:r>
      <w:r>
        <w:t xml:space="preserve">Alexander</w:t>
      </w:r>
      <w:r>
        <w:t xml:space="preserve"> </w:t>
      </w:r>
      <w:r>
        <w:t xml:space="preserve">Aldrich</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adipisicing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bookmarkStart w:id="20" w:name="introduction"/>
    <w:p>
      <w:pPr>
        <w:pStyle w:val="Heading1"/>
      </w:pPr>
      <w:r>
        <w:t xml:space="preserve">Introduction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0"/>
    <w:bookmarkStart w:id="21" w:name="background-and-motivation"/>
    <w:p>
      <w:pPr>
        <w:pStyle w:val="Heading1"/>
      </w:pPr>
      <w:r>
        <w:t xml:space="preserve">Background and motivation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1"/>
    <w:bookmarkStart w:id="30" w:name="method"/>
    <w:p>
      <w:pPr>
        <w:pStyle w:val="Heading1"/>
      </w:pPr>
      <w:r>
        <w:t xml:space="preserve">Method</w:t>
      </w:r>
    </w:p>
    <w:bookmarkStart w:id="22" w:name="participants"/>
    <w:p>
      <w:pPr>
        <w:pStyle w:val="Heading2"/>
      </w:pPr>
      <w:r>
        <w:t xml:space="preserve">Participants</w:t>
      </w:r>
    </w:p>
    <w:p>
      <w:pPr>
        <w:pStyle w:val="FirstParagraph"/>
      </w:pPr>
      <w:r>
        <w:t xml:space="preserve">The data include 42 participants from 3 populations: monolingual English speakers, monolingual Spanish speakers, and bilingual Spanish-English speakers.</w:t>
      </w:r>
      <w:r>
        <w:t xml:space="preserve"> </w:t>
      </w:r>
      <w:r>
        <w:t xml:space="preserve">All participants were females between the ages of 18 and 23.</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w:t>
      </w:r>
    </w:p>
    <w:p>
      <w:pPr>
        <w:pStyle w:val="BodyText"/>
      </w:pPr>
      <w:r>
        <w:rPr>
          <w:bCs/>
          <w:b/>
        </w:rPr>
        <w:t xml:space="preserve">Monolingual English speakers.</w:t>
      </w:r>
      <w:r>
        <w:t xml:space="preserve"> </w:t>
      </w:r>
      <w:r>
        <w:t xml:space="preserve">The study includes 8 monolingual English speakers.</w:t>
      </w:r>
      <w:r>
        <w:t xml:space="preserve"> </w:t>
      </w:r>
      <w:r>
        <w:t xml:space="preserve">They were undergraduate students at the University of Arizona, born and raised in the US Southwest.</w:t>
      </w:r>
      <w:r>
        <w:t xml:space="preserve"> </w:t>
      </w:r>
      <w:r>
        <w:t xml:space="preserve">The English speakers were functionally monolingual, though they reported having 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 language and verified not having been exposed to any other languages while growing up.</w:t>
      </w:r>
    </w:p>
    <w:p>
      <w:pPr>
        <w:pStyle w:val="BodyText"/>
      </w:pPr>
      <w:r>
        <w:rPr>
          <w:bCs/>
          <w:b/>
        </w:rPr>
        <w:t xml:space="preserve">Monolingual Spanish speakers.</w:t>
      </w:r>
      <w:r>
        <w:t xml:space="preserve"> </w:t>
      </w:r>
      <w:r>
        <w:t xml:space="preserve">The monolingual Spanish group comprised 8 speakers that were recruited from the</w:t>
      </w:r>
      <w:r>
        <w:t xml:space="preserve"> </w:t>
      </w:r>
      <w:r>
        <w:rPr>
          <w:iCs/>
          <w:i/>
        </w:rPr>
        <w:t xml:space="preserve">Universitat de les Illes Balears</w:t>
      </w:r>
      <w:r>
        <w:t xml:space="preserve"> </w:t>
      </w:r>
      <w:r>
        <w:t xml:space="preserve">campus community and were born and raised on the island of Majorca, Spain.</w:t>
      </w:r>
      <w:r>
        <w:t xml:space="preserve"> </w:t>
      </w:r>
      <w:r>
        <w:t xml:space="preserve">They reported that, although they had studied some English in Spain, they were not able to maintain a basic conversation in this language.</w:t>
      </w:r>
      <w:r>
        <w:t xml:space="preserve"> </w:t>
      </w:r>
      <w:r>
        <w:t xml:space="preserve">The participants of this group also speak Catalan.</w:t>
      </w:r>
      <w:r>
        <w:t xml:space="preserve"> </w:t>
      </w:r>
      <w:r>
        <w:t xml:space="preserve">We refer to them as monolingual Spanish speakers in the context of this study only for the sake of clarity.</w:t>
      </w:r>
      <w:r>
        <w:t xml:space="preserve"> </w:t>
      </w:r>
      <w:r>
        <w:t xml:space="preserve">Importantly, there are no reported differences in the phonetic realization of voice timing between the Spanish and Catalan, nor are there place differences between the coronal stops.</w:t>
      </w:r>
    </w:p>
    <w:p>
      <w:pPr>
        <w:pStyle w:val="BodyText"/>
      </w:pPr>
      <w:r>
        <w:rPr>
          <w:bCs/>
          <w:b/>
        </w:rPr>
        <w:t xml:space="preserve">Bilingual speakers.</w:t>
      </w:r>
      <w:r>
        <w:t xml:space="preserve"> </w:t>
      </w:r>
      <w:r>
        <w:t xml:space="preserve">The Spanish-English bilinguals (n = 26) came from Southern Arizona and Northern Mexico.</w:t>
      </w:r>
      <w:r>
        <w:t xml:space="preserve"> </w:t>
      </w:r>
      <w:r>
        <w:t xml:space="preserve">There are two samples from this population.</w:t>
      </w:r>
      <w:r>
        <w:t xml:space="preserve"> </w:t>
      </w:r>
      <w:r>
        <w:t xml:space="preserve">The coronal data set includes 17 speakers and the bilabial data set includes 9 speakers.</w:t>
      </w:r>
      <w:r>
        <w:t xml:space="preserve"> </w:t>
      </w:r>
      <w:r>
        <w:t xml:space="preserve">The Spanish-English bilinguals were undergraduate students at the University of Arizona in Tucson, Arizona.</w:t>
      </w:r>
      <w:r>
        <w:t xml:space="preserve"> </w:t>
      </w:r>
      <w:r>
        <w:t xml:space="preserve">The bilinguals were brought up by Spanish-speaking families and were schooled mostly in English.</w:t>
      </w:r>
      <w:r>
        <w:t xml:space="preserve"> </w:t>
      </w:r>
      <w:r>
        <w:t xml:space="preserve">They reported using English and Spanish daily, both in the classroom as well as with their friends and relatives.</w:t>
      </w:r>
    </w:p>
    <w:p>
      <w:pPr>
        <w:pStyle w:val="BodyText"/>
      </w:pPr>
      <w:r>
        <w:t xml:space="preserve">The bilingual participants completed the Bilingual Language Profile</w:t>
      </w:r>
      <w:r>
        <w:t xml:space="preserve"> </w:t>
      </w:r>
      <w:r>
        <w:t xml:space="preserve">(BLP, Gertken, Amengual, &amp; Birdsong, 2014)</w:t>
      </w:r>
      <w:r>
        <w:t xml:space="preserve"> </w:t>
      </w:r>
      <w:r>
        <w:t xml:space="preserve">in order to assess language dominance.</w:t>
      </w:r>
      <w:r>
        <w:t xml:space="preserve"> </w:t>
      </w:r>
      <w:r>
        <w:t xml:space="preserve">The BLP calculates a weighted average of language dominance based on the individual history, use, proficiency, and attitudes of the bilinguals with regard to their languages.</w:t>
      </w:r>
      <w:r>
        <w:t xml:space="preserve"> </w:t>
      </w:r>
      <w:r>
        <w:t xml:space="preserve">The measure ranges from −218 to 218 with values near the extremes implying dominance in one of the languages.</w:t>
      </w:r>
      <w:r>
        <w:t xml:space="preserve"> </w:t>
      </w:r>
      <w:r>
        <w:t xml:space="preserve">Values close to 0 are taken as an indication of balanced bilingualism.</w:t>
      </w:r>
      <w:r>
        <w:t xml:space="preserve"> </w:t>
      </w:r>
      <w:r>
        <w:t xml:space="preserve">In the present study, Spanish was arbitrarily assigned to positive values.</w:t>
      </w:r>
      <w:r>
        <w:t xml:space="preserve"> </w:t>
      </w:r>
      <w:r>
        <w:t xml:space="preserve">Figure XXX plots language dominance (Panel A) and language use and proficiency data (Panel B) derived from the BLP.</w:t>
      </w:r>
      <w:r>
        <w:t xml:space="preserve"> </w:t>
      </w:r>
      <w:r>
        <w:t xml:space="preserve">The bilingual group had a mean dominance score of X (SD = X), suggesting rather balanced bilingualism (Panel A).</w:t>
      </w:r>
      <w:r>
        <w:t xml:space="preserve"> </w:t>
      </w:r>
      <w:r>
        <w:t xml:space="preserve">Participants that reported using Spanish more often also tended to report being more proficient in that language; the converse was also true for English (Panel B).</w:t>
      </w:r>
      <w:r>
        <w:br/>
      </w:r>
      <w:r>
        <w:t xml:space="preserve">NEED BLP DATA FROM ALDRICH (or something similar).</w:t>
      </w:r>
    </w:p>
    <w:bookmarkEnd w:id="22"/>
    <w:bookmarkStart w:id="25" w:name="materials"/>
    <w:p>
      <w:pPr>
        <w:pStyle w:val="Heading2"/>
      </w:pPr>
      <w:r>
        <w:t xml:space="preserve">Materials</w:t>
      </w:r>
    </w:p>
    <w:bookmarkStart w:id="23" w:name="coronal-data-set"/>
    <w:p>
      <w:pPr>
        <w:pStyle w:val="Heading3"/>
      </w:pPr>
      <w:r>
        <w:t xml:space="preserve">Coronal data set</w:t>
      </w:r>
    </w:p>
    <w:p>
      <w:pPr>
        <w:pStyle w:val="FirstParagraph"/>
      </w:pPr>
      <w:r>
        <w:t xml:space="preserve">There were 48 target words (English: k = 24; Spanish: k = 24) that contained voiced and voiceless coronal stops in word initial position.</w:t>
      </w:r>
      <w:r>
        <w:t xml:space="preserve"> </w:t>
      </w:r>
      <w:r>
        <w:t xml:space="preserve">For each language, 12 targets began with /d/ and 12 began with /t/, equally divided between stressed and unstressed syllables.</w:t>
      </w:r>
      <w:r>
        <w:t xml:space="preserve"> </w:t>
      </w:r>
      <w:r>
        <w:t xml:space="preserve">All stops were followed by a low vowel (/a/ for Spanish and /æ, ɑ/ for English).</w:t>
      </w:r>
    </w:p>
    <w:p>
      <w:pPr>
        <w:pStyle w:val="BodyText"/>
      </w:pPr>
      <w:r>
        <w:t xml:space="preserve">The participants completed a delayed repetition task in which they heard the target words presented in a carrier phrase (</w:t>
      </w:r>
      <w:r>
        <w:t xml:space="preserve">“</w:t>
      </w:r>
      <w:r>
        <w:rPr>
          <w:iCs/>
          <w:i/>
        </w:rPr>
        <w:t xml:space="preserve">x is the word</w:t>
      </w:r>
      <w:r>
        <w:t xml:space="preserve">”</w:t>
      </w:r>
      <w:r>
        <w:t xml:space="preserve"> </w:t>
      </w:r>
      <w:r>
        <w:t xml:space="preserve">or the Spanish equivalent</w:t>
      </w:r>
      <w:r>
        <w:t xml:space="preserve"> </w:t>
      </w:r>
      <w:r>
        <w:t xml:space="preserve">“</w:t>
      </w:r>
      <w:r>
        <w:rPr>
          <w:iCs/>
          <w:i/>
        </w:rPr>
        <w:t xml:space="preserve">x es la palabra</w:t>
      </w:r>
      <w:r>
        <w:t xml:space="preserve">”</w:t>
      </w:r>
      <w:r>
        <w:t xml:space="preserve">).</w:t>
      </w:r>
      <w:r>
        <w:t xml:space="preserve"> </w:t>
      </w:r>
      <w:r>
        <w:t xml:space="preserve">The auditory stimuli were recordings of 6 male native speakers: 3 native English speakers and 3 native Spanish speakers.</w:t>
      </w:r>
      <w:r>
        <w:t xml:space="preserve"> </w:t>
      </w:r>
      <w:r>
        <w:t xml:space="preserve">These recordings served as the auditory stimuli repeated out loud by the participants in the delayed repetition task.</w:t>
      </w:r>
      <w:r>
        <w:t xml:space="preserve"> </w:t>
      </w:r>
      <w:r>
        <w:t xml:space="preserve">Words not containing coronal stops were considered distractors (k = 20).</w:t>
      </w:r>
      <w:r>
        <w:t xml:space="preserve"> </w:t>
      </w:r>
      <w:r>
        <w:t xml:space="preserve">Praat</w:t>
      </w:r>
      <w:r>
        <w:t xml:space="preserve"> </w:t>
      </w:r>
      <w:r>
        <w:t xml:space="preserve">Boersma &amp; Weenink (2022)</w:t>
      </w:r>
      <w:r>
        <w:t xml:space="preserve"> </w:t>
      </w:r>
      <w:r>
        <w:t xml:space="preserve">was used to present the sentences randomly in auditory form and the speakers were asked to listen to the entire sentence and then repeat it out loud at their own pace.</w:t>
      </w:r>
    </w:p>
    <w:p>
      <w:pPr>
        <w:pStyle w:val="BodyText"/>
      </w:pPr>
      <w:r>
        <w:t xml:space="preserve">The monolingual English speakers and bilinguals were recorded in a sound attenuated booth.</w:t>
      </w:r>
      <w:r>
        <w:t xml:space="preserve"> </w:t>
      </w:r>
      <w:r>
        <w:t xml:space="preserve">The monolingual Spanish speakers were recorded in a quiet classroom on the campus of the</w:t>
      </w:r>
      <w:r>
        <w:t xml:space="preserve"> </w:t>
      </w:r>
      <w:r>
        <w:rPr>
          <w:iCs/>
          <w:i/>
        </w:rPr>
        <w:t xml:space="preserve">Universitat de les Illes Balears</w:t>
      </w:r>
      <w:r>
        <w:t xml:space="preserve"> </w:t>
      </w:r>
      <w:r>
        <w:t xml:space="preserve">in Majorca, Spain.</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 in a single session with all English and Spanish items presented in a single, randomized block.</w:t>
      </w:r>
      <w:r>
        <w:t xml:space="preserve"> </w:t>
      </w:r>
      <w:r>
        <w:t xml:space="preserve">The full data set included 3600 tokens (24 target words per language × 3 repetitions × 25 participant).</w:t>
      </w:r>
      <w:r>
        <w:t xml:space="preserve"> </w:t>
      </w:r>
      <w:r>
        <w:t xml:space="preserve">Eighty-one items (2.25%) were discarded due to mispronunciations or extraneous noise.</w:t>
      </w:r>
      <w:r>
        <w:t xml:space="preserve"> </w:t>
      </w:r>
      <w:r>
        <w:t xml:space="preserve">A Shure SM10A dynamic head-mounted microphone with a Sound Devices MM-1 microphone pre-amplifier captured the acoustic signal and it was saved to a Marantz PMD660 digital speech recorder.</w:t>
      </w:r>
      <w:r>
        <w:t xml:space="preserve"> </w:t>
      </w:r>
      <w:r>
        <w:t xml:space="preserve">The signal was digitized at 44.1 kHz and 16-bit quantization.</w:t>
      </w:r>
    </w:p>
    <w:bookmarkEnd w:id="23"/>
    <w:bookmarkStart w:id="24" w:name="bilabial-data-set"/>
    <w:p>
      <w:pPr>
        <w:pStyle w:val="Heading3"/>
      </w:pPr>
      <w:r>
        <w:t xml:space="preserve">Bilabial data set</w:t>
      </w:r>
    </w:p>
    <w:p>
      <w:pPr>
        <w:pStyle w:val="FirstParagraph"/>
      </w:pPr>
      <w:r>
        <w:t xml:space="preserve">INCLUDE INFO FROM ALDRICH’s STUDY</w:t>
      </w:r>
    </w:p>
    <w:bookmarkEnd w:id="24"/>
    <w:bookmarkEnd w:id="25"/>
    <w:bookmarkStart w:id="26" w:name="metrics"/>
    <w:p>
      <w:pPr>
        <w:pStyle w:val="Heading2"/>
      </w:pPr>
      <w:r>
        <w:t xml:space="preserve">Metrics</w:t>
      </w:r>
    </w:p>
    <w:p>
      <w:pPr>
        <w:pStyle w:val="FirstParagraph"/>
      </w:pPr>
      <w:r>
        <w:t xml:space="preserve">The audio files were low-pass filtered at 11.025 kHz.</w:t>
      </w:r>
      <w:r>
        <w:t xml:space="preserve"> </w:t>
      </w:r>
      <w:r>
        <w:t xml:space="preserve">Synchronized waveform and spectrographic displays were used to mark the onset of modal voicing and of the stop burst, as well as the offset of the first vowel.</w:t>
      </w:r>
      <w:r>
        <w:t xml:space="preserve"> </w:t>
      </w:r>
      <w:r>
        <w:t xml:space="preserve">The onset of voicing was operationalized as the upwards zero-crossing of the first periodic pattern in the oscillogram and the offset of the vowel was marked at the downwards zero-crossing of the final periodic pattern.</w:t>
      </w:r>
      <w:r>
        <w:t xml:space="preserve"> </w:t>
      </w:r>
      <w:r>
        <w:t xml:space="preserve">VOT was calculated as the difference (in ms) between the onset of modal voicing and the onset of the burst.</w:t>
      </w:r>
      <w:r>
        <w:t xml:space="preserve"> </w:t>
      </w:r>
      <w:r>
        <w:t xml:space="preserve">Spectral moment measures were calculated from a 6 ms window beginning at the onset of the burst.</w:t>
      </w:r>
      <w:r>
        <w:t xml:space="preserve"> </w:t>
      </w:r>
      <w:r>
        <w:t xml:space="preserve">Specifically, we extracted relative center of gravity, standard deviation, skewness, kurtosis, as well as F1 and F2 of the following vowel and relative intensity.</w:t>
      </w:r>
    </w:p>
    <w:bookmarkEnd w:id="26"/>
    <w:bookmarkStart w:id="27" w:name="procedure"/>
    <w:p>
      <w:pPr>
        <w:pStyle w:val="Heading2"/>
      </w:pPr>
      <w:r>
        <w:t xml:space="preserve">Procedure</w:t>
      </w:r>
    </w:p>
    <w:p>
      <w:pPr>
        <w:pStyle w:val="FirstParagraph"/>
      </w:pPr>
      <w:r>
        <w:t xml:space="preserve">I DONT HAVE THIS INFO. NEED FOR BOTH DATA SETS</w:t>
      </w:r>
    </w:p>
    <w:bookmarkEnd w:id="27"/>
    <w:bookmarkStart w:id="29" w:name="statistical-analyses"/>
    <w:p>
      <w:pPr>
        <w:pStyle w:val="Heading2"/>
      </w:pPr>
      <w:r>
        <w:t xml:space="preserve">Statistical analyses</w:t>
      </w:r>
    </w:p>
    <w:p>
      <w:pPr>
        <w:pStyle w:val="FirstParagraph"/>
      </w:pPr>
      <w:r>
        <w:t xml:space="preserve">All analyses were conducted in</w:t>
      </w:r>
      <w:r>
        <w:t xml:space="preserve"> </w:t>
      </w:r>
      <w:r>
        <w:rPr>
          <w:rStyle w:val="VerbatimChar"/>
        </w:rPr>
        <w:t xml:space="preserve">R</w:t>
      </w:r>
      <w:r>
        <w:t xml:space="preserve"> </w:t>
      </w:r>
      <w:r>
        <w:t xml:space="preserve">(R Core Team, 2019, version 4.2.1)</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Bürkner, 2018, version 2.17.0)</w:t>
      </w:r>
      <w:r>
        <w:t xml:space="preserve">.</w:t>
      </w:r>
      <w:r>
        <w:rPr>
          <w:rStyle w:val="FootnoteReference"/>
        </w:rPr>
        <w:footnoteReference w:id="28"/>
      </w:r>
      <w:r>
        <w:t xml:space="preserve"> </w:t>
      </w:r>
      <w:r>
        <w:t xml:space="preserve">For all models, the criterion was standardized, or converted to z-scores, in order to facilitate comparability between metrics.</w:t>
      </w:r>
      <w:r>
        <w:t xml:space="preserve"> </w:t>
      </w:r>
      <w:r>
        <w:t xml:space="preserve">Continuous predictors were also standardized and categorical predictors were sum-to-zero coded.</w:t>
      </w:r>
      <w:r>
        <w:t xml:space="preserve"> </w:t>
      </w:r>
      <w:r>
        <w:t xml:space="preserve">Thus for all models the intercept represents the outcome variable at the grand mean in standardized units.</w:t>
      </w:r>
      <w:r>
        <w:t xml:space="preserve"> </w:t>
      </w:r>
      <w:r>
        <w:t xml:space="preserve">We used regularizing, weakly informative priors in all models (specifics below) with 4,000 iterations (2,000 warm-up) running on 16 processing cores.</w:t>
      </w:r>
      <w:r>
        <w:t xml:space="preserve"> </w:t>
      </w:r>
      <w:r>
        <w:t xml:space="preserve">We quantify our uncertainty regarding a given effect by reporting point estimates derived from the posterior predictive distribution, including the 95% Highest Density Credible Intervals (HDI).</w:t>
      </w:r>
      <w:r>
        <w:t xml:space="preserve"> </w:t>
      </w:r>
      <w:r>
        <w:t xml:space="preserve">Additionally, we assume a negligible effect size of ±0.1</w:t>
      </w:r>
      <w:r>
        <w:t xml:space="preserve"> </w:t>
      </w:r>
      <w:r>
        <w:t xml:space="preserve">(Cohen, 1988, 2013; Kruschke, 2018)</w:t>
      </w:r>
      <w:r>
        <w:t xml:space="preserve"> </w:t>
      </w:r>
      <w:r>
        <w:t xml:space="preserve">in order to establish a Region of Practical Equivalence (ROPE), for which we assess the proportion of the HDI that falls within this interval.</w:t>
      </w:r>
      <w:r>
        <w:t xml:space="preserve"> </w:t>
      </w:r>
      <w:r>
        <w:t xml:space="preserve">Finally, we report the Maximum Probability of Effect (MPE), or the Probability of Direction, as the proportion of the posterior distribution that is of the median’s sign (See Appendix E of the supplementary materials for additional information).</w:t>
      </w:r>
    </w:p>
    <w:bookmarkEnd w:id="29"/>
    <w:bookmarkEnd w:id="30"/>
    <w:bookmarkStart w:id="66" w:name="results"/>
    <w:p>
      <w:pPr>
        <w:pStyle w:val="Heading1"/>
      </w:pPr>
      <w:r>
        <w:t xml:space="preserve">Results</w:t>
      </w:r>
    </w:p>
    <w:p>
      <w:pPr>
        <w:pStyle w:val="FirstParagraph"/>
      </w:pPr>
      <w:r>
        <w:t xml:space="preserve">The results are divided into 3 subsections dealing with (1) monolingual data, (2) bilingual data, and (3) POA data.</w:t>
      </w:r>
      <w:r>
        <w:t xml:space="preserve"> </w:t>
      </w:r>
      <w:r>
        <w:t xml:space="preserve">Each subsection presents the results of 6 metrics: VOT, relative intensity, center of gravity, kurtosis, standard deviation, and skewness.</w:t>
      </w:r>
      <w:r>
        <w:t xml:space="preserve"> </w:t>
      </w:r>
      <w:r>
        <w:t xml:space="preserve">Complete model summaries are available in the supplementary materials.</w:t>
      </w:r>
    </w:p>
    <w:bookmarkStart w:id="39" w:name="experiment-1-monolinguals"/>
    <w:p>
      <w:pPr>
        <w:pStyle w:val="Heading2"/>
      </w:pPr>
      <w:r>
        <w:t xml:space="preserve">Experiment 1: Monolinguals</w:t>
      </w:r>
    </w:p>
    <w:p>
      <w:pPr>
        <w:pStyle w:val="FirstParagraph"/>
      </w:pPr>
      <w:r>
        <w:t xml:space="preserve">We modeled VOT and the burst metrics of the coronal data as a function of language (English, Spanish), voicing (/d/, /t/), standardized F1 and F2, and item repetitions.</w:t>
      </w:r>
      <w:r>
        <w:t xml:space="preserve"> </w:t>
      </w:r>
      <w:r>
        <w:t xml:space="preserve">The model used regularizing, weakly informative priors</w:t>
      </w:r>
      <w:r>
        <w:t xml:space="preserve"> </w:t>
      </w:r>
      <w:r>
        <w:t xml:space="preserve">(Gelman, Simpson, &amp; Betancourt, 2017; Vasishth et al., 2018)</w:t>
      </w:r>
      <w:r>
        <w:t xml:space="preserve">.</w:t>
      </w:r>
      <w:r>
        <w:t xml:space="preserve"> </w:t>
      </w:r>
      <w:r>
        <w:t xml:space="preserve">Specifically, all parameters were assumed to be distributed as normal with a standard deviation of 5, i.e.,</w:t>
      </w:r>
      <w:r>
        <w:t xml:space="preserve"> </w:t>
      </w:r>
      <m:oMath>
        <m:r>
          <m:t>N</m:t>
        </m:r>
        <m:r>
          <m:t>o</m:t>
        </m:r>
        <m:r>
          <m:t>r</m:t>
        </m:r>
        <m:r>
          <m:t>m</m:t>
        </m:r>
        <m:r>
          <m:t>a</m:t>
        </m:r>
        <m:r>
          <m:t>l</m:t>
        </m:r>
        <m:r>
          <m:rPr>
            <m:sty m:val="p"/>
          </m:rPr>
          <m:t>(</m:t>
        </m:r>
        <m:r>
          <m:t>μ</m:t>
        </m:r>
        <m:r>
          <m:rPr>
            <m:sty m:val="p"/>
          </m:rPr>
          <m:t>=</m:t>
        </m:r>
        <m:r>
          <m:t>0</m:t>
        </m:r>
      </m:oMath>
      <w:r>
        <w:t xml:space="preserve">,</w:t>
      </w:r>
      <w:r>
        <w:t xml:space="preserve"> </w:t>
      </w:r>
      <m:oMath>
        <m:r>
          <m:t>σ</m:t>
        </m:r>
        <m:r>
          <m:rPr>
            <m:sty m:val="p"/>
          </m:rPr>
          <m:t>=</m:t>
        </m:r>
        <m:r>
          <m:t>5</m:t>
        </m:r>
        <m:r>
          <m:rPr>
            <m:sty m:val="p"/>
          </m:rPr>
          <m:t>)</m:t>
        </m:r>
      </m:oMath>
      <w:r>
        <w:t xml:space="preserve">.</w:t>
      </w:r>
      <w:r>
        <w:t xml:space="preserve"> </w:t>
      </w:r>
      <w:r>
        <w:t xml:space="preserve">The standard deviation parameters for random effects and the model residual error (sigma) were truncated to exclude negative values.</w:t>
      </w:r>
      <w:r>
        <w:t xml:space="preserve"> </w:t>
      </w:r>
      <w:hyperlink w:anchor="fig-monolinguals">
        <w:r>
          <w:rPr>
            <w:rStyle w:val="Hyperlink"/>
          </w:rPr>
          <w:t xml:space="preserve">Figure 1</w:t>
        </w:r>
      </w:hyperlink>
      <w:r>
        <w:t xml:space="preserve"> </w:t>
      </w:r>
      <w:r>
        <w:t xml:space="preserve">plots VOT and the burst metrics as a function of language (English, Spanish) and voicing (/d/, /t/).</w:t>
      </w:r>
      <w:r>
        <w:t xml:space="preserve"> </w:t>
      </w:r>
      <w:r>
        <w:t xml:space="preserve">For all plots the y-axis represents the outcome variable in standardized units.</w:t>
      </w:r>
      <w:r>
        <w:t xml:space="preserve"> </w:t>
      </w:r>
      <w:r>
        <w:t xml:space="preserve">The x-axis indicates the language and voiced/voiceless pairs are represented by color.</w:t>
      </w:r>
    </w:p>
    <w:tbl>
      <w:tblPr>
        <w:tblStyle w:val="Table"/>
        <w:tblW w:type="pct" w:w="5000"/>
        <w:tblLook w:firstRow="0" w:lastRow="0" w:firstColumn="0" w:lastColumn="0" w:noHBand="0" w:noVBand="0" w:val="0000"/>
      </w:tblPr>
      <w:tblGrid>
        <w:gridCol w:w="7920"/>
      </w:tblGrid>
      <w:tr>
        <w:tc>
          <w:tcPr/>
          <w:bookmarkStart w:id="34" w:name="fig-monolinguals"/>
          <w:p>
            <w:pPr>
              <w:pStyle w:val="Figure"/>
              <w:jc w:val="center"/>
            </w:pPr>
            <w:r>
              <w:drawing>
                <wp:inline>
                  <wp:extent cx="5943600" cy="3962400"/>
                  <wp:effectExtent b="0" l="0" r="0" t="0"/>
                  <wp:docPr descr="" title="" id="32" name="Picture"/>
                  <a:graphic>
                    <a:graphicData uri="http://schemas.openxmlformats.org/drawingml/2006/picture">
                      <pic:pic>
                        <pic:nvPicPr>
                          <pic:cNvPr descr="../../../figs/mono_all_metrics.pdf" id="33" name="Picture"/>
                          <pic:cNvPicPr>
                            <a:picLocks noChangeArrowheads="1" noChangeAspect="1"/>
                          </pic:cNvPicPr>
                        </pic:nvPicPr>
                        <pic:blipFill>
                          <a:blip r:embed="rId31"/>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VOT and burst metrics of coronal stops (/d/, /t/) from monolingual speakers as a function of language (English, Spanish). Transparent points represent participant averages. Solid points indicate posterior means and 95% and 66% credible intervals.</w:t>
            </w:r>
          </w:p>
          <w:bookmarkEnd w:id="34"/>
        </w:tc>
      </w:tr>
    </w:tbl>
    <w:p>
      <w:pPr>
        <w:pStyle w:val="BodyText"/>
      </w:pPr>
      <w:r>
        <w:rPr>
          <w:bCs/>
          <w:b/>
        </w:rPr>
        <w:t xml:space="preserve">Voice-onset time.</w:t>
      </w:r>
      <w:r>
        <w:t xml:space="preserve"> </w:t>
      </w:r>
      <w:r>
        <w:t xml:space="preserve">English stops had higher VOT than Spanish stops (β = 0.660, HDI = [0.556, 0.763], ROPE = 0, MPE = 1) and the voiceless segments had higher VOT than the voiced segments (β = −0.617, HDI = [−0.697, −0.544], ROPE = 0, MPE = 1).</w:t>
      </w:r>
      <w:r>
        <w:t xml:space="preserve"> </w:t>
      </w:r>
      <w:r>
        <w:t xml:space="preserve">We also find moderate evidence for an interaction between the two predictors (β = 0.108, HDI = [0.033, 0.180], ROPE = 0.406, MPE = 0.995).</w:t>
      </w:r>
      <w:r>
        <w:t xml:space="preserve"> </w:t>
      </w:r>
      <w:r>
        <w:t xml:space="preserve">Specifically, the voicing difference between Spanish coronals was slightly larger than that of the English coronals.</w:t>
      </w:r>
      <w:r>
        <w:t xml:space="preserve"> </w:t>
      </w:r>
      <w:r>
        <w:t xml:space="preserve">VOT did not vary as a function of the formant frequencies of the following vowel (F1: β = −0.010, HDI = [−0.041, 0.020], ROPE = 1, MPE = 0.752; F2: β = 0.010, HDI = [−0.023, 0.042], ROPE = 1, MPE = 0.73).</w:t>
      </w:r>
      <w:r>
        <w:t xml:space="preserve"> </w:t>
      </w:r>
      <w:r>
        <w:t xml:space="preserve">We also compared the short-lag stops of each language, English /d/ and Spanish /t/, and found no evidence that the segments differed from each other (β = 0.085, HDI = [−0.181, 0.335], ROPE = 0.489, MPE = 0.745), as nearly half the HDI fell within the predetermined region of practical equivalence.</w:t>
      </w:r>
      <w:r>
        <w:t xml:space="preserve"> </w:t>
      </w:r>
      <w:r>
        <w:t xml:space="preserve">The VOT data is plotted in the first panel of</w:t>
      </w:r>
      <w:r>
        <w:t xml:space="preserve"> </w:t>
      </w:r>
      <w:hyperlink w:anchor="fig-monolinguals">
        <w:r>
          <w:rPr>
            <w:rStyle w:val="Hyperlink"/>
          </w:rPr>
          <w:t xml:space="preserve">Figure 1</w:t>
        </w:r>
      </w:hyperlink>
      <w:r>
        <w:t xml:space="preserve">.</w:t>
      </w:r>
      <w:r>
        <w:t xml:space="preserve"> </w:t>
      </w:r>
      <w:r>
        <w:t xml:space="preserve">The complete model summary and the short-lag stop comparison are available in</w:t>
      </w:r>
      <w:r>
        <w:t xml:space="preserve"> </w:t>
      </w:r>
      <w:hyperlink w:anchor="tbl-mono">
        <w:r>
          <w:rPr>
            <w:rStyle w:val="Hyperlink"/>
          </w:rPr>
          <w:t xml:space="preserve">Table 2</w:t>
        </w:r>
      </w:hyperlink>
      <w:r>
        <w:t xml:space="preserve"> </w:t>
      </w:r>
      <w:r>
        <w:t xml:space="preserve">and</w:t>
      </w:r>
      <w:r>
        <w:t xml:space="preserve"> </w:t>
      </w:r>
      <w:hyperlink w:anchor="tbl-mono-post-hoc-sl-between">
        <w:r>
          <w:rPr>
            <w:rStyle w:val="Hyperlink"/>
          </w:rPr>
          <w:t xml:space="preserve">Table 3</w:t>
        </w:r>
      </w:hyperlink>
      <w:r>
        <w:t xml:space="preserve">, respectively, in the supplementary materials.</w:t>
      </w:r>
    </w:p>
    <w:p>
      <w:pPr>
        <w:pStyle w:val="BodyText"/>
      </w:pPr>
      <w:r>
        <w:rPr>
          <w:bCs/>
          <w:b/>
        </w:rPr>
        <w:t xml:space="preserve">Relative intensity.</w:t>
      </w:r>
      <w:r>
        <w:t xml:space="preserve"> </w:t>
      </w:r>
      <w:r>
        <w:t xml:space="preserve">The relative intensity data is plotted in the top middle panel of</w:t>
      </w:r>
      <w:r>
        <w:t xml:space="preserve"> </w:t>
      </w:r>
      <w:hyperlink w:anchor="fig-monolinguals">
        <w:r>
          <w:rPr>
            <w:rStyle w:val="Hyperlink"/>
          </w:rPr>
          <w:t xml:space="preserve">Figure 1</w:t>
        </w:r>
      </w:hyperlink>
      <w:r>
        <w:t xml:space="preserve">.</w:t>
      </w:r>
      <w:r>
        <w:t xml:space="preserve"> </w:t>
      </w:r>
      <w:r>
        <w:t xml:space="preserve">English and Spanish stops differed little with regard to relative intensity.</w:t>
      </w:r>
      <w:r>
        <w:t xml:space="preserve"> </w:t>
      </w:r>
      <w:r>
        <w:t xml:space="preserve">The model provided no compelling evidence for a group effect (β = 0.026, HDI = [−0.171, 0.246], ROPE = 0.666, MPE = 0.602), nor for voicing (β = −0.060, HDI = [−0.192, 0.055], ROPE = 0.742, MPE = 0.83) or F2 effects (β = −0.080, HDI = [−0.177, 0.015], ROPE = 0.676, MPE = 0.948).</w:t>
      </w:r>
      <w:r>
        <w:t xml:space="preserve"> </w:t>
      </w:r>
      <w:r>
        <w:t xml:space="preserve">The height of the following vowel did appear to modulate relative intensity of the burst to some degree (β = −0.172, HDI = [−0.252, −0.085], ROPE = 0.026, MPE = 1), such that higher F1 values were associated with lower relative intensity.</w:t>
      </w:r>
      <w:r>
        <w:t xml:space="preserve"> </w:t>
      </w:r>
      <w:r>
        <w:t xml:space="preserve">That being said, approximately 2.6% of the HDI fell within the region of practical equivalence.</w:t>
      </w:r>
      <w:r>
        <w:t xml:space="preserve"> </w:t>
      </w:r>
      <w:r>
        <w:t xml:space="preserve">There was no evidence supporting a language × voicing interaction (β = 0.025, HDI = [−0.094, 0.157], ROPE = 0.906, MPE = 0.657).</w:t>
      </w:r>
      <w:r>
        <w:t xml:space="preserve"> </w:t>
      </w:r>
      <w:r>
        <w:t xml:space="preserve">Finally, the short-lag stop comparison of Spanish /t/ and English /d/ provided no evidence suggesting the segments differed from each other (β = −0.069, HDI = [−0.546, 0.431], ROPE = 0.326, MPE = 0.608).</w:t>
      </w:r>
    </w:p>
    <w:p>
      <w:pPr>
        <w:pStyle w:val="BodyText"/>
      </w:pPr>
      <w:r>
        <w:rPr>
          <w:bCs/>
          <w:b/>
        </w:rPr>
        <w:t xml:space="preserve">Center of gravity.</w:t>
      </w:r>
      <w:r>
        <w:t xml:space="preserve"> </w:t>
      </w:r>
      <w:r>
        <w:t xml:space="preserve">The center of gravity (COG) data is plotted in the first row, third panel of</w:t>
      </w:r>
      <w:r>
        <w:t xml:space="preserve"> </w:t>
      </w:r>
      <w:hyperlink w:anchor="fig-monolinguals">
        <w:r>
          <w:rPr>
            <w:rStyle w:val="Hyperlink"/>
          </w:rPr>
          <w:t xml:space="preserve">Figure 1</w:t>
        </w:r>
      </w:hyperlink>
      <w:r>
        <w:t xml:space="preserve">.</w:t>
      </w:r>
      <w:r>
        <w:t xml:space="preserve"> </w:t>
      </w:r>
      <w:r>
        <w:t xml:space="preserve">English stops had a higher COG than Spanish stops (β = 0.687, HDI = [0.555, 0.810], ROPE = 0, MPE = 1), and, overall, voiceless segments had a higher COG than the voiced segments (β = −0.298, HDI = [−0.354, −0.244], ROPE = 0, MPE = 1), however, the two predictors interacted (β = 0.214, HDI = [0.157, 0.266], ROPE = 0, MPE = 1).</w:t>
      </w:r>
      <w:r>
        <w:t xml:space="preserve"> </w:t>
      </w:r>
      <w:r>
        <w:t xml:space="preserve">The interaction was driven by a large COG difference between Spanish coronals (Spanish /d/ vs. Spanish /t/: β = −1.024, HDI = [−1.184, −0.868], ROPE = 0, MPE = 1) that was not present in the English coronals (English /d/ vs. English /t/: β = −0.169, HDI = [−0.327, −0.012], ROPE = 0.171, MPE = 0.983)).</w:t>
      </w:r>
      <w:r>
        <w:t xml:space="preserve"> </w:t>
      </w:r>
      <w:r>
        <w:t xml:space="preserve">No other predictors had an effect on COG.</w:t>
      </w:r>
      <w:r>
        <w:t xml:space="preserve"> </w:t>
      </w:r>
      <w:r>
        <w:t xml:space="preserve">The post-hoc comparison of the short-lag stops from English and Spanish provided compelling evidence for a between-language difference (β = 0.778, HDI = [0.496, 1.048], ROPE = 0, MPE = 1).</w:t>
      </w:r>
      <w:r>
        <w:t xml:space="preserve"> </w:t>
      </w:r>
      <w:hyperlink w:anchor="fig-monolinguals-ph-sl-sm">
        <w:r>
          <w:rPr>
            <w:rStyle w:val="Hyperlink"/>
          </w:rPr>
          <w:t xml:space="preserve">Figure 12</w:t>
        </w:r>
      </w:hyperlink>
      <w:r>
        <w:t xml:space="preserve"> </w:t>
      </w:r>
      <w:r>
        <w:t xml:space="preserve">and</w:t>
      </w:r>
      <w:r>
        <w:t xml:space="preserve"> </w:t>
      </w:r>
      <w:hyperlink w:anchor="tbl-mono-post-hoc-sl-between">
        <w:r>
          <w:rPr>
            <w:rStyle w:val="Hyperlink"/>
          </w:rPr>
          <w:t xml:space="preserve">Table 3</w:t>
        </w:r>
      </w:hyperlink>
      <w:r>
        <w:t xml:space="preserve"> </w:t>
      </w:r>
      <w:r>
        <w:t xml:space="preserve">provide the complete analysis.</w:t>
      </w:r>
    </w:p>
    <w:p>
      <w:pPr>
        <w:pStyle w:val="BodyText"/>
      </w:pPr>
      <w:r>
        <w:rPr>
          <w:bCs/>
          <w:b/>
        </w:rPr>
        <w:t xml:space="preserve">Kurtosis.</w:t>
      </w:r>
      <w:r>
        <w:t xml:space="preserve"> </w:t>
      </w:r>
      <w:r>
        <w:t xml:space="preserve">The kurtosis data is plotted in the second row, first column of</w:t>
      </w:r>
      <w:r>
        <w:t xml:space="preserve"> </w:t>
      </w:r>
      <w:hyperlink w:anchor="fig-monolinguals">
        <w:r>
          <w:rPr>
            <w:rStyle w:val="Hyperlink"/>
          </w:rPr>
          <w:t xml:space="preserve">Figure 1</w:t>
        </w:r>
      </w:hyperlink>
      <w:r>
        <w:t xml:space="preserve">.</w:t>
      </w:r>
      <w:r>
        <w:t xml:space="preserve"> </w:t>
      </w:r>
      <w:r>
        <w:t xml:space="preserve">English stop bursts had lower kurtosis with regard to Spanish stop bursts (β = −0.646, HDI = [−0.755, −0.542], ROPE = 0, MPE = 1), and the voiced segments presumably had a higher kurtosis than the voiceless segments (β = 0.290, HDI = [0.221, 0.361], ROPE = 0, MPE = 1), though there was evidence of a language × voicing interaction (β = −0.263, HDI = [−0.332, −0.195], ROPE = 0, MPE = 1).</w:t>
      </w:r>
      <w:r>
        <w:t xml:space="preserve"> </w:t>
      </w:r>
      <w:r>
        <w:t xml:space="preserve">Specifically, kurtosis was higher in the voiced stop bursts of Spanish (Spanish /d/ vs. Spanish /t/: β = 1.106, HDI = [0.905, 1.292], ROPE = 0, MPE = 1), but there was no evidence of a voicing difference in the English data (English /d/ vs. English /t/: β = 0.054, HDI = [−0.149, 0.247], ROPE = 0.659, MPE = 0.712).</w:t>
      </w:r>
      <w:r>
        <w:t xml:space="preserve"> </w:t>
      </w:r>
      <w:r>
        <w:t xml:space="preserve">Neither F1 (β = −0.027, HDI = [−0.067, 0.015], ROPE = 1, MPE = 0.903) nor F2 (β = 0.001, HDI = [−0.038, 0.043], ROPE = 1, MPE = 0.509) had any influence on kurtosis.</w:t>
      </w:r>
      <w:r>
        <w:t xml:space="preserve"> </w:t>
      </w:r>
      <w:r>
        <w:t xml:space="preserve">The post-hoc comparison of short-lag stops provided compelling evidence for a between-language difference (β = −0.713, HDI = [−0.969, −0.456], ROPE = 0, MPE = 1).</w:t>
      </w:r>
      <w:r>
        <w:t xml:space="preserve"> </w:t>
      </w:r>
      <w:r>
        <w:t xml:space="preserve">See</w:t>
      </w:r>
      <w:r>
        <w:t xml:space="preserve"> </w:t>
      </w:r>
      <w:hyperlink w:anchor="fig-monolinguals-ph-sl-sm">
        <w:r>
          <w:rPr>
            <w:rStyle w:val="Hyperlink"/>
          </w:rPr>
          <w:t xml:space="preserve">Figure 12</w:t>
        </w:r>
      </w:hyperlink>
      <w:r>
        <w:t xml:space="preserve"> </w:t>
      </w:r>
      <w:r>
        <w:t xml:space="preserve">and</w:t>
      </w:r>
      <w:r>
        <w:t xml:space="preserve"> </w:t>
      </w:r>
      <w:hyperlink w:anchor="tbl-mono-post-hoc-sl-between">
        <w:r>
          <w:rPr>
            <w:rStyle w:val="Hyperlink"/>
          </w:rPr>
          <w:t xml:space="preserve">Table 3</w:t>
        </w:r>
      </w:hyperlink>
      <w:r>
        <w:t xml:space="preserve"> </w:t>
      </w:r>
      <w:r>
        <w:t xml:space="preserve">of the supplementary materials.</w:t>
      </w:r>
    </w:p>
    <w:p>
      <w:pPr>
        <w:pStyle w:val="BodyText"/>
      </w:pPr>
      <w:r>
        <w:rPr>
          <w:bCs/>
          <w:b/>
        </w:rPr>
        <w:t xml:space="preserve">Standard deviation.</w:t>
      </w:r>
      <w:r>
        <w:t xml:space="preserve"> </w:t>
      </w:r>
      <w:r>
        <w:t xml:space="preserve">With regard to standard deviation, we observe the same pattern found in the COG data (See third panel, first row and second panel, second row in</w:t>
      </w:r>
      <w:r>
        <w:t xml:space="preserve"> </w:t>
      </w:r>
      <w:hyperlink w:anchor="fig-monolinguals">
        <w:r>
          <w:rPr>
            <w:rStyle w:val="Hyperlink"/>
          </w:rPr>
          <w:t xml:space="preserve">Figure 1</w:t>
        </w:r>
      </w:hyperlink>
      <w:r>
        <w:t xml:space="preserve">).</w:t>
      </w:r>
      <w:r>
        <w:t xml:space="preserve"> </w:t>
      </w:r>
      <w:r>
        <w:t xml:space="preserve">That is, there was a difference between English and Spanish (β = 0.490, HDI = [0.343, 0.648], ROPE = 0, MPE = 1), as well as between voiced and voiceless segments (β = −0.282, HDI = [−0.355, −0.204], ROPE = 0, MPE = 1), though, again, the two predictors interacted (β = 0.210, HDI = [0.141, 0.293], ROPE = 0, MPE = 1).</w:t>
      </w:r>
      <w:r>
        <w:t xml:space="preserve"> </w:t>
      </w:r>
      <w:r>
        <w:t xml:space="preserve">Specifically, there was only a voicing difference for Spanish (Spanish /d/ vs. Spanish /t/: β = −0.985, HDI = [−1.193, −0.772], ROPE = 0, MPE = 1), where we see lower standard deviation values in voiced stops.</w:t>
      </w:r>
      <w:r>
        <w:t xml:space="preserve"> </w:t>
      </w:r>
      <w:r>
        <w:t xml:space="preserve">No such difference is observed between the English coronals (English /d/ vs. English /t/: β = −0.143, HDI = [−0.365, 0.066], ROPE = 0.338, MPE = 0.91).</w:t>
      </w:r>
      <w:r>
        <w:t xml:space="preserve"> </w:t>
      </w:r>
      <w:r>
        <w:t xml:space="preserve">Height and frontedness of the following vowel had no effect on standard deviation in the stop burst (F1: β = −0.001, HDI = [−0.051, 0.051], ROPE = 1, MPE = 0.509; F2: β = 0.007, HDI = [−0.044, 0.061], ROPE = 1, MPE = 0.595).</w:t>
      </w:r>
      <w:r>
        <w:t xml:space="preserve"> </w:t>
      </w:r>
      <w:r>
        <w:t xml:space="preserve">Our comparison of Spanish /t/ and English /d/ showed that the short-lag stops differed in kurtosis to some degree (β = 0.417, HDI = [0.075, 0.753], ROPE = 0.011, MPE = 0.994), with only 1% of the HDI falling within our pre-determined ROPE (See</w:t>
      </w:r>
      <w:r>
        <w:t xml:space="preserve"> </w:t>
      </w:r>
      <w:hyperlink w:anchor="fig-monolinguals-ph-sl-sm">
        <w:r>
          <w:rPr>
            <w:rStyle w:val="Hyperlink"/>
          </w:rPr>
          <w:t xml:space="preserve">Figure 12</w:t>
        </w:r>
      </w:hyperlink>
      <w:r>
        <w:t xml:space="preserve"> </w:t>
      </w:r>
      <w:r>
        <w:t xml:space="preserve">and</w:t>
      </w:r>
      <w:r>
        <w:t xml:space="preserve"> </w:t>
      </w:r>
      <w:hyperlink w:anchor="tbl-mono-post-hoc-sl-between">
        <w:r>
          <w:rPr>
            <w:rStyle w:val="Hyperlink"/>
          </w:rPr>
          <w:t xml:space="preserve">Table 3</w:t>
        </w:r>
      </w:hyperlink>
      <w:r>
        <w:t xml:space="preserve">).</w:t>
      </w:r>
    </w:p>
    <w:p>
      <w:pPr>
        <w:pStyle w:val="BodyText"/>
      </w:pPr>
      <w:r>
        <w:rPr>
          <w:bCs/>
          <w:b/>
        </w:rPr>
        <w:t xml:space="preserve">Skewness.</w:t>
      </w:r>
      <w:r>
        <w:t xml:space="preserve"> </w:t>
      </w:r>
      <w:r>
        <w:t xml:space="preserve">The analysis of skewness of the stop burst showed a similar pattern as the one observed in the analysis of kurtosis.</w:t>
      </w:r>
      <w:r>
        <w:t xml:space="preserve"> </w:t>
      </w:r>
      <w:r>
        <w:t xml:space="preserve">If we compare the first and third panels (second row) of</w:t>
      </w:r>
      <w:r>
        <w:t xml:space="preserve"> </w:t>
      </w:r>
      <w:hyperlink w:anchor="fig-monolinguals">
        <w:r>
          <w:rPr>
            <w:rStyle w:val="Hyperlink"/>
          </w:rPr>
          <w:t xml:space="preserve">Figure 1</w:t>
        </w:r>
      </w:hyperlink>
      <w:r>
        <w:t xml:space="preserve">, we observe a language effect (β = −0.665, HDI = [−0.774, −0.561], ROPE = 0, MPE = 1), such that Spanish stops show higher skewness values, as well a voicing effect (β = 0.290, HDI = [0.222, 0.362], ROPE = 0, MPE = 1), which is driven by a language × voicing interaction (β = −0.221, HDI = [−0.292, −0.155], ROPE = 0, MPE = 1).</w:t>
      </w:r>
      <w:r>
        <w:t xml:space="preserve"> </w:t>
      </w:r>
      <w:r>
        <w:t xml:space="preserve">Specifically, the Spanish voiced coronal had higher skewness of the burst than the voiceless counterpart (Spanish /d/ vs. Spanish /t/: β = 1.023, HDI = [0.827, 1.214], ROPE = 0, MPE = 1), and this difference is not present in the English data (English /d/ vs. English /t/: β = 0.139, HDI = [−0.049, 0.34], ROPE = 0.343, MPE = 0.92).</w:t>
      </w:r>
      <w:r>
        <w:t xml:space="preserve"> </w:t>
      </w:r>
      <w:r>
        <w:t xml:space="preserve">Again, F1 and F2 did not affect skewness values in the burst (F1: β = −0.016, HDI = [−0.058, 0.022], ROPE = 1, MPE = 0.771; F2: β = −0.011, HDI = [−0.051, 0.030], ROPE = 1, MPE = 0.708).</w:t>
      </w:r>
      <w:r>
        <w:t xml:space="preserve"> </w:t>
      </w:r>
      <w:r>
        <w:t xml:space="preserve">Upon comparing the short-lag stops from English and Spanish, we find compelling evidence for a between-language difference (β = −0.748, HDI = [−0.995, −0.484], ROPE = 0, MPE = 1).</w:t>
      </w:r>
    </w:p>
    <w:p>
      <w:pPr>
        <w:pStyle w:val="BodyText"/>
      </w:pPr>
      <w:r>
        <w:rPr>
          <w:bCs/>
          <w:b/>
        </w:rPr>
        <w:t xml:space="preserve">Interim discussion.</w:t>
      </w:r>
    </w:p>
    <w:tbl>
      <w:tblPr>
        <w:tblStyle w:val="Table"/>
        <w:tblW w:type="pct" w:w="5000"/>
        <w:tblLook w:firstRow="0" w:lastRow="0" w:firstColumn="0" w:lastColumn="0" w:noHBand="0" w:noVBand="0" w:val="0000"/>
      </w:tblPr>
      <w:tblGrid>
        <w:gridCol w:w="7920"/>
      </w:tblGrid>
      <w:tr>
        <w:tc>
          <w:tcPr/>
          <w:bookmarkStart w:id="38" w:name="fig-monolinguals-summary"/>
          <w:p>
            <w:pPr>
              <w:pStyle w:val="Figure"/>
              <w:jc w:val="center"/>
            </w:pPr>
            <w:r>
              <w:drawing>
                <wp:inline>
                  <wp:extent cx="5943600" cy="3760611"/>
                  <wp:effectExtent b="0" l="0" r="0" t="0"/>
                  <wp:docPr descr="" title="" id="36" name="Picture"/>
                  <a:graphic>
                    <a:graphicData uri="http://schemas.openxmlformats.org/drawingml/2006/picture">
                      <pic:pic>
                        <pic:nvPicPr>
                          <pic:cNvPr descr="../../../figs/mono_summary.pdf" id="37" name="Picture"/>
                          <pic:cNvPicPr>
                            <a:picLocks noChangeArrowheads="1" noChangeAspect="1"/>
                          </pic:cNvPicPr>
                        </pic:nvPicPr>
                        <pic:blipFill>
                          <a:blip r:embed="rId35"/>
                          <a:stretch>
                            <a:fillRect/>
                          </a:stretch>
                        </pic:blipFill>
                        <pic:spPr bwMode="auto">
                          <a:xfrm>
                            <a:off x="0" y="0"/>
                            <a:ext cx="5943600" cy="37606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medians ±95% and 66% credible intervals for VOT and burst metrics of monolingual coronal stops. Individual point shapes and colors represent the six metrics analyzed. In this analysis,</w:t>
            </w:r>
            <w:r>
              <w:t xml:space="preserve"> </w:t>
            </w:r>
            <w:r>
              <w:t xml:space="preserve">‘</w:t>
            </w:r>
            <w:r>
              <w:t xml:space="preserve">language</w:t>
            </w:r>
            <w:r>
              <w:t xml:space="preserve">’</w:t>
            </w:r>
            <w:r>
              <w:t xml:space="preserve"> </w:t>
            </w:r>
            <w:r>
              <w:t xml:space="preserve">indicates between-language comparisons of different speakers.</w:t>
            </w:r>
          </w:p>
          <w:bookmarkEnd w:id="38"/>
        </w:tc>
      </w:tr>
    </w:tbl>
    <w:p>
      <w:pPr>
        <w:pStyle w:val="BodyText"/>
      </w:pPr>
      <w:r>
        <w:t xml:space="preserve">The analyses of the monolingual coronal stops are summarized in the forest plot in</w:t>
      </w:r>
      <w:r>
        <w:t xml:space="preserve"> </w:t>
      </w:r>
      <w:hyperlink w:anchor="fig-monolinguals-summary">
        <w:r>
          <w:rPr>
            <w:rStyle w:val="Hyperlink"/>
          </w:rPr>
          <w:t xml:space="preserve">Figure 2</w:t>
        </w:r>
      </w:hyperlink>
      <w:r>
        <w:t xml:space="preserve"> </w:t>
      </w:r>
      <w:r>
        <w:t xml:space="preserve">and</w:t>
      </w:r>
      <w:r>
        <w:t xml:space="preserve"> </w:t>
      </w:r>
      <w:hyperlink w:anchor="tbl-mono">
        <w:r>
          <w:rPr>
            <w:rStyle w:val="Hyperlink"/>
          </w:rPr>
          <w:t xml:space="preserve">Table 2</w:t>
        </w:r>
      </w:hyperlink>
      <w:r>
        <w:t xml:space="preserve"> </w:t>
      </w:r>
      <w:r>
        <w:t xml:space="preserve">of the supplementary materials.</w:t>
      </w:r>
      <w:r>
        <w:t xml:space="preserve"> </w:t>
      </w:r>
      <w:r>
        <w:t xml:space="preserve">Unsurprisingly, VOT was realized in a language-specific manner.</w:t>
      </w:r>
      <w:r>
        <w:t xml:space="preserve"> </w:t>
      </w:r>
      <w:r>
        <w:t xml:space="preserve">Spanish voiced and voiceless stops were produced with lead-VOT and short-lag VOT, respectively; English voiced and voiceless stops were produced with short-lag VOT and long-lag VOT, respectively.</w:t>
      </w:r>
      <w:r>
        <w:t xml:space="preserve"> </w:t>
      </w:r>
      <w:r>
        <w:t xml:space="preserve">Relative intensity did not distinguish between voicing contrasts in either language.</w:t>
      </w:r>
      <w:r>
        <w:t xml:space="preserve"> </w:t>
      </w:r>
      <w:r>
        <w:t xml:space="preserve">Spectral moments, on the other hand, were particularly useful for Spanish coronals.</w:t>
      </w:r>
      <w:r>
        <w:t xml:space="preserve"> </w:t>
      </w:r>
      <w:r>
        <w:t xml:space="preserve">As shown in</w:t>
      </w:r>
      <w:r>
        <w:t xml:space="preserve"> </w:t>
      </w:r>
      <w:hyperlink w:anchor="fig-monolinguals">
        <w:r>
          <w:rPr>
            <w:rStyle w:val="Hyperlink"/>
          </w:rPr>
          <w:t xml:space="preserve">Figure 1</w:t>
        </w:r>
      </w:hyperlink>
      <w:r>
        <w:t xml:space="preserve">, all metrics, with the exception of relative intensity, could be used to differentiate between Spanish voiced and voiceless segments (See also</w:t>
      </w:r>
      <w:r>
        <w:t xml:space="preserve"> </w:t>
      </w:r>
      <w:hyperlink w:anchor="fig-mono-post-hoc-wl-dt-sm">
        <w:r>
          <w:rPr>
            <w:rStyle w:val="Hyperlink"/>
          </w:rPr>
          <w:t xml:space="preserve">Figure 13</w:t>
        </w:r>
      </w:hyperlink>
      <w:r>
        <w:t xml:space="preserve"> </w:t>
      </w:r>
      <w:r>
        <w:t xml:space="preserve">and</w:t>
      </w:r>
      <w:r>
        <w:t xml:space="preserve"> </w:t>
      </w:r>
      <w:hyperlink w:anchor="tbl-mono-post-hoc-sm">
        <w:r>
          <w:rPr>
            <w:rStyle w:val="Hyperlink"/>
          </w:rPr>
          <w:t xml:space="preserve">Table 4</w:t>
        </w:r>
      </w:hyperlink>
      <w:r>
        <w:t xml:space="preserve"> </w:t>
      </w:r>
      <w:r>
        <w:t xml:space="preserve">of the supplementary materials).</w:t>
      </w:r>
      <w:r>
        <w:t xml:space="preserve"> </w:t>
      </w:r>
      <w:r>
        <w:t xml:space="preserve">Skewness and kurtosis patterned similarly, as did COG and standard deviation.</w:t>
      </w:r>
      <w:r>
        <w:t xml:space="preserve"> </w:t>
      </w:r>
      <w:r>
        <w:t xml:space="preserve">The spectral moments did not vary as a function of voicing for the English coronals.</w:t>
      </w:r>
      <w:r>
        <w:t xml:space="preserve"> </w:t>
      </w:r>
      <w:r>
        <w:t xml:space="preserve">We also found evidence for between-language differences with regard to the short-lag stops for all metrics except VOT and relative intensity (See</w:t>
      </w:r>
      <w:r>
        <w:t xml:space="preserve"> </w:t>
      </w:r>
      <w:hyperlink w:anchor="tbl-mono-post-hoc-sl-between">
        <w:r>
          <w:rPr>
            <w:rStyle w:val="Hyperlink"/>
          </w:rPr>
          <w:t xml:space="preserve">Table 3</w:t>
        </w:r>
      </w:hyperlink>
      <w:r>
        <w:t xml:space="preserve">).</w:t>
      </w:r>
    </w:p>
    <w:bookmarkEnd w:id="39"/>
    <w:bookmarkStart w:id="52" w:name="experiment-2-bilinguals"/>
    <w:p>
      <w:pPr>
        <w:pStyle w:val="Heading2"/>
      </w:pPr>
      <w:r>
        <w:t xml:space="preserve">Experiment 2: Bilinguals</w:t>
      </w:r>
    </w:p>
    <w:p>
      <w:pPr>
        <w:pStyle w:val="FirstParagraph"/>
      </w:pPr>
      <w:r>
        <w:t xml:space="preserve">For the analysis of the bilingual coronal data, we again modeled VOT and the burst metrics as a function of language (English, Spanish), voicing (/d/, /t/), standardized F1 and F2, and item repetitions.</w:t>
      </w:r>
      <w:r>
        <w:t xml:space="preserve"> </w:t>
      </w:r>
      <w:r>
        <w:t xml:space="preserve">In other words, we carried out the same analysis using data from bilingual individuals.</w:t>
      </w:r>
      <w:r>
        <w:t xml:space="preserve"> </w:t>
      </w:r>
      <w:r>
        <w:t xml:space="preserve">In this case, however, the fixed effect</w:t>
      </w:r>
      <w:r>
        <w:t xml:space="preserve"> </w:t>
      </w:r>
      <w:r>
        <w:rPr>
          <w:iCs/>
          <w:i/>
        </w:rPr>
        <w:t xml:space="preserve">language</w:t>
      </w:r>
      <w:r>
        <w:t xml:space="preserve"> </w:t>
      </w:r>
      <w:r>
        <w:t xml:space="preserve">is a within-participant factor.</w:t>
      </w:r>
      <w:r>
        <w:t xml:space="preserve"> </w:t>
      </w:r>
      <w:r>
        <w:t xml:space="preserve">That is, the bilinguals provided data from each of their two languages.</w:t>
      </w:r>
      <w:r>
        <w:t xml:space="preserve"> </w:t>
      </w:r>
      <w:hyperlink w:anchor="fig-bilinguals">
        <w:r>
          <w:rPr>
            <w:rStyle w:val="Hyperlink"/>
          </w:rPr>
          <w:t xml:space="preserve">Figure 3</w:t>
        </w:r>
      </w:hyperlink>
      <w:r>
        <w:t xml:space="preserve"> </w:t>
      </w:r>
      <w:r>
        <w:t xml:space="preserve">plots VOT and the burst metrics as a function of language (English, Spanish) and voicing (/d/, /t/).</w:t>
      </w:r>
      <w:r>
        <w:t xml:space="preserve"> </w:t>
      </w:r>
      <w:r>
        <w:t xml:space="preserve">For all plots, the y-axis represents the outcome variable in standardized units, the x-axis indicates the language, and voicing is represented by color.</w:t>
      </w:r>
    </w:p>
    <w:tbl>
      <w:tblPr>
        <w:tblStyle w:val="Table"/>
        <w:tblW w:type="pct" w:w="5000"/>
        <w:tblLook w:firstRow="0" w:lastRow="0" w:firstColumn="0" w:lastColumn="0" w:noHBand="0" w:noVBand="0" w:val="0000"/>
      </w:tblPr>
      <w:tblGrid>
        <w:gridCol w:w="7920"/>
      </w:tblGrid>
      <w:tr>
        <w:tc>
          <w:tcPr/>
          <w:bookmarkStart w:id="43" w:name="fig-bilinguals"/>
          <w:p>
            <w:pPr>
              <w:pStyle w:val="Figure"/>
              <w:jc w:val="center"/>
            </w:pPr>
            <w:r>
              <w:drawing>
                <wp:inline>
                  <wp:extent cx="5943600" cy="3962400"/>
                  <wp:effectExtent b="0" l="0" r="0" t="0"/>
                  <wp:docPr descr="" title="" id="41" name="Picture"/>
                  <a:graphic>
                    <a:graphicData uri="http://schemas.openxmlformats.org/drawingml/2006/picture">
                      <pic:pic>
                        <pic:nvPicPr>
                          <pic:cNvPr descr="../../../figs/bi_all_metrics.pdf" id="42" name="Picture"/>
                          <pic:cNvPicPr>
                            <a:picLocks noChangeArrowheads="1" noChangeAspect="1"/>
                          </pic:cNvPicPr>
                        </pic:nvPicPr>
                        <pic:blipFill>
                          <a:blip r:embed="rId40"/>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VOT and burst metrics of coronal stops (/d/, /t/) from bilingual speakers as a function of language (English, Spanish). Transparent points represent participant averages. Solid points indicate posterior means ±95% and 66% credible intervals.</w:t>
            </w:r>
          </w:p>
          <w:bookmarkEnd w:id="43"/>
        </w:tc>
      </w:tr>
    </w:tbl>
    <w:p>
      <w:pPr>
        <w:pStyle w:val="BodyText"/>
      </w:pPr>
      <w:r>
        <w:rPr>
          <w:bCs/>
          <w:b/>
        </w:rPr>
        <w:t xml:space="preserve">Voice-onset time.</w:t>
      </w:r>
      <w:r>
        <w:t xml:space="preserve"> </w:t>
      </w:r>
      <w:r>
        <w:t xml:space="preserve">VOT for English stops was higher than for Spanish stops (β = 0.523, HDI = [0.481, 0.566], ROPE = 0, MPE = 1), as was the case for voiceless segments in comparison with voiced segments (β = −0.633, HDI = [−0.738, −0.522], ROPE = 0, MPE = 1).</w:t>
      </w:r>
      <w:r>
        <w:t xml:space="preserve"> </w:t>
      </w:r>
      <w:r>
        <w:t xml:space="preserve">The two predictors did not interact (β = 0.025, HDI = [−0.017, 0.067], ROPE = 1, MPE = 0.883).</w:t>
      </w:r>
      <w:r>
        <w:t xml:space="preserve"> </w:t>
      </w:r>
      <w:r>
        <w:t xml:space="preserve">Upon comparing the short-lag stops of each language, English /d/ and Spanish /t/, we found minimal evidence that the segments differed from each other (β = −0.219, HDI = [−0.45, −0.001], ROPE = 0.133, MPE = 0.971).</w:t>
      </w:r>
      <w:r>
        <w:t xml:space="preserve"> </w:t>
      </w:r>
      <w:r>
        <w:t xml:space="preserve">Approximately 12% of the HDI fell within the predetermined region of practical equivalence, though given the model, the data, and our prior assumptions, there is a 97% chance the effect is negative, i.e., that English /d/ has lower VOT than Spanish /t/.</w:t>
      </w:r>
      <w:r>
        <w:t xml:space="preserve"> </w:t>
      </w:r>
      <w:r>
        <w:t xml:space="preserve">This is likely due to the bilinguals’ tendency to pre-voice in English.</w:t>
      </w:r>
      <w:r>
        <w:t xml:space="preserve"> </w:t>
      </w:r>
      <w:r>
        <w:t xml:space="preserve">The VOT data is plotted in the first panel of</w:t>
      </w:r>
      <w:r>
        <w:t xml:space="preserve"> </w:t>
      </w:r>
      <w:hyperlink w:anchor="fig-bilinguals">
        <w:r>
          <w:rPr>
            <w:rStyle w:val="Hyperlink"/>
          </w:rPr>
          <w:t xml:space="preserve">Figure 3</w:t>
        </w:r>
      </w:hyperlink>
      <w:r>
        <w:t xml:space="preserve">.</w:t>
      </w:r>
      <w:r>
        <w:t xml:space="preserve"> </w:t>
      </w:r>
      <w:r>
        <w:t xml:space="preserve">The complete model summary is available in</w:t>
      </w:r>
      <w:r>
        <w:t xml:space="preserve"> </w:t>
      </w:r>
      <w:hyperlink w:anchor="tbl-bi">
        <w:r>
          <w:rPr>
            <w:rStyle w:val="Hyperlink"/>
          </w:rPr>
          <w:t xml:space="preserve">Table 5</w:t>
        </w:r>
      </w:hyperlink>
      <w:r>
        <w:t xml:space="preserve">.</w:t>
      </w:r>
      <w:r>
        <w:t xml:space="preserve"> </w:t>
      </w:r>
      <w:r>
        <w:t xml:space="preserve">The short-lag stop comparisons are illustrated in</w:t>
      </w:r>
      <w:r>
        <w:t xml:space="preserve"> </w:t>
      </w:r>
      <w:hyperlink w:anchor="fig-bilinguals-ph-sl-vot">
        <w:r>
          <w:rPr>
            <w:rStyle w:val="Hyperlink"/>
          </w:rPr>
          <w:t xml:space="preserve">Figure 14</w:t>
        </w:r>
      </w:hyperlink>
      <w:r>
        <w:t xml:space="preserve"> </w:t>
      </w:r>
      <w:r>
        <w:t xml:space="preserve">and</w:t>
      </w:r>
      <w:r>
        <w:t xml:space="preserve"> </w:t>
      </w:r>
      <w:hyperlink w:anchor="fig-bilinguals-ph-sl-sm">
        <w:r>
          <w:rPr>
            <w:rStyle w:val="Hyperlink"/>
          </w:rPr>
          <w:t xml:space="preserve">Figure 15</w:t>
        </w:r>
      </w:hyperlink>
      <w:r>
        <w:t xml:space="preserve"> </w:t>
      </w:r>
      <w:r>
        <w:t xml:space="preserve">of the supplementary materials.</w:t>
      </w:r>
    </w:p>
    <w:p>
      <w:pPr>
        <w:pStyle w:val="BodyText"/>
      </w:pPr>
      <w:r>
        <w:rPr>
          <w:bCs/>
          <w:b/>
        </w:rPr>
        <w:t xml:space="preserve">Relative intensity.</w:t>
      </w:r>
      <w:r>
        <w:t xml:space="preserve"> </w:t>
      </w:r>
      <w:r>
        <w:t xml:space="preserve">We plot the relative intensity data in the top middle panel of</w:t>
      </w:r>
      <w:r>
        <w:t xml:space="preserve"> </w:t>
      </w:r>
      <w:hyperlink w:anchor="fig-bilinguals">
        <w:r>
          <w:rPr>
            <w:rStyle w:val="Hyperlink"/>
          </w:rPr>
          <w:t xml:space="preserve">Figure 3</w:t>
        </w:r>
      </w:hyperlink>
      <w:r>
        <w:t xml:space="preserve">.</w:t>
      </w:r>
      <w:r>
        <w:t xml:space="preserve"> </w:t>
      </w:r>
      <w:r>
        <w:t xml:space="preserve">There was no evidence for a group effect (β = 0.097, HDI = [0.030, 0.161], ROPE = 0.543, MPE = 0.997), nor for voicing (β = −0.070, HDI = [−0.147, 0.011], ROPE = 0.787, MPE = 0.959) or F2 (β = −0.073, HDI = [−0.134, −0.014], ROPE = 0.821, MPE = 0.991).</w:t>
      </w:r>
      <w:r>
        <w:t xml:space="preserve"> </w:t>
      </w:r>
      <w:r>
        <w:t xml:space="preserve">We found a relationship between height of the following vowel and relative intensity of the burst (β = −0.224, HDI = [−0.303, −0.139], ROPE = 0, MPE = 1).</w:t>
      </w:r>
      <w:r>
        <w:t xml:space="preserve"> </w:t>
      </w:r>
      <w:r>
        <w:t xml:space="preserve">Concretely, higher F1 values were associated with lower relative intensity.</w:t>
      </w:r>
      <w:r>
        <w:t xml:space="preserve"> </w:t>
      </w:r>
      <w:r>
        <w:t xml:space="preserve">There was no evidence supporting a language × voicing interaction (β = 0.002, HDI = [−0.066, 0.063], ROPE = 1, MPE = 0.512).</w:t>
      </w:r>
      <w:r>
        <w:t xml:space="preserve"> </w:t>
      </w:r>
      <w:r>
        <w:t xml:space="preserve">We found no evidence for a between-language difference of short-lag stops (β = 0.053, HDI = [−0.141, 0.257], ROPE = 0.652, MPE = 0.702).</w:t>
      </w:r>
    </w:p>
    <w:p>
      <w:pPr>
        <w:pStyle w:val="BodyText"/>
      </w:pPr>
      <w:r>
        <w:rPr>
          <w:bCs/>
          <w:b/>
        </w:rPr>
        <w:t xml:space="preserve">Center of gravity.</w:t>
      </w:r>
      <w:r>
        <w:t xml:space="preserve"> </w:t>
      </w:r>
      <w:r>
        <w:t xml:space="preserve">COG was higher in English stops than in Spanish stops (β = 0.661, HDI = [0.631, 0.692], ROPE = 0, MPE = 1).</w:t>
      </w:r>
      <w:r>
        <w:t xml:space="preserve"> </w:t>
      </w:r>
      <w:r>
        <w:t xml:space="preserve">Voiceless segments had higher COG than the voiced segments (β = −0.308, HDI = [−0.340, −0.270], ROPE = 0, MPE = 1).</w:t>
      </w:r>
      <w:r>
        <w:t xml:space="preserve"> </w:t>
      </w:r>
      <w:r>
        <w:t xml:space="preserve">We found weak evidence for a language × voicing interaction (β = 0.096, HDI = [0.067, 0.126], ROPE = 0.62, MPE = 1).</w:t>
      </w:r>
      <w:r>
        <w:t xml:space="preserve"> </w:t>
      </w:r>
      <w:r>
        <w:t xml:space="preserve">The difference between voiced and voiceless coronals was slightly larger in Spanish than it was in English.</w:t>
      </w:r>
      <w:r>
        <w:t xml:space="preserve"> </w:t>
      </w:r>
      <w:r>
        <w:t xml:space="preserve">No other predictors had an effect on COG.</w:t>
      </w:r>
      <w:r>
        <w:t xml:space="preserve"> </w:t>
      </w:r>
      <w:r>
        <w:t xml:space="preserve">The COG data is plotted in the first row, third panel of</w:t>
      </w:r>
      <w:r>
        <w:t xml:space="preserve"> </w:t>
      </w:r>
      <w:hyperlink w:anchor="fig-bilinguals">
        <w:r>
          <w:rPr>
            <w:rStyle w:val="Hyperlink"/>
          </w:rPr>
          <w:t xml:space="preserve">Figure 3</w:t>
        </w:r>
      </w:hyperlink>
      <w:r>
        <w:t xml:space="preserve">.</w:t>
      </w:r>
    </w:p>
    <w:p>
      <w:pPr>
        <w:pStyle w:val="BodyText"/>
      </w:pPr>
      <w:r>
        <w:t xml:space="preserve">There was evidence supporting a moderate difference between short-lag /t/ of Spanish and /d/ of English (β = 0.707, HDI = [0.62, 0.799], ROPE = 0, MPE = 1).</w:t>
      </w:r>
    </w:p>
    <w:p>
      <w:pPr>
        <w:pStyle w:val="BodyText"/>
      </w:pPr>
      <w:r>
        <w:rPr>
          <w:bCs/>
          <w:b/>
        </w:rPr>
        <w:t xml:space="preserve">Kurtosis.</w:t>
      </w:r>
      <w:r>
        <w:t xml:space="preserve"> </w:t>
      </w:r>
      <w:r>
        <w:t xml:space="preserve">We plot the kurtosis data in the second row, first column of</w:t>
      </w:r>
      <w:r>
        <w:t xml:space="preserve"> </w:t>
      </w:r>
      <w:hyperlink w:anchor="fig-bilinguals">
        <w:r>
          <w:rPr>
            <w:rStyle w:val="Hyperlink"/>
          </w:rPr>
          <w:t xml:space="preserve">Figure 3</w:t>
        </w:r>
      </w:hyperlink>
      <w:r>
        <w:t xml:space="preserve">.</w:t>
      </w:r>
      <w:r>
        <w:t xml:space="preserve"> </w:t>
      </w:r>
      <w:r>
        <w:t xml:space="preserve">Kurtosis was higher in English stop bursts than Spanish stop bursts (β = −0.635, HDI = [−0.668, −0.603], ROPE = 0, MPE = 1), and also in voiced segments (β = 0.276, HDI = [0.237, 0.313], ROPE = 0, MPE = 1), though there was a language × voicing interaction (β = −0.173, HDI = [−0.204, −0.143], ROPE = 0, MPE = 1).</w:t>
      </w:r>
      <w:r>
        <w:t xml:space="preserve"> </w:t>
      </w:r>
      <w:r>
        <w:t xml:space="preserve">In this case, we observed that kurtosis was higher in the voiced stop bursts of Spanish (Spanish /d/ vs. Spanish /t/: β = 0.897, HDI = [0.798, 1.003], ROPE = 0, MPE = 1), but the voicing difference was much smaller in the English data (English /d/ vs. English /t/: β = 0.207, HDI = [0.11, 0.3], ROPE = 0, MPE = 1).</w:t>
      </w:r>
      <w:r>
        <w:t xml:space="preserve"> </w:t>
      </w:r>
      <w:r>
        <w:t xml:space="preserve">Neither F1 (β = −0.018, HDI = [−0.056, 0.022], ROPE = 1, MPE = 0.808) nor F2 (β = −0.009, HDI = [−0.048, 0.029], ROPE = 1, MPE = 0.666) had any influence on kurtosis.</w:t>
      </w:r>
      <w:r>
        <w:t xml:space="preserve"> </w:t>
      </w:r>
      <w:r>
        <w:t xml:space="preserve">We found evidence supporting a difference between short-lag /t/ of Spanish and /d/ of English (β = −0.718, HDI = [−0.812, −0.621], ROPE = 0, MPE = 1).</w:t>
      </w:r>
    </w:p>
    <w:p>
      <w:pPr>
        <w:pStyle w:val="BodyText"/>
      </w:pPr>
      <w:r>
        <w:rPr>
          <w:bCs/>
          <w:b/>
        </w:rPr>
        <w:t xml:space="preserve">Standard deviation.</w:t>
      </w:r>
      <w:r>
        <w:t xml:space="preserve"> </w:t>
      </w:r>
      <w:r>
        <w:t xml:space="preserve">Regarding standard deviation, we again observe the same pattern found in the COG data (See third panel, first row and second panel, second row in</w:t>
      </w:r>
      <w:r>
        <w:t xml:space="preserve"> </w:t>
      </w:r>
      <w:hyperlink w:anchor="fig-bilinguals">
        <w:r>
          <w:rPr>
            <w:rStyle w:val="Hyperlink"/>
          </w:rPr>
          <w:t xml:space="preserve">Figure 3</w:t>
        </w:r>
      </w:hyperlink>
      <w:r>
        <w:t xml:space="preserve">).</w:t>
      </w:r>
      <w:r>
        <w:t xml:space="preserve"> </w:t>
      </w:r>
      <w:r>
        <w:t xml:space="preserve">In other words, there was a difference between English and Spanish (β = 0.568, HDI = [0.534, 0.604], ROPE = 0, MPE = 1), as well as between segments (β = −0.230, HDI = [−0.282, −0.178], ROPE = 0, MPE = 1).</w:t>
      </w:r>
      <w:r>
        <w:t xml:space="preserve"> </w:t>
      </w:r>
      <w:r>
        <w:t xml:space="preserve">The estimate for the language × voicing interaction falls nearly entirely within our predetermined ROPE, though given the data, the model, and our prior assumptions, there is high probability that the effect it positive (β = 0.082, HDI = [0.046, 0.115], ROPE = 0.866, MPE = 1).</w:t>
      </w:r>
      <w:r>
        <w:t xml:space="preserve"> </w:t>
      </w:r>
      <w:r>
        <w:t xml:space="preserve">Height and frontedness of the following vowel had no effect on standard deviation in the stop burst (F1: β = 0.000, HDI = [−0.043, 0.046], ROPE = 1, MPE = 0.506; F2: β = 0.004, HDI = [−0.038, 0.050], ROPE = 1, MPE = 0.571).</w:t>
      </w:r>
      <w:r>
        <w:t xml:space="preserve"> </w:t>
      </w:r>
      <w:r>
        <w:t xml:space="preserve">Our post-hoc comparison of short-lag stops supports a between-language difference based on standard deviation (β = 0.677, HDI = [0.552, 0.802], ROPE = 0, MPE = 1).</w:t>
      </w:r>
      <w:r>
        <w:t xml:space="preserve"> </w:t>
      </w:r>
      <w:r>
        <w:rPr>
          <w:bCs/>
          <w:b/>
        </w:rPr>
        <w:t xml:space="preserve">Skewness.</w:t>
      </w:r>
      <w:r>
        <w:t xml:space="preserve"> </w:t>
      </w:r>
      <w:r>
        <w:t xml:space="preserve">With regard to skewness, we again see a similar pattern as the one observed in the analysis of kurtosis (See first and third panels in the second row of</w:t>
      </w:r>
      <w:r>
        <w:t xml:space="preserve"> </w:t>
      </w:r>
      <w:hyperlink w:anchor="fig-bilinguals">
        <w:r>
          <w:rPr>
            <w:rStyle w:val="Hyperlink"/>
          </w:rPr>
          <w:t xml:space="preserve">Figure 3</w:t>
        </w:r>
      </w:hyperlink>
      <w:r>
        <w:t xml:space="preserve">).</w:t>
      </w:r>
      <w:r>
        <w:t xml:space="preserve"> </w:t>
      </w:r>
      <w:r>
        <w:t xml:space="preserve">We find an effect of language effect (β = −0.611, HDI = [−0.642, −0.576], ROPE = 0, MPE = 1), such that Spanish stops show higher skewness values, and voicing (β = 0.298, HDI = [0.264, 0.337], ROPE = 0, MPE = 1), which is driven by a language × voicing interaction (β = −0.140, HDI = [−0.169, −0.105], ROPE = 0, MPE = 1).</w:t>
      </w:r>
      <w:r>
        <w:t xml:space="preserve"> </w:t>
      </w:r>
      <w:r>
        <w:t xml:space="preserve">The Spanish voiced /d/ had higher skewness than voiceless /t/ (Spanish /d/ vs. Spanish /t/: β = 0.875, HDI = [0.774, 0.978], ROPE = 0, MPE = 1), and this difference is much smaller in the English data (English /d/ vs. English /t/: β = 0.317, HDI = [0.221, 0.41], ROPE = 0, MPE = 1).</w:t>
      </w:r>
      <w:r>
        <w:t xml:space="preserve"> </w:t>
      </w:r>
      <w:r>
        <w:t xml:space="preserve">Again, F1 and F2 had no affect on skewness (F1: β = −0.029, HDI = [−0.068, 0.012], ROPE = 1, MPE = 0.921; F2: β = −0.008, HDI = [−0.047, 0.031], ROPE = 1, MPE = 0.649).</w:t>
      </w:r>
      <w:r>
        <w:t xml:space="preserve"> </w:t>
      </w:r>
      <w:r>
        <w:t xml:space="preserve">Finally, our post-hoc analysis comparing short-lag stops provided compelling evidence for between-language differences in the burst (β = −0.627, HDI = [−0.72, −0.536], ROPE = 0, MPE = 1).</w:t>
      </w:r>
    </w:p>
    <w:p>
      <w:pPr>
        <w:pStyle w:val="BodyText"/>
      </w:pPr>
      <w:r>
        <w:rPr>
          <w:bCs/>
          <w:b/>
        </w:rPr>
        <w:t xml:space="preserve">Interim discussion.</w:t>
      </w:r>
    </w:p>
    <w:tbl>
      <w:tblPr>
        <w:tblStyle w:val="Table"/>
        <w:tblW w:type="pct" w:w="5000"/>
        <w:tblLook w:firstRow="0" w:lastRow="0" w:firstColumn="0" w:lastColumn="0" w:noHBand="0" w:noVBand="0" w:val="0000"/>
      </w:tblPr>
      <w:tblGrid>
        <w:gridCol w:w="7920"/>
      </w:tblGrid>
      <w:tr>
        <w:tc>
          <w:tcPr/>
          <w:bookmarkStart w:id="47" w:name="fig-bilinguals-summary"/>
          <w:p>
            <w:pPr>
              <w:pStyle w:val="Figure"/>
              <w:jc w:val="center"/>
            </w:pPr>
            <w:r>
              <w:drawing>
                <wp:inline>
                  <wp:extent cx="5943600" cy="3760611"/>
                  <wp:effectExtent b="0" l="0" r="0" t="0"/>
                  <wp:docPr descr="" title="" id="45" name="Picture"/>
                  <a:graphic>
                    <a:graphicData uri="http://schemas.openxmlformats.org/drawingml/2006/picture">
                      <pic:pic>
                        <pic:nvPicPr>
                          <pic:cNvPr descr="../../../figs/bi_summary.pdf" id="46" name="Picture"/>
                          <pic:cNvPicPr>
                            <a:picLocks noChangeArrowheads="1" noChangeAspect="1"/>
                          </pic:cNvPicPr>
                        </pic:nvPicPr>
                        <pic:blipFill>
                          <a:blip r:embed="rId44"/>
                          <a:stretch>
                            <a:fillRect/>
                          </a:stretch>
                        </pic:blipFill>
                        <pic:spPr bwMode="auto">
                          <a:xfrm>
                            <a:off x="0" y="0"/>
                            <a:ext cx="5943600" cy="37606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Posterior medians ±95% and 66% credible intervals for VOT and burst metrics of bilingual coronal stops. Individual point shapes and colors represent the six metrics analyzed. In this analysis,</w:t>
            </w:r>
            <w:r>
              <w:t xml:space="preserve"> </w:t>
            </w:r>
            <w:r>
              <w:t xml:space="preserve">‘</w:t>
            </w:r>
            <w:r>
              <w:t xml:space="preserve">Language</w:t>
            </w:r>
            <w:r>
              <w:t xml:space="preserve">’</w:t>
            </w:r>
            <w:r>
              <w:t xml:space="preserve"> </w:t>
            </w:r>
            <w:r>
              <w:t xml:space="preserve">refers to a within-participant comparison between English and Spanish.</w:t>
            </w:r>
          </w:p>
          <w:bookmarkEnd w:id="47"/>
        </w:tc>
      </w:tr>
    </w:tbl>
    <w:p>
      <w:pPr>
        <w:pStyle w:val="BodyText"/>
      </w:pPr>
      <w:r>
        <w:t xml:space="preserve">The analyses of the bilingual coronal stops are summarized in the forest plot in</w:t>
      </w:r>
      <w:r>
        <w:t xml:space="preserve"> </w:t>
      </w:r>
      <w:hyperlink w:anchor="fig-bilinguals-summary">
        <w:r>
          <w:rPr>
            <w:rStyle w:val="Hyperlink"/>
          </w:rPr>
          <w:t xml:space="preserve">Figure 4</w:t>
        </w:r>
      </w:hyperlink>
      <w:r>
        <w:t xml:space="preserve"> </w:t>
      </w:r>
      <w:r>
        <w:t xml:space="preserve">and</w:t>
      </w:r>
      <w:r>
        <w:t xml:space="preserve"> </w:t>
      </w:r>
      <w:hyperlink w:anchor="tbl-bi">
        <w:r>
          <w:rPr>
            <w:rStyle w:val="Hyperlink"/>
          </w:rPr>
          <w:t xml:space="preserve">Table 5</w:t>
        </w:r>
      </w:hyperlink>
      <w:r>
        <w:t xml:space="preserve"> </w:t>
      </w:r>
      <w:r>
        <w:t xml:space="preserve">of the supplementary materials.</w:t>
      </w:r>
      <w:r>
        <w:t xml:space="preserve"> </w:t>
      </w:r>
      <w:r>
        <w:t xml:space="preserve">Again, we see VOT realized in a language-specific manner.</w:t>
      </w:r>
      <w:r>
        <w:t xml:space="preserve"> </w:t>
      </w:r>
      <w:r>
        <w:t xml:space="preserve">The bilinguals produced Spanish voiced and voiceless stops with lead-VOT and short-lag VOT, respectively, and the English voiced and voiceless stops with short-lag VOT and long-lag VOT, respectively.</w:t>
      </w:r>
      <w:r>
        <w:t xml:space="preserve"> </w:t>
      </w:r>
      <w:r>
        <w:t xml:space="preserve">The voicing contrasts of English and Spanish did not vary based on relative intensity, though all the spectral moments did for the Spanish data.</w:t>
      </w:r>
      <w:r>
        <w:t xml:space="preserve"> </w:t>
      </w:r>
      <w:r>
        <w:t xml:space="preserve">Similar to monolingual data, skewness and kurtosis patterned similarly, as did COG and standard deviation.</w:t>
      </w:r>
      <w:r>
        <w:t xml:space="preserve"> </w:t>
      </w:r>
      <w:r>
        <w:t xml:space="preserve">In many regards the results of the bilingual analyses were virtually identical to those of the monolingual analyses (compare</w:t>
      </w:r>
      <w:r>
        <w:t xml:space="preserve"> </w:t>
      </w:r>
      <w:hyperlink w:anchor="fig-monolinguals">
        <w:r>
          <w:rPr>
            <w:rStyle w:val="Hyperlink"/>
          </w:rPr>
          <w:t xml:space="preserve">Figure 1</w:t>
        </w:r>
      </w:hyperlink>
      <w:r>
        <w:t xml:space="preserve"> </w:t>
      </w:r>
      <w:r>
        <w:t xml:space="preserve">with</w:t>
      </w:r>
      <w:r>
        <w:t xml:space="preserve"> </w:t>
      </w:r>
      <w:hyperlink w:anchor="fig-bilinguals">
        <w:r>
          <w:rPr>
            <w:rStyle w:val="Hyperlink"/>
          </w:rPr>
          <w:t xml:space="preserve">Figure 3</w:t>
        </w:r>
      </w:hyperlink>
      <w:r>
        <w:t xml:space="preserve">); however, we do observe several important differences.</w:t>
      </w:r>
      <w:r>
        <w:t xml:space="preserve"> </w:t>
      </w:r>
      <w:r>
        <w:t xml:space="preserve">First, we find more variability overall, i.e., wider posterior distributions, in the bilingual data.</w:t>
      </w:r>
      <w:r>
        <w:t xml:space="preserve"> </w:t>
      </w:r>
      <w:r>
        <w:t xml:space="preserve">Second, the bilingual data showed more pre-voicing in English /d/, which was not present to the same extent in the monolingual data.</w:t>
      </w:r>
      <w:r>
        <w:t xml:space="preserve"> </w:t>
      </w:r>
      <w:r>
        <w:t xml:space="preserve">Finally, small voicing distinctions in four of the spectral moments (center of gravity, standard deviation, skewness, and, to a lesser extent, kurtosis) were present in the bilinguals’ production of English coronals.</w:t>
      </w:r>
      <w:r>
        <w:t xml:space="preserve"> </w:t>
      </w:r>
      <w:hyperlink w:anchor="fig-bi-post-hoc-sm">
        <w:r>
          <w:rPr>
            <w:rStyle w:val="Hyperlink"/>
          </w:rPr>
          <w:t xml:space="preserve">Figure 5</w:t>
        </w:r>
      </w:hyperlink>
      <w:r>
        <w:t xml:space="preserve"> </w:t>
      </w:r>
      <w:r>
        <w:t xml:space="preserve">plots the posterior distributions of the /d/-/t/ difference estimates for each spectral moment and relative intensity in English and Spanish (See also</w:t>
      </w:r>
      <w:r>
        <w:t xml:space="preserve"> </w:t>
      </w:r>
      <w:hyperlink w:anchor="tbl-bi-post-hoc-sm">
        <w:r>
          <w:rPr>
            <w:rStyle w:val="Hyperlink"/>
          </w:rPr>
          <w:t xml:space="preserve">Table 7</w:t>
        </w:r>
      </w:hyperlink>
      <w:r>
        <w:t xml:space="preserve"> </w:t>
      </w:r>
      <w:r>
        <w:t xml:space="preserve">of the supplementary materials).</w:t>
      </w:r>
      <w:r>
        <w:t xml:space="preserve"> </w:t>
      </w:r>
      <w:r>
        <w:t xml:space="preserve">We see the same general pattern for each language, though the difference estimates are much larger in the Spanish data.</w:t>
      </w:r>
      <w:r>
        <w:t xml:space="preserve"> </w:t>
      </w:r>
      <w:r>
        <w:t xml:space="preserve">The bilingual participants appear to have carried over some of the burst characteristics of their Spanish coronals into their English.</w:t>
      </w:r>
      <w:r>
        <w:t xml:space="preserve"> </w:t>
      </w:r>
      <w:r>
        <w:t xml:space="preserve">Finally, post-hoc comparisons of Spanish and English short-lag stops suggested that the bilinguals, like their monolingual counterparts, had distinct burst characteristics according to all metrics except VOT and relative intensity (See</w:t>
      </w:r>
      <w:r>
        <w:t xml:space="preserve"> </w:t>
      </w:r>
      <w:hyperlink w:anchor="tbl-bi-post-hoc-sl-between">
        <w:r>
          <w:rPr>
            <w:rStyle w:val="Hyperlink"/>
          </w:rPr>
          <w:t xml:space="preserve">Table 6</w:t>
        </w:r>
      </w:hyperlink>
      <w:r>
        <w:t xml:space="preserve">).</w:t>
      </w:r>
    </w:p>
    <w:tbl>
      <w:tblPr>
        <w:tblStyle w:val="Table"/>
        <w:tblW w:type="pct" w:w="5000"/>
        <w:tblLook w:firstRow="0" w:lastRow="0" w:firstColumn="0" w:lastColumn="0" w:noHBand="0" w:noVBand="0" w:val="0000"/>
      </w:tblPr>
      <w:tblGrid>
        <w:gridCol w:w="7920"/>
      </w:tblGrid>
      <w:tr>
        <w:tc>
          <w:tcPr/>
          <w:bookmarkStart w:id="51" w:name="fig-bi-post-hoc-sm"/>
          <w:p>
            <w:pPr>
              <w:pStyle w:val="Figure"/>
              <w:jc w:val="center"/>
            </w:pPr>
            <w:r>
              <w:drawing>
                <wp:inline>
                  <wp:extent cx="5943600" cy="2971800"/>
                  <wp:effectExtent b="0" l="0" r="0" t="0"/>
                  <wp:docPr descr="" title="" id="49" name="Picture"/>
                  <a:graphic>
                    <a:graphicData uri="http://schemas.openxmlformats.org/drawingml/2006/picture">
                      <pic:pic>
                        <pic:nvPicPr>
                          <pic:cNvPr descr="../../../figs/bi_post_hoc_within_lang_dt_sm.pdf" id="50" name="Picture"/>
                          <pic:cNvPicPr>
                            <a:picLocks noChangeArrowheads="1" noChangeAspect="1"/>
                          </pic:cNvPicPr>
                        </pic:nvPicPr>
                        <pic:blipFill>
                          <a:blip r:embed="rId48"/>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Posterior distributions of difference estimates between voiced and voiceless stops for Spanish and English. Each point represents the posterior mean difference ±95% HDI of the posterior of the voiceless segment subtracted from the posterior of the voiced segment. The light blue region represents a ROPE of ±0.1.</w:t>
            </w:r>
          </w:p>
          <w:bookmarkEnd w:id="51"/>
        </w:tc>
      </w:tr>
    </w:tbl>
    <w:bookmarkEnd w:id="52"/>
    <w:bookmarkStart w:id="65" w:name="experiment-3-bilingual-poa-data"/>
    <w:p>
      <w:pPr>
        <w:pStyle w:val="Heading2"/>
      </w:pPr>
      <w:r>
        <w:t xml:space="preserve">Experiment 3: Bilingual POA data</w:t>
      </w:r>
    </w:p>
    <w:p>
      <w:pPr>
        <w:pStyle w:val="FirstParagraph"/>
      </w:pPr>
      <w:r>
        <w:t xml:space="preserve">The final set of analyses compared a subset of the bilingual coronal stop data with bilabial data from a separate group of bilinguals (see Method section).</w:t>
      </w:r>
      <w:r>
        <w:t xml:space="preserve"> </w:t>
      </w:r>
      <w:r>
        <w:t xml:space="preserve">We analyzed VOT and the same burst metrics as the previous analyses.</w:t>
      </w:r>
      <w:r>
        <w:t xml:space="preserve"> </w:t>
      </w:r>
      <w:r>
        <w:t xml:space="preserve">In this case, however, the outcome variables were modeled as a function of language (English, Spanish), place of articulation (POA: bilabial, coronal), standardized F1 and F2, and item repetitions.</w:t>
      </w:r>
      <w:r>
        <w:t xml:space="preserve"> </w:t>
      </w:r>
      <w:r>
        <w:t xml:space="preserve">We only included the voiceless stops (/p/, /t/) from each language.</w:t>
      </w:r>
      <w:r>
        <w:t xml:space="preserve"> </w:t>
      </w:r>
      <w:r>
        <w:t xml:space="preserve">Importantly, the fixed effect</w:t>
      </w:r>
      <w:r>
        <w:t xml:space="preserve"> </w:t>
      </w:r>
      <w:r>
        <w:rPr>
          <w:iCs/>
          <w:i/>
        </w:rPr>
        <w:t xml:space="preserve">POA</w:t>
      </w:r>
      <w:r>
        <w:t xml:space="preserve"> </w:t>
      </w:r>
      <w:r>
        <w:t xml:space="preserve">is a between-participant factor.</w:t>
      </w:r>
      <w:r>
        <w:t xml:space="preserve"> </w:t>
      </w:r>
      <w:r>
        <w:t xml:space="preserve">That is, one set of bilingual individuals provided the bilabial data in English and Spanish, and another set of bilingual individuals (those from the previous experiment) provided the coronal data in English and Spanish.</w:t>
      </w:r>
      <w:r>
        <w:t xml:space="preserve"> </w:t>
      </w:r>
      <w:hyperlink w:anchor="fig-poa-bilinguals">
        <w:r>
          <w:rPr>
            <w:rStyle w:val="Hyperlink"/>
          </w:rPr>
          <w:t xml:space="preserve">Figure 6</w:t>
        </w:r>
      </w:hyperlink>
      <w:r>
        <w:t xml:space="preserve"> </w:t>
      </w:r>
      <w:r>
        <w:t xml:space="preserve">plots VOT and the burst metrics as a function of language (English, Spanish) and POA (bilabial, coronal).</w:t>
      </w:r>
      <w:r>
        <w:t xml:space="preserve"> </w:t>
      </w:r>
      <w:r>
        <w:t xml:space="preserve">For all plots, the y-axis represents the outcome variable in standardized units, the x-axis represents POA, and language is represented by color.</w:t>
      </w:r>
    </w:p>
    <w:tbl>
      <w:tblPr>
        <w:tblStyle w:val="Table"/>
        <w:tblW w:type="pct" w:w="5000"/>
        <w:tblLook w:firstRow="0" w:lastRow="0" w:firstColumn="0" w:lastColumn="0" w:noHBand="0" w:noVBand="0" w:val="0000"/>
      </w:tblPr>
      <w:tblGrid>
        <w:gridCol w:w="7920"/>
      </w:tblGrid>
      <w:tr>
        <w:tc>
          <w:tcPr/>
          <w:bookmarkStart w:id="56" w:name="fig-poa-bilinguals"/>
          <w:p>
            <w:pPr>
              <w:pStyle w:val="Figure"/>
              <w:jc w:val="center"/>
            </w:pPr>
            <w:r>
              <w:drawing>
                <wp:inline>
                  <wp:extent cx="5943600" cy="3962400"/>
                  <wp:effectExtent b="0" l="0" r="0" t="0"/>
                  <wp:docPr descr="" title="" id="54" name="Picture"/>
                  <a:graphic>
                    <a:graphicData uri="http://schemas.openxmlformats.org/drawingml/2006/picture">
                      <pic:pic>
                        <pic:nvPicPr>
                          <pic:cNvPr descr="../../../figs/poa_all_metrics.pdf" id="55" name="Picture"/>
                          <pic:cNvPicPr>
                            <a:picLocks noChangeArrowheads="1" noChangeAspect="1"/>
                          </pic:cNvPicPr>
                        </pic:nvPicPr>
                        <pic:blipFill>
                          <a:blip r:embed="rId53"/>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VOT and burst metrics of voiceless stops from bilingual speakers as a function of place of articulation (bilabial, coronal, velar) and language (English, Spanish). Transparent points represent participant averages. Solid points indicate posterior means and 95% credible intervals.</w:t>
            </w:r>
          </w:p>
          <w:bookmarkEnd w:id="56"/>
        </w:tc>
      </w:tr>
    </w:tbl>
    <w:p>
      <w:pPr>
        <w:pStyle w:val="BodyText"/>
      </w:pPr>
      <w:r>
        <w:rPr>
          <w:bCs/>
          <w:b/>
        </w:rPr>
        <w:t xml:space="preserve">Voice-onset time.</w:t>
      </w:r>
      <w:r>
        <w:t xml:space="preserve"> </w:t>
      </w:r>
      <w:r>
        <w:t xml:space="preserve">The VOT data is plotted in the first panel of</w:t>
      </w:r>
      <w:r>
        <w:t xml:space="preserve"> </w:t>
      </w:r>
      <w:hyperlink w:anchor="fig-poa-bilinguals">
        <w:r>
          <w:rPr>
            <w:rStyle w:val="Hyperlink"/>
          </w:rPr>
          <w:t xml:space="preserve">Figure 6</w:t>
        </w:r>
      </w:hyperlink>
      <w:r>
        <w:t xml:space="preserve">.</w:t>
      </w:r>
      <w:r>
        <w:t xml:space="preserve"> </w:t>
      </w:r>
      <w:r>
        <w:t xml:space="preserve">The complete model summary is available in</w:t>
      </w:r>
      <w:r>
        <w:t xml:space="preserve"> </w:t>
      </w:r>
      <w:hyperlink w:anchor="fig-poa-bilinguals-summary">
        <w:r>
          <w:rPr>
            <w:rStyle w:val="Hyperlink"/>
          </w:rPr>
          <w:t xml:space="preserve">Figure 7</w:t>
        </w:r>
      </w:hyperlink>
      <w:r>
        <w:t xml:space="preserve"> </w:t>
      </w:r>
      <w:r>
        <w:t xml:space="preserve">below, as well as</w:t>
      </w:r>
      <w:r>
        <w:t xml:space="preserve"> </w:t>
      </w:r>
      <w:hyperlink w:anchor="tbl-bi-poa">
        <w:r>
          <w:rPr>
            <w:rStyle w:val="Hyperlink"/>
          </w:rPr>
          <w:t xml:space="preserve">Table 8</w:t>
        </w:r>
      </w:hyperlink>
      <w:r>
        <w:t xml:space="preserve"> </w:t>
      </w:r>
      <w:r>
        <w:t xml:space="preserve">of the supplementary materials.</w:t>
      </w:r>
      <w:r>
        <w:t xml:space="preserve"> </w:t>
      </w:r>
      <w:r>
        <w:t xml:space="preserve">There was a strong effect of language (β = −1.971, HDI = [−2.203, −1.720], ROPE = 0, MPE = 1).</w:t>
      </w:r>
      <w:r>
        <w:t xml:space="preserve"> </w:t>
      </w:r>
      <w:r>
        <w:t xml:space="preserve">English voiceless stops had higher VOT than Spanish voiceless stops regardless of POA (β = −0.327, HDI = [−0.490, −0.170], ROPE = 0, MPE = 1).</w:t>
      </w:r>
      <w:r>
        <w:t xml:space="preserve"> </w:t>
      </w:r>
      <w:r>
        <w:t xml:space="preserve">We did not find compelling evidence for a language × POA interaction (β = 0.365, HDI = [0.163, 0.559], ROPE = 0, MPE = 1), nor were there any effects for the formant structure of the following vowel (F1: β = 0.116, HDI = [0.003, 0.231], ROPE = 0.379, MPE = 0.981; F2: β = −0.073, HDI = [−0.159, 0.007], ROPE = 0.769, MPE = 0.96).</w:t>
      </w:r>
    </w:p>
    <w:p>
      <w:pPr>
        <w:pStyle w:val="BodyText"/>
      </w:pPr>
      <w:r>
        <w:rPr>
          <w:bCs/>
          <w:b/>
        </w:rPr>
        <w:t xml:space="preserve">Relative intensity.</w:t>
      </w:r>
      <w:r>
        <w:t xml:space="preserve"> </w:t>
      </w:r>
      <w:r>
        <w:t xml:space="preserve">Relative intensity of the burst was slightly higher in English than in Spanish (β = −0.384, HDI = [−0.854, 0.087], ROPE = 0.083, MPE = 0.948), though nearly half of the posterior mass fell within our pre-established region of practical equivalence.</w:t>
      </w:r>
      <w:r>
        <w:t xml:space="preserve"> </w:t>
      </w:r>
      <w:r>
        <w:t xml:space="preserve">Relative intensity was higher in bilabial stops than in coronals stops (β = character(0), HDI = character(0), ROPE = numeric(0), MPE = numeric(0)).</w:t>
      </w:r>
      <w:r>
        <w:t xml:space="preserve"> </w:t>
      </w:r>
      <w:r>
        <w:t xml:space="preserve">The two predictors did not interact (β = character(0), HDI = character(0), ROPE = numeric(0), MPE = numeric(0)).</w:t>
      </w:r>
      <w:r>
        <w:t xml:space="preserve"> </w:t>
      </w:r>
      <w:r>
        <w:t xml:space="preserve">We found evidence for a relationship between height of the following vowel and relative intensity of the burst (β = −0.078, HDI = [−0.148, −0.008], ROPE = 0.772, MPE = 0.979).</w:t>
      </w:r>
      <w:r>
        <w:t xml:space="preserve"> </w:t>
      </w:r>
      <w:r>
        <w:t xml:space="preserve">Concretely, higher F1 values were associated with lower relative intensity.</w:t>
      </w:r>
      <w:r>
        <w:t xml:space="preserve"> </w:t>
      </w:r>
      <w:r>
        <w:t xml:space="preserve">There was no evidence suggesting frontedness of the following vowel had any effect (β = −0.015, HDI = [−0.077, 0.048], ROPE = 1, MPE = 0.692).</w:t>
      </w:r>
      <w:r>
        <w:t xml:space="preserve"> </w:t>
      </w:r>
      <w:r>
        <w:t xml:space="preserve">The relative intensity data is plotted in the second panel of</w:t>
      </w:r>
      <w:r>
        <w:t xml:space="preserve"> </w:t>
      </w:r>
      <w:hyperlink w:anchor="fig-poa-bilinguals">
        <w:r>
          <w:rPr>
            <w:rStyle w:val="Hyperlink"/>
          </w:rPr>
          <w:t xml:space="preserve">Figure 6</w:t>
        </w:r>
      </w:hyperlink>
      <w:r>
        <w:t xml:space="preserve"> </w:t>
      </w:r>
      <w:r>
        <w:t xml:space="preserve">and the complete model summary is available in</w:t>
      </w:r>
      <w:r>
        <w:t xml:space="preserve"> </w:t>
      </w:r>
      <w:hyperlink w:anchor="fig-poa-bilinguals-summary">
        <w:r>
          <w:rPr>
            <w:rStyle w:val="Hyperlink"/>
          </w:rPr>
          <w:t xml:space="preserve">Figure 7</w:t>
        </w:r>
      </w:hyperlink>
      <w:r>
        <w:t xml:space="preserve"> </w:t>
      </w:r>
      <w:r>
        <w:t xml:space="preserve">or</w:t>
      </w:r>
      <w:r>
        <w:t xml:space="preserve"> </w:t>
      </w:r>
      <w:hyperlink w:anchor="tbl-bi-poa">
        <w:r>
          <w:rPr>
            <w:rStyle w:val="Hyperlink"/>
          </w:rPr>
          <w:t xml:space="preserve">Table 8</w:t>
        </w:r>
      </w:hyperlink>
      <w:r>
        <w:t xml:space="preserve"> </w:t>
      </w:r>
      <w:r>
        <w:t xml:space="preserve">of the supplementary materials.</w:t>
      </w:r>
    </w:p>
    <w:p>
      <w:pPr>
        <w:pStyle w:val="BodyText"/>
      </w:pPr>
      <w:r>
        <w:rPr>
          <w:bCs/>
          <w:b/>
        </w:rPr>
        <w:t xml:space="preserve">Center of gravity.</w:t>
      </w:r>
      <w:r>
        <w:t xml:space="preserve"> </w:t>
      </w:r>
      <w:r>
        <w:t xml:space="preserve">There was an effect of language (β = −1.137, HDI = [−1.396, −0.846], ROPE = 0, MPE = 1) and POA (β = character(0), HDI = character(0), ROPE = numeric(0), MPE = numeric(0)) and the two predictors interacted (β = character(0), HDI = character(0), ROPE = numeric(0), MPE = numeric(0)).</w:t>
      </w:r>
      <w:r>
        <w:t xml:space="preserve"> </w:t>
      </w:r>
      <w:r>
        <w:t xml:space="preserve">As illustrated in the third panel of</w:t>
      </w:r>
      <w:r>
        <w:t xml:space="preserve"> </w:t>
      </w:r>
      <w:hyperlink w:anchor="fig-poa-bilinguals">
        <w:r>
          <w:rPr>
            <w:rStyle w:val="Hyperlink"/>
          </w:rPr>
          <w:t xml:space="preserve">Figure 6</w:t>
        </w:r>
      </w:hyperlink>
      <w:r>
        <w:t xml:space="preserve">, COG was higher in English /t/ than in Spanish /t/ (Spanish /t/ vs. English /t/: β = character(0), HDI = character(0), ROPE = numeric(0), MPE = numeric(0)), but there was no such difference in the bilabials (Spanish /p/ vs. English /p/: β = character(0), HDI = character(0), ROPE = numeric(0), MPE = numeric(0)).</w:t>
      </w:r>
      <w:r>
        <w:t xml:space="preserve"> </w:t>
      </w:r>
      <w:r>
        <w:t xml:space="preserve">The following vowel did not affect COG of the bursts (F1: β = −0.007, HDI = [−0.050, 0.035], ROPE = 1, MPE = 0.621; F2: β = 0.032, HDI = [−0.014, 0.078], ROPE = 1, MPE = 0.917).</w:t>
      </w:r>
      <w:r>
        <w:t xml:space="preserve"> </w:t>
      </w:r>
      <w:r>
        <w:t xml:space="preserve">The model summary is presented in the forest plot in</w:t>
      </w:r>
      <w:r>
        <w:t xml:space="preserve"> </w:t>
      </w:r>
      <w:hyperlink w:anchor="fig-poa-bilinguals-summary">
        <w:r>
          <w:rPr>
            <w:rStyle w:val="Hyperlink"/>
          </w:rPr>
          <w:t xml:space="preserve">Figure 7</w:t>
        </w:r>
      </w:hyperlink>
      <w:r>
        <w:t xml:space="preserve"> </w:t>
      </w:r>
      <w:r>
        <w:t xml:space="preserve">and in</w:t>
      </w:r>
      <w:r>
        <w:t xml:space="preserve"> </w:t>
      </w:r>
      <w:hyperlink w:anchor="tbl-bi-poa">
        <w:r>
          <w:rPr>
            <w:rStyle w:val="Hyperlink"/>
          </w:rPr>
          <w:t xml:space="preserve">Table 8</w:t>
        </w:r>
      </w:hyperlink>
      <w:r>
        <w:t xml:space="preserve"> </w:t>
      </w:r>
      <w:r>
        <w:t xml:space="preserve">of the supplementary materials.</w:t>
      </w:r>
    </w:p>
    <w:p>
      <w:pPr>
        <w:pStyle w:val="BodyText"/>
      </w:pPr>
      <w:r>
        <w:rPr>
          <w:bCs/>
          <w:b/>
        </w:rPr>
        <w:t xml:space="preserve">Kurtosis.</w:t>
      </w:r>
      <w:r>
        <w:t xml:space="preserve"> </w:t>
      </w:r>
      <w:r>
        <w:t xml:space="preserve">There was an effect of language (β = 0.968, HDI = [0.808, 1.123], ROPE = 0, MPE = 1) and POA (β = character(0), HDI = character(0), ROPE = numeric(0), MPE = numeric(0)) and the two predictors interacted (β = character(0), HDI = character(0), ROPE = numeric(0), MPE = numeric(0)).</w:t>
      </w:r>
      <w:r>
        <w:t xml:space="preserve"> </w:t>
      </w:r>
      <w:r>
        <w:t xml:space="preserve">As illustrated in the first panel of the second row in</w:t>
      </w:r>
      <w:r>
        <w:t xml:space="preserve"> </w:t>
      </w:r>
      <w:hyperlink w:anchor="fig-poa-bilinguals">
        <w:r>
          <w:rPr>
            <w:rStyle w:val="Hyperlink"/>
          </w:rPr>
          <w:t xml:space="preserve">Figure 6</w:t>
        </w:r>
      </w:hyperlink>
      <w:r>
        <w:t xml:space="preserve">, kurtosis was higher in Spanish /t/ than in English /t/ (Spanish /t/ vs. English /t/: β = character(0), HDI = character(0), ROPE = numeric(0), MPE = numeric(0)), but there was no such difference in the bilabials (Spanish /p/ vs. English /p/: β = character(0), HDI = character(0), ROPE = numeric(0), MPE = numeric(0)).</w:t>
      </w:r>
      <w:r>
        <w:t xml:space="preserve"> </w:t>
      </w:r>
      <w:r>
        <w:t xml:space="preserve">The following vowel did not affect kurtosis in the bursts (F1: β = 0.012, HDI = [−0.031, 0.056], ROPE = 1, MPE = 0.701; F2: β = −0.058, HDI = [−0.104, −0.009], ROPE = 0.985, MPE = 0.989).</w:t>
      </w:r>
      <w:r>
        <w:t xml:space="preserve"> </w:t>
      </w:r>
      <w:r>
        <w:t xml:space="preserve">The model summary is available in</w:t>
      </w:r>
      <w:r>
        <w:t xml:space="preserve"> </w:t>
      </w:r>
      <w:hyperlink w:anchor="fig-poa-bilinguals-summary">
        <w:r>
          <w:rPr>
            <w:rStyle w:val="Hyperlink"/>
          </w:rPr>
          <w:t xml:space="preserve">Figure 7</w:t>
        </w:r>
      </w:hyperlink>
      <w:r>
        <w:t xml:space="preserve"> </w:t>
      </w:r>
      <w:r>
        <w:t xml:space="preserve">(See also</w:t>
      </w:r>
      <w:r>
        <w:t xml:space="preserve"> </w:t>
      </w:r>
      <w:hyperlink w:anchor="tbl-bi-poa">
        <w:r>
          <w:rPr>
            <w:rStyle w:val="Hyperlink"/>
          </w:rPr>
          <w:t xml:space="preserve">Table 8</w:t>
        </w:r>
      </w:hyperlink>
      <w:r>
        <w:t xml:space="preserve"> </w:t>
      </w:r>
      <w:r>
        <w:t xml:space="preserve">of the supplementary materials).</w:t>
      </w:r>
    </w:p>
    <w:p>
      <w:pPr>
        <w:pStyle w:val="BodyText"/>
      </w:pPr>
      <w:r>
        <w:rPr>
          <w:bCs/>
          <w:b/>
        </w:rPr>
        <w:t xml:space="preserve">Standard deviation.</w:t>
      </w:r>
      <w:r>
        <w:t xml:space="preserve"> </w:t>
      </w:r>
      <w:r>
        <w:t xml:space="preserve">Similar to the COG and kurtosis analyses, we again see an effect of language (β = −1.169, HDI = [−1.448, −0.871], ROPE = 0, MPE = 1) and POA (β = character(0), HDI = character(0), ROPE = numeric(0), MPE = numeric(0)) and the two predictors interacted (β = character(0), HDI = character(0), ROPE = numeric(0), MPE = numeric(0)).</w:t>
      </w:r>
      <w:r>
        <w:t xml:space="preserve"> </w:t>
      </w:r>
      <w:r>
        <w:t xml:space="preserve">As illustrated in the middle panel of the second row in</w:t>
      </w:r>
      <w:r>
        <w:t xml:space="preserve"> </w:t>
      </w:r>
      <w:hyperlink w:anchor="fig-poa-bilinguals">
        <w:r>
          <w:rPr>
            <w:rStyle w:val="Hyperlink"/>
          </w:rPr>
          <w:t xml:space="preserve">Figure 6</w:t>
        </w:r>
      </w:hyperlink>
      <w:r>
        <w:t xml:space="preserve">, standard deviation was higher in English /t/ than in Spanish /t/ (Spanish /t/ vs. English /t/: β = character(0), HDI = character(0), ROPE = numeric(0), MPE = numeric(0)), but there was no such difference in the bilabials (Spanish /p/ vs. English /p/: β = character(0), HDI = character(0), ROPE = numeric(0), MPE = numeric(0)).</w:t>
      </w:r>
      <w:r>
        <w:t xml:space="preserve"> </w:t>
      </w:r>
      <w:r>
        <w:t xml:space="preserve">The following vowel did not affect standard deviation of the bursts (F1: β = −0.006, HDI = [−0.071, 0.055], ROPE = 1, MPE = 0.572; F2: β = 0.025, HDI = [−0.022, 0.076], ROPE = 1, MPE = 0.853).</w:t>
      </w:r>
      <w:r>
        <w:t xml:space="preserve"> </w:t>
      </w:r>
      <w:r>
        <w:t xml:space="preserve">The model summary is available in</w:t>
      </w:r>
      <w:r>
        <w:t xml:space="preserve"> </w:t>
      </w:r>
      <w:hyperlink w:anchor="fig-poa-bilinguals-summary">
        <w:r>
          <w:rPr>
            <w:rStyle w:val="Hyperlink"/>
          </w:rPr>
          <w:t xml:space="preserve">Figure 7</w:t>
        </w:r>
      </w:hyperlink>
      <w:r>
        <w:t xml:space="preserve">, as well as</w:t>
      </w:r>
      <w:r>
        <w:t xml:space="preserve"> </w:t>
      </w:r>
      <w:hyperlink w:anchor="tbl-bi-poa">
        <w:r>
          <w:rPr>
            <w:rStyle w:val="Hyperlink"/>
          </w:rPr>
          <w:t xml:space="preserve">Table 8</w:t>
        </w:r>
      </w:hyperlink>
      <w:r>
        <w:t xml:space="preserve"> </w:t>
      </w:r>
      <w:r>
        <w:t xml:space="preserve">of the supplementary materials.</w:t>
      </w:r>
    </w:p>
    <w:p>
      <w:pPr>
        <w:pStyle w:val="BodyText"/>
      </w:pPr>
      <w:r>
        <w:rPr>
          <w:bCs/>
          <w:b/>
        </w:rPr>
        <w:t xml:space="preserve">Skewness.</w:t>
      </w:r>
      <w:r>
        <w:t xml:space="preserve"> </w:t>
      </w:r>
      <w:r>
        <w:t xml:space="preserve">Finally, for skewness we find an effect of language (β = 1.028, HDI = [0.791, 1.259], ROPE = 0, MPE = 1) and POA (β = character(0), HDI = character(0), ROPE = numeric(0), MPE = numeric(0)) and the two predictors interacted (β = character(0), HDI = character(0), ROPE = numeric(0), MPE = numeric(0)).</w:t>
      </w:r>
      <w:r>
        <w:t xml:space="preserve"> </w:t>
      </w:r>
      <w:r>
        <w:t xml:space="preserve">As illustrated in the final panel of the second row in</w:t>
      </w:r>
      <w:r>
        <w:t xml:space="preserve"> </w:t>
      </w:r>
      <w:hyperlink w:anchor="fig-poa-bilinguals">
        <w:r>
          <w:rPr>
            <w:rStyle w:val="Hyperlink"/>
          </w:rPr>
          <w:t xml:space="preserve">Figure 6</w:t>
        </w:r>
      </w:hyperlink>
      <w:r>
        <w:t xml:space="preserve">, skewness was higher in Spanish /t/ than in English /t/ (Spanish /t/ vs. English /t/: β = character(0), HDI = character(0), ROPE = numeric(0), MPE = numeric(0)), but there was no such difference in the bilabials (Spanish /p/ vs. English /p/: β = character(0), HDI = character(0), ROPE = numeric(0), MPE = numeric(0)).</w:t>
      </w:r>
      <w:r>
        <w:t xml:space="preserve"> </w:t>
      </w:r>
      <w:r>
        <w:t xml:space="preserve">The following vowel did not affect skewness of the bursts (F1: β = 0.021, HDI = [−0.025, 0.066], ROPE = 1, MPE = 0.812; F2: β = −0.047, HDI = [−0.094, 0.004], ROPE = 1, MPE = 0.968).</w:t>
      </w:r>
      <w:r>
        <w:t xml:space="preserve"> </w:t>
      </w:r>
      <w:r>
        <w:t xml:space="preserve">The model summary is available in</w:t>
      </w:r>
      <w:r>
        <w:t xml:space="preserve"> </w:t>
      </w:r>
      <w:hyperlink w:anchor="fig-poa-bilinguals-summary">
        <w:r>
          <w:rPr>
            <w:rStyle w:val="Hyperlink"/>
          </w:rPr>
          <w:t xml:space="preserve">Figure 7</w:t>
        </w:r>
      </w:hyperlink>
      <w:r>
        <w:t xml:space="preserve"> </w:t>
      </w:r>
      <w:r>
        <w:t xml:space="preserve">below and</w:t>
      </w:r>
      <w:r>
        <w:t xml:space="preserve"> </w:t>
      </w:r>
      <w:hyperlink w:anchor="tbl-bi-poa">
        <w:r>
          <w:rPr>
            <w:rStyle w:val="Hyperlink"/>
          </w:rPr>
          <w:t xml:space="preserve">Table 8</w:t>
        </w:r>
      </w:hyperlink>
      <w:r>
        <w:t xml:space="preserve"> </w:t>
      </w:r>
      <w:r>
        <w:t xml:space="preserve">of the supplementary materials.</w:t>
      </w:r>
    </w:p>
    <w:p>
      <w:pPr>
        <w:pStyle w:val="BodyText"/>
      </w:pPr>
      <w:r>
        <w:rPr>
          <w:bCs/>
          <w:b/>
        </w:rPr>
        <w:t xml:space="preserve">Interim discussion.</w:t>
      </w:r>
    </w:p>
    <w:tbl>
      <w:tblPr>
        <w:tblStyle w:val="Table"/>
        <w:tblW w:type="pct" w:w="5000"/>
        <w:tblLook w:firstRow="0" w:lastRow="0" w:firstColumn="0" w:lastColumn="0" w:noHBand="0" w:noVBand="0" w:val="0000"/>
      </w:tblPr>
      <w:tblGrid>
        <w:gridCol w:w="7920"/>
      </w:tblGrid>
      <w:tr>
        <w:tc>
          <w:tcPr/>
          <w:bookmarkStart w:id="60" w:name="fig-poa-bilinguals-summary"/>
          <w:p>
            <w:pPr>
              <w:pStyle w:val="Figure"/>
              <w:jc w:val="center"/>
            </w:pPr>
            <w:r>
              <w:drawing>
                <wp:inline>
                  <wp:extent cx="5943600" cy="4622800"/>
                  <wp:effectExtent b="0" l="0" r="0" t="0"/>
                  <wp:docPr descr="" title="" id="58" name="Picture"/>
                  <a:graphic>
                    <a:graphicData uri="http://schemas.openxmlformats.org/drawingml/2006/picture">
                      <pic:pic>
                        <pic:nvPicPr>
                          <pic:cNvPr descr="../../../figs/poa_summary.pdf" id="59" name="Picture"/>
                          <pic:cNvPicPr>
                            <a:picLocks noChangeArrowheads="1" noChangeAspect="1"/>
                          </pic:cNvPicPr>
                        </pic:nvPicPr>
                        <pic:blipFill>
                          <a:blip r:embed="rId57"/>
                          <a:stretch>
                            <a:fillRect/>
                          </a:stretch>
                        </pic:blipFill>
                        <pic:spPr bwMode="auto">
                          <a:xfrm>
                            <a:off x="0" y="0"/>
                            <a:ext cx="5943600" cy="4622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Posterior medians with 95% and 66% credible intervals for VOT and burst metrics of bilingual voiceless stops. Individual point shapes and colors represent the six metrics analyzed.</w:t>
            </w:r>
          </w:p>
          <w:bookmarkEnd w:id="60"/>
        </w:tc>
      </w:tr>
    </w:tbl>
    <w:p>
      <w:pPr>
        <w:pStyle w:val="BodyText"/>
      </w:pPr>
      <w:r>
        <w:t xml:space="preserve">The analyses of the bilingual bilabial and coronal voiceless stops are summarized in the forest plot in</w:t>
      </w:r>
      <w:r>
        <w:t xml:space="preserve"> </w:t>
      </w:r>
      <w:hyperlink w:anchor="fig-poa-bilinguals-summary">
        <w:r>
          <w:rPr>
            <w:rStyle w:val="Hyperlink"/>
          </w:rPr>
          <w:t xml:space="preserve">Figure 7</w:t>
        </w:r>
      </w:hyperlink>
      <w:r>
        <w:t xml:space="preserve"> </w:t>
      </w:r>
      <w:r>
        <w:t xml:space="preserve">and</w:t>
      </w:r>
      <w:r>
        <w:t xml:space="preserve"> </w:t>
      </w:r>
      <w:hyperlink w:anchor="tbl-bi-poa">
        <w:r>
          <w:rPr>
            <w:rStyle w:val="Hyperlink"/>
          </w:rPr>
          <w:t xml:space="preserve">Table 8</w:t>
        </w:r>
      </w:hyperlink>
      <w:r>
        <w:t xml:space="preserve"> </w:t>
      </w:r>
      <w:r>
        <w:t xml:space="preserve">of the supplementary materials.</w:t>
      </w:r>
      <w:r>
        <w:t xml:space="preserve"> </w:t>
      </w:r>
      <w:r>
        <w:t xml:space="preserve">The analyses revealed four important findings.</w:t>
      </w:r>
      <w:r>
        <w:t xml:space="preserve"> </w:t>
      </w:r>
      <w:r>
        <w:t xml:space="preserve">First, VOT was realized in a language-specific manner that was was similar for bilabials and coronals.</w:t>
      </w:r>
      <w:r>
        <w:t xml:space="preserve"> </w:t>
      </w:r>
      <w:r>
        <w:t xml:space="preserve">As with the previous analyses, Spanish voiceless stops were realized with short-lag VOT and English voiceless stops were realized with long-lag VOT.</w:t>
      </w:r>
      <w:r>
        <w:t xml:space="preserve"> </w:t>
      </w:r>
      <w:r>
        <w:t xml:space="preserve">Second, relative intensity can capture place of articulation differences, which are realized similarly in English and Spanish.</w:t>
      </w:r>
      <w:r>
        <w:t xml:space="preserve"> </w:t>
      </w:r>
      <w:r>
        <w:t xml:space="preserve">Third, we again find that COG and standard deviation pattern similarly, as do kurtosis and skewness, across languages for bilabial and coronal stops.</w:t>
      </w:r>
      <w:r>
        <w:t xml:space="preserve"> </w:t>
      </w:r>
      <w:r>
        <w:t xml:space="preserve">And, finally, we see that English and Spanish coronals differ with regard to all four spectral moment measurements, where as bilabials do not.</w:t>
      </w:r>
      <w:r>
        <w:t xml:space="preserve"> </w:t>
      </w:r>
      <w:hyperlink w:anchor="fig-poa-post-hoc-all">
        <w:r>
          <w:rPr>
            <w:rStyle w:val="Hyperlink"/>
          </w:rPr>
          <w:t xml:space="preserve">Figure 8</w:t>
        </w:r>
      </w:hyperlink>
      <w:r>
        <w:t xml:space="preserve"> </w:t>
      </w:r>
      <w:r>
        <w:t xml:space="preserve">plots the posterior distributions of the Spanish-English difference estimates for VOT, relative intensity, and each spectral moment for bilabials and coronals (See also</w:t>
      </w:r>
      <w:r>
        <w:t xml:space="preserve"> </w:t>
      </w:r>
      <w:hyperlink w:anchor="tbl-poa-post-hoc-all">
        <w:r>
          <w:rPr>
            <w:rStyle w:val="Hyperlink"/>
          </w:rPr>
          <w:t xml:space="preserve">Table 9</w:t>
        </w:r>
      </w:hyperlink>
      <w:r>
        <w:t xml:space="preserve">).</w:t>
      </w:r>
      <w:r>
        <w:t xml:space="preserve"> </w:t>
      </w:r>
      <w:r>
        <w:t xml:space="preserve">One can observe clear between language differences for VOT in bilabials and coronals (i.e., short-lag vs. long-lag realizations), but only for coronals (orange triangles) in the spectral moments.</w:t>
      </w:r>
      <w:r>
        <w:t xml:space="preserve"> </w:t>
      </w:r>
      <w:r>
        <w:t xml:space="preserve">Thus, all four spectral moment measurements capture the subtle articulatory differences (dental vs. alveolar) between English and Spanish coronals stops.</w:t>
      </w:r>
      <w:r>
        <w:t xml:space="preserve"> </w:t>
      </w:r>
      <w:r>
        <w:t xml:space="preserve">No such fine-phonetic differences are attested in bilabials, and, unsurprisingly, we find no between-language differences at bilabial place.</w:t>
      </w:r>
    </w:p>
    <w:tbl>
      <w:tblPr>
        <w:tblStyle w:val="Table"/>
        <w:tblW w:type="pct" w:w="5000"/>
        <w:tblLook w:firstRow="0" w:lastRow="0" w:firstColumn="0" w:lastColumn="0" w:noHBand="0" w:noVBand="0" w:val="0000"/>
      </w:tblPr>
      <w:tblGrid>
        <w:gridCol w:w="7920"/>
      </w:tblGrid>
      <w:tr>
        <w:tc>
          <w:tcPr/>
          <w:bookmarkStart w:id="64" w:name="fig-poa-post-hoc-all"/>
          <w:p>
            <w:pPr>
              <w:pStyle w:val="Figure"/>
              <w:jc w:val="center"/>
            </w:pPr>
            <w:r>
              <w:drawing>
                <wp:inline>
                  <wp:extent cx="5943600" cy="2971800"/>
                  <wp:effectExtent b="0" l="0" r="0" t="0"/>
                  <wp:docPr descr="" title="" id="62" name="Picture"/>
                  <a:graphic>
                    <a:graphicData uri="http://schemas.openxmlformats.org/drawingml/2006/picture">
                      <pic:pic>
                        <pic:nvPicPr>
                          <pic:cNvPr descr="../../../figs/poa_post_hoc_all.pdf" id="63" name="Picture"/>
                          <pic:cNvPicPr>
                            <a:picLocks noChangeArrowheads="1" noChangeAspect="1"/>
                          </pic:cNvPicPr>
                        </pic:nvPicPr>
                        <pic:blipFill>
                          <a:blip r:embed="rId61"/>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Posterior distributions of difference estimates between Spanish and English for bilabial, coronal, and velar voiceless stops. Each point represents the posterior mean difference and 95% HDI of the posterior of the Spanish values subtracted from the posterior of the English values. The light blue region represents a ROPE of ±0.1.</w:t>
            </w:r>
          </w:p>
          <w:bookmarkEnd w:id="64"/>
        </w:tc>
      </w:tr>
    </w:tbl>
    <w:bookmarkEnd w:id="65"/>
    <w:bookmarkEnd w:id="66"/>
    <w:bookmarkStart w:id="69" w:name="discussion"/>
    <w:p>
      <w:pPr>
        <w:pStyle w:val="Heading1"/>
      </w:pPr>
      <w:r>
        <w:t xml:space="preserve">Discussion</w:t>
      </w:r>
    </w:p>
    <w:bookmarkStart w:id="67" w:name="summary-of-findings"/>
    <w:p>
      <w:pPr>
        <w:pStyle w:val="Heading2"/>
      </w:pPr>
      <w:r>
        <w:t xml:space="preserve">Summary of findings</w:t>
      </w:r>
    </w:p>
    <w:bookmarkEnd w:id="67"/>
    <w:bookmarkStart w:id="68" w:name="interpretation-and-implications"/>
    <w:p>
      <w:pPr>
        <w:pStyle w:val="Heading2"/>
      </w:pPr>
      <w:r>
        <w:t xml:space="preserve">Interpretation and implications</w:t>
      </w:r>
    </w:p>
    <w:bookmarkEnd w:id="68"/>
    <w:bookmarkEnd w:id="69"/>
    <w:bookmarkStart w:id="70" w:name="conclusion"/>
    <w:p>
      <w:pPr>
        <w:pStyle w:val="Heading1"/>
      </w:pPr>
      <w:r>
        <w:t xml:space="preserve">Conclusion</w:t>
      </w:r>
    </w:p>
    <w:p>
      <w:r>
        <w:br w:type="page"/>
      </w:r>
    </w:p>
    <w:bookmarkEnd w:id="70"/>
    <w:bookmarkStart w:id="88" w:name="references"/>
    <w:p>
      <w:pPr>
        <w:pStyle w:val="Heading1"/>
      </w:pPr>
      <w:r>
        <w:t xml:space="preserve">References</w:t>
      </w:r>
    </w:p>
    <w:bookmarkStart w:id="87" w:name="refs"/>
    <w:bookmarkStart w:id="72" w:name="ref-praat"/>
    <w:p>
      <w:pPr>
        <w:pStyle w:val="Bibliography"/>
      </w:pPr>
      <w:r>
        <w:t xml:space="preserve">Boersma, P., &amp; Weenink, D. (2022).</w:t>
      </w:r>
      <w:r>
        <w:t xml:space="preserve"> </w:t>
      </w:r>
      <w:r>
        <w:rPr>
          <w:iCs/>
          <w:i/>
        </w:rPr>
        <w:t xml:space="preserve">Praat: Doing phonetics by computer [computer program]</w:t>
      </w:r>
      <w:r>
        <w:t xml:space="preserve">. Retrieved from</w:t>
      </w:r>
      <w:r>
        <w:t xml:space="preserve"> </w:t>
      </w:r>
      <w:hyperlink r:id="rId71">
        <w:r>
          <w:rPr>
            <w:rStyle w:val="Hyperlink"/>
          </w:rPr>
          <w:t xml:space="preserve">http://www.praat.org/</w:t>
        </w:r>
      </w:hyperlink>
    </w:p>
    <w:bookmarkEnd w:id="72"/>
    <w:bookmarkStart w:id="74"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73">
        <w:r>
          <w:rPr>
            <w:rStyle w:val="Hyperlink"/>
          </w:rPr>
          <w:t xml:space="preserve">https://doi.org/10.18637/jss.v080.i01</w:t>
        </w:r>
      </w:hyperlink>
    </w:p>
    <w:bookmarkEnd w:id="74"/>
    <w:bookmarkStart w:id="76"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75">
        <w:r>
          <w:rPr>
            <w:rStyle w:val="Hyperlink"/>
          </w:rPr>
          <w:t xml:space="preserve">https://doi.org/10.32614/RJ-2018-017</w:t>
        </w:r>
      </w:hyperlink>
    </w:p>
    <w:bookmarkEnd w:id="76"/>
    <w:bookmarkStart w:id="77" w:name="ref-cohen1988statistical"/>
    <w:p>
      <w:pPr>
        <w:pStyle w:val="Bibliography"/>
      </w:pPr>
      <w:r>
        <w:t xml:space="preserve">Cohen, J. (1988).</w:t>
      </w:r>
      <w:r>
        <w:t xml:space="preserve"> </w:t>
      </w:r>
      <w:r>
        <w:rPr>
          <w:iCs/>
          <w:i/>
        </w:rPr>
        <w:t xml:space="preserve">Statistical power analysis for the behavioral sciences</w:t>
      </w:r>
      <w:r>
        <w:t xml:space="preserve">. Hillsdale, NJ: Erlbaum.</w:t>
      </w:r>
    </w:p>
    <w:bookmarkEnd w:id="77"/>
    <w:bookmarkStart w:id="78" w:name="ref-cohen2013statistical"/>
    <w:p>
      <w:pPr>
        <w:pStyle w:val="Bibliography"/>
      </w:pPr>
      <w:r>
        <w:t xml:space="preserve">Cohen, J. (2013).</w:t>
      </w:r>
      <w:r>
        <w:t xml:space="preserve"> </w:t>
      </w:r>
      <w:r>
        <w:rPr>
          <w:iCs/>
          <w:i/>
        </w:rPr>
        <w:t xml:space="preserve">Statistical power analysis for the behavioral sciences</w:t>
      </w:r>
      <w:r>
        <w:t xml:space="preserve">. Routledge.</w:t>
      </w:r>
    </w:p>
    <w:bookmarkEnd w:id="78"/>
    <w:bookmarkStart w:id="80" w:name="ref-Gelman_2017"/>
    <w:p>
      <w:pPr>
        <w:pStyle w:val="Bibliography"/>
      </w:pPr>
      <w:r>
        <w:t xml:space="preserve">Gelman, A., Simpson, D., &amp; Betancourt, M. (2017). The prior can often only be understood in the context of the likelihood.</w:t>
      </w:r>
      <w:r>
        <w:t xml:space="preserve"> </w:t>
      </w:r>
      <w:r>
        <w:rPr>
          <w:iCs/>
          <w:i/>
        </w:rPr>
        <w:t xml:space="preserve">Entropy</w:t>
      </w:r>
      <w:r>
        <w:t xml:space="preserve">,</w:t>
      </w:r>
      <w:r>
        <w:t xml:space="preserve"> </w:t>
      </w:r>
      <w:r>
        <w:rPr>
          <w:iCs/>
          <w:i/>
        </w:rPr>
        <w:t xml:space="preserve">19</w:t>
      </w:r>
      <w:r>
        <w:t xml:space="preserve">(10), 1–13.</w:t>
      </w:r>
      <w:r>
        <w:t xml:space="preserve"> </w:t>
      </w:r>
      <w:hyperlink r:id="rId79">
        <w:r>
          <w:rPr>
            <w:rStyle w:val="Hyperlink"/>
          </w:rPr>
          <w:t xml:space="preserve">https://doi.org/10.3390/e19100555</w:t>
        </w:r>
      </w:hyperlink>
    </w:p>
    <w:bookmarkEnd w:id="80"/>
    <w:bookmarkStart w:id="81" w:name="ref-Gertken:2014wj"/>
    <w:p>
      <w:pPr>
        <w:pStyle w:val="Bibliography"/>
      </w:pPr>
      <w:r>
        <w:t xml:space="preserve">Gertken, L. M., Amengual, M., &amp; Birdsong, D. (2014).</w:t>
      </w:r>
      <w:r>
        <w:t xml:space="preserve"> </w:t>
      </w:r>
      <w:r>
        <w:rPr>
          <w:iCs/>
          <w:i/>
        </w:rPr>
        <w:t xml:space="preserve">Assessing Language Dominance with the Bilingual Language Profile</w:t>
      </w:r>
      <w:r>
        <w:t xml:space="preserve"> </w:t>
      </w:r>
      <w:r>
        <w:t xml:space="preserve">(P. Leclercq, A. Edmonds, &amp; H. Hilton, Eds.). Bristol: Multilingual Matters.</w:t>
      </w:r>
    </w:p>
    <w:bookmarkEnd w:id="81"/>
    <w:bookmarkStart w:id="82" w:name="ref-kruschke2018rejecting"/>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p>
    <w:bookmarkEnd w:id="82"/>
    <w:bookmarkStart w:id="84" w:name="ref-R-base"/>
    <w:p>
      <w:pPr>
        <w:pStyle w:val="Bibliography"/>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83">
        <w:r>
          <w:rPr>
            <w:rStyle w:val="Hyperlink"/>
          </w:rPr>
          <w:t xml:space="preserve">https://www.R-project.org/</w:t>
        </w:r>
      </w:hyperlink>
    </w:p>
    <w:bookmarkEnd w:id="84"/>
    <w:bookmarkStart w:id="85" w:name="ref-van2014bayesian"/>
    <w:p>
      <w:pPr>
        <w:pStyle w:val="Bibliography"/>
      </w:pPr>
      <w:r>
        <w:t xml:space="preserve">Schoot, R. van de, &amp; Depaoli, S. (2014). Bayesian analyses: Where to start and what to report.</w:t>
      </w:r>
      <w:r>
        <w:t xml:space="preserve"> </w:t>
      </w:r>
      <w:r>
        <w:rPr>
          <w:iCs/>
          <w:i/>
        </w:rPr>
        <w:t xml:space="preserve">European Health Psychologist</w:t>
      </w:r>
      <w:r>
        <w:t xml:space="preserve">,</w:t>
      </w:r>
      <w:r>
        <w:t xml:space="preserve"> </w:t>
      </w:r>
      <w:r>
        <w:rPr>
          <w:iCs/>
          <w:i/>
        </w:rPr>
        <w:t xml:space="preserve">16</w:t>
      </w:r>
      <w:r>
        <w:t xml:space="preserve">(2), 75–84.</w:t>
      </w:r>
    </w:p>
    <w:bookmarkEnd w:id="85"/>
    <w:bookmarkStart w:id="86" w:name="ref-vasishth2018bayesian"/>
    <w:p>
      <w:pPr>
        <w:pStyle w:val="Bibliography"/>
      </w:pPr>
      <w:r>
        <w:t xml:space="preserve">Vasishth, S., Nicenboim, B., Beckman, M. E., Li, F., &amp; Kong, E. J. (2018). Bayesian data analysis in the phonetic sciences: A tutorial introduction.</w:t>
      </w:r>
      <w:r>
        <w:t xml:space="preserve"> </w:t>
      </w:r>
      <w:r>
        <w:rPr>
          <w:iCs/>
          <w:i/>
        </w:rPr>
        <w:t xml:space="preserve">Journal of Phonetics</w:t>
      </w:r>
      <w:r>
        <w:t xml:space="preserve">,</w:t>
      </w:r>
      <w:r>
        <w:t xml:space="preserve"> </w:t>
      </w:r>
      <w:r>
        <w:rPr>
          <w:iCs/>
          <w:i/>
        </w:rPr>
        <w:t xml:space="preserve">71</w:t>
      </w:r>
      <w:r>
        <w:t xml:space="preserve">, 147–161.</w:t>
      </w:r>
    </w:p>
    <w:bookmarkEnd w:id="86"/>
    <w:bookmarkEnd w:id="87"/>
    <w:p>
      <w:r>
        <w:br w:type="page"/>
      </w:r>
    </w:p>
    <w:bookmarkEnd w:id="88"/>
    <w:bookmarkStart w:id="139" w:name="supplementary-materials"/>
    <w:p>
      <w:pPr>
        <w:pStyle w:val="Heading1"/>
      </w:pPr>
      <w:r>
        <w:t xml:space="preserve">Supplementary materials</w:t>
      </w:r>
    </w:p>
    <w:bookmarkStart w:id="98" w:name="appendix-a-vowels"/>
    <w:p>
      <w:pPr>
        <w:pStyle w:val="Heading2"/>
      </w:pPr>
      <w:r>
        <w:t xml:space="preserve">Appendix A: Vowels</w:t>
      </w:r>
    </w:p>
    <w:p>
      <w:pPr>
        <w:pStyle w:val="FirstParagraph"/>
      </w:pPr>
      <w:r>
        <w:t xml:space="preserve">Prior to the stop analyses we scrutinized the formant structure, F1 and F2, of the vowel following the coronal stops.</w:t>
      </w:r>
      <w:r>
        <w:t xml:space="preserve"> </w:t>
      </w:r>
      <w:r>
        <w:t xml:space="preserve">The purpose of this analysis was to determine if the low /a/ and /æ/ vowels of Spanish and English, respectively, differed from each other.</w:t>
      </w:r>
      <w:r>
        <w:t xml:space="preserve"> </w:t>
      </w:r>
      <w:r>
        <w:t xml:space="preserve">This analysis was taken as a precautionary measure with the objective of determining whether or not coarticulation effects may be present in the stop metrics due to the possible different spectral envelopes of the next segment.</w:t>
      </w:r>
    </w:p>
    <w:p>
      <w:pPr>
        <w:pStyle w:val="BodyText"/>
      </w:pPr>
      <w:r>
        <w:t xml:space="preserve">The F1 and F2 data were analyzed using separate Bayesian multilevel models.</w:t>
      </w:r>
      <w:r>
        <w:t xml:space="preserve"> </w:t>
      </w:r>
      <w:r>
        <w:t xml:space="preserve">The criterion (F1 or F2) were standardized and modeled as a function of language (English, Spanish), phoneme (/d/, /t/), and item repetition.</w:t>
      </w:r>
      <w:r>
        <w:t xml:space="preserve"> </w:t>
      </w:r>
      <w:r>
        <w:t xml:space="preserve">Language and phoneme were sum coded (-1, 1).</w:t>
      </w:r>
      <w:r>
        <w:t xml:space="preserve"> </w:t>
      </w:r>
      <w:r>
        <w:t xml:space="preserve">The random effects structure included by-subject intercepts with random slopes for phoneme and item repetition, as well as by-item intercepts with a random slope for item repetition.</w:t>
      </w:r>
      <w:r>
        <w:t xml:space="preserve"> </w:t>
      </w:r>
      <w:r>
        <w:t xml:space="preserve">The model included weakly informative priors with the mean centered at 0 and a standard deviation of 2.</w:t>
      </w:r>
    </w:p>
    <w:p>
      <w:pPr>
        <w:pStyle w:val="BodyText"/>
      </w:pPr>
      <w:r>
        <w:t xml:space="preserve">The model suggested weak evidence for a language effect on F1 (β = 0.008, HDI = [−0.221, 0.203], ROPE = 0.693, MPE = 0.536) and F2</w:t>
      </w:r>
      <w:r>
        <w:t xml:space="preserve"> </w:t>
      </w:r>
      <w:r>
        <w:t xml:space="preserve">(β = 0.222, HDI = [−0.007, 0.462], ROPE = 0.121, MPE = 0.967).</w:t>
      </w:r>
      <w:r>
        <w:t xml:space="preserve"> </w:t>
      </w:r>
      <w:r>
        <w:t xml:space="preserve">Together, the point estimates suggest the spectral centroid of the Spanish vowel was slightly higher and more posterior with respect to that of the English vowel.</w:t>
      </w:r>
      <w:r>
        <w:t xml:space="preserve"> </w:t>
      </w:r>
      <w:r>
        <w:t xml:space="preserve">There was no evidence for a phoneme effect on F1 (β = 0.124, HDI = [0.007, 0.235], ROPE = 0.328, MPE = 0.981), nor on F2 (β = 0.129, HDI = [−0.042, 0.318], ROPE = 0.353, MPE = 0.917).</w:t>
      </w:r>
      <w:r>
        <w:t xml:space="preserve"> </w:t>
      </w:r>
      <w:r>
        <w:t xml:space="preserve">Given the possibility of a small effect of language on the spectral envelope, standardized F1 and F2 were used in subsequent analyses of the coronal stops to control for any coarticulatory effects on the burst.</w:t>
      </w:r>
      <w:r>
        <w:t xml:space="preserve"> </w:t>
      </w:r>
      <w:hyperlink w:anchor="fig-monolingual-vowels">
        <w:r>
          <w:rPr>
            <w:rStyle w:val="Hyperlink"/>
          </w:rPr>
          <w:t xml:space="preserve">Figure 9</w:t>
        </w:r>
      </w:hyperlink>
      <w:r>
        <w:t xml:space="preserve"> </w:t>
      </w:r>
      <w:r>
        <w:t xml:space="preserve">plots the F1 × F2 data and</w:t>
      </w:r>
      <w:r>
        <w:t xml:space="preserve"> </w:t>
      </w:r>
      <w:hyperlink w:anchor="fig-monolingual-vowels-summary">
        <w:r>
          <w:rPr>
            <w:rStyle w:val="Hyperlink"/>
          </w:rPr>
          <w:t xml:space="preserve">Figure 10</w:t>
        </w:r>
      </w:hyperlink>
      <w:r>
        <w:t xml:space="preserve"> </w:t>
      </w:r>
      <w:r>
        <w:t xml:space="preserve">plots the model summary.</w:t>
      </w:r>
      <w:r>
        <w:t xml:space="preserve"> </w:t>
      </w:r>
      <w:r>
        <w:t xml:space="preserve">A complete summary of the F1 and F2 models is available in</w:t>
      </w:r>
      <w:r>
        <w:t xml:space="preserve"> </w:t>
      </w:r>
      <w:hyperlink w:anchor="tbl-vowels">
        <w:r>
          <w:rPr>
            <w:rStyle w:val="Hyperlink"/>
          </w:rPr>
          <w:t xml:space="preserve">Table 1</w:t>
        </w:r>
      </w:hyperlink>
      <w:r>
        <w:t xml:space="preserve">.</w:t>
      </w:r>
    </w:p>
    <w:tbl>
      <w:tblPr>
        <w:tblStyle w:val="Table"/>
        <w:tblW w:type="pct" w:w="5000"/>
        <w:tblLook w:firstRow="0" w:lastRow="0" w:firstColumn="0" w:lastColumn="0" w:noHBand="0" w:noVBand="0" w:val="0000"/>
      </w:tblPr>
      <w:tblGrid>
        <w:gridCol w:w="7920"/>
      </w:tblGrid>
      <w:tr>
        <w:tc>
          <w:tcPr/>
          <w:bookmarkStart w:id="92" w:name="fig-monolingual-vowels"/>
          <w:p>
            <w:pPr>
              <w:pStyle w:val="Figure"/>
              <w:jc w:val="center"/>
            </w:pPr>
            <w:r>
              <w:drawing>
                <wp:inline>
                  <wp:extent cx="5943600" cy="3302000"/>
                  <wp:effectExtent b="0" l="0" r="0" t="0"/>
                  <wp:docPr descr="" title="" id="90" name="Picture"/>
                  <a:graphic>
                    <a:graphicData uri="http://schemas.openxmlformats.org/drawingml/2006/picture">
                      <pic:pic>
                        <pic:nvPicPr>
                          <pic:cNvPr descr="../../../figs/vowel_all_metrics_marginal.pdf" id="91" name="Picture"/>
                          <pic:cNvPicPr>
                            <a:picLocks noChangeArrowheads="1" noChangeAspect="1"/>
                          </pic:cNvPicPr>
                        </pic:nvPicPr>
                        <pic:blipFill>
                          <a:blip r:embed="rId89"/>
                          <a:stretch>
                            <a:fillRect/>
                          </a:stretch>
                        </pic:blipFill>
                        <pic:spPr bwMode="auto">
                          <a:xfrm>
                            <a:off x="0" y="0"/>
                            <a:ext cx="5943600" cy="330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F1 × F2 of /a/ from monolingual speakers as a function of language (English, Spanish). Transparent points represent raw data. Solid points indicate posterior means ±95% and 80% credible intervals.</w:t>
            </w:r>
          </w:p>
          <w:bookmarkEnd w:id="92"/>
        </w:tc>
      </w:tr>
    </w:tbl>
    <w:tbl>
      <w:tblPr>
        <w:tblStyle w:val="Table"/>
        <w:tblW w:type="pct" w:w="5000"/>
        <w:tblLook w:firstRow="0" w:lastRow="0" w:firstColumn="0" w:lastColumn="0" w:noHBand="0" w:noVBand="0" w:val="0000"/>
      </w:tblPr>
      <w:tblGrid>
        <w:gridCol w:w="7920"/>
      </w:tblGrid>
      <w:tr>
        <w:tc>
          <w:tcPr/>
          <w:bookmarkStart w:id="96" w:name="fig-monolingual-vowels-summary"/>
          <w:p>
            <w:pPr>
              <w:pStyle w:val="Figure"/>
              <w:jc w:val="center"/>
            </w:pPr>
            <w:r>
              <w:drawing>
                <wp:inline>
                  <wp:extent cx="5943600" cy="1981200"/>
                  <wp:effectExtent b="0" l="0" r="0" t="0"/>
                  <wp:docPr descr="" title="" id="94" name="Picture"/>
                  <a:graphic>
                    <a:graphicData uri="http://schemas.openxmlformats.org/drawingml/2006/picture">
                      <pic:pic>
                        <pic:nvPicPr>
                          <pic:cNvPr descr="../../../figs/vowel_summary.pdf" id="95" name="Picture"/>
                          <pic:cNvPicPr>
                            <a:picLocks noChangeArrowheads="1" noChangeAspect="1"/>
                          </pic:cNvPicPr>
                        </pic:nvPicPr>
                        <pic:blipFill>
                          <a:blip r:embed="rId93"/>
                          <a:stretch>
                            <a:fillRect/>
                          </a:stretch>
                        </pic:blipFill>
                        <pic:spPr bwMode="auto">
                          <a:xfrm>
                            <a:off x="0" y="0"/>
                            <a:ext cx="5943600" cy="1981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Posterior medians ±95% and 66% credible intervals for F1 and F2 from monolingual speaker data.</w:t>
            </w:r>
          </w:p>
          <w:bookmarkEnd w:id="96"/>
        </w:tc>
      </w:tr>
    </w:tbl>
    <w:bookmarkStart w:id="97" w:name="tbl-vowels"/>
    <w:p>
      <w:pPr>
        <w:pStyle w:val="TableCaption"/>
      </w:pPr>
      <w:r>
        <w:t xml:space="preserve">Table 1: Model summary for F1 and F2 as a function of language (English, Spanish), phoneme (/d/, /t/), and item repetition for monolingual data. The percentage of the HDI contained within the ROPE is based on an effect size of ±0.1.</w:t>
      </w:r>
    </w:p>
    <w:tbl>
      <w:tblPr>
        <w:tblStyle w:val="Table"/>
        <w:tblW w:type="pct" w:w="5000"/>
        <w:tblLook w:firstRow="1" w:lastRow="0" w:firstColumn="0" w:lastColumn="0" w:noHBand="0" w:noVBand="0" w:val="0020"/>
        <w:tblCaption w:val="Table 1: Model summary for F1 and F2 as a function of language (English, Spanish), phoneme (/d/, /t/), and item repetition for monolingual data. The percentage of the HDI contained within the ROPE is based on an effect size of ±0.1."/>
      </w:tblPr>
      <w:tblGrid>
        <w:gridCol w:w="780"/>
        <w:gridCol w:w="1896"/>
        <w:gridCol w:w="1450"/>
        <w:gridCol w:w="2454"/>
        <w:gridCol w:w="669"/>
        <w:gridCol w:w="66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F1</w:t>
            </w:r>
          </w:p>
        </w:tc>
        <w:tc>
          <w:tcPr/>
          <w:p>
            <w:pPr>
              <w:pStyle w:val="Compact"/>
              <w:jc w:val="left"/>
            </w:pPr>
            <w:r>
              <w:t xml:space="preserve">Intercept</w:t>
            </w:r>
          </w:p>
        </w:tc>
        <w:tc>
          <w:tcPr/>
          <w:p>
            <w:pPr>
              <w:pStyle w:val="Compact"/>
              <w:jc w:val="right"/>
            </w:pPr>
            <w:r>
              <w:t xml:space="preserve">−0.031</w:t>
            </w:r>
          </w:p>
        </w:tc>
        <w:tc>
          <w:tcPr/>
          <w:p>
            <w:pPr>
              <w:pStyle w:val="Compact"/>
              <w:jc w:val="right"/>
            </w:pPr>
            <w:r>
              <w:t xml:space="preserve">[−0.283, 0.205]</w:t>
            </w:r>
          </w:p>
        </w:tc>
        <w:tc>
          <w:tcPr/>
          <w:p>
            <w:pPr>
              <w:pStyle w:val="Compact"/>
              <w:jc w:val="right"/>
            </w:pPr>
            <w:r>
              <w:t xml:space="preserve">0.587</w:t>
            </w:r>
          </w:p>
        </w:tc>
        <w:tc>
          <w:tcPr/>
          <w:p>
            <w:pPr>
              <w:pStyle w:val="Compact"/>
              <w:jc w:val="right"/>
            </w:pPr>
            <w:r>
              <w:t xml:space="preserve">0.606</w:t>
            </w:r>
          </w:p>
        </w:tc>
      </w:tr>
      <w:tr>
        <w:tc>
          <w:tcPr/>
          <w:p>
            <w:pPr>
              <w:pStyle w:val="Compact"/>
            </w:pPr>
          </w:p>
        </w:tc>
        <w:tc>
          <w:tcPr/>
          <w:p>
            <w:pPr>
              <w:pStyle w:val="Compact"/>
              <w:jc w:val="left"/>
            </w:pPr>
            <w:r>
              <w:t xml:space="preserve">Language</w:t>
            </w:r>
          </w:p>
        </w:tc>
        <w:tc>
          <w:tcPr/>
          <w:p>
            <w:pPr>
              <w:pStyle w:val="Compact"/>
              <w:jc w:val="right"/>
            </w:pPr>
            <w:r>
              <w:t xml:space="preserve">0.008</w:t>
            </w:r>
          </w:p>
        </w:tc>
        <w:tc>
          <w:tcPr/>
          <w:p>
            <w:pPr>
              <w:pStyle w:val="Compact"/>
              <w:jc w:val="right"/>
            </w:pPr>
            <w:r>
              <w:t xml:space="preserve">[−0.221, 0.203]</w:t>
            </w:r>
          </w:p>
        </w:tc>
        <w:tc>
          <w:tcPr/>
          <w:p>
            <w:pPr>
              <w:pStyle w:val="Compact"/>
              <w:jc w:val="right"/>
            </w:pPr>
            <w:r>
              <w:t xml:space="preserve">0.693</w:t>
            </w:r>
          </w:p>
        </w:tc>
        <w:tc>
          <w:tcPr/>
          <w:p>
            <w:pPr>
              <w:pStyle w:val="Compact"/>
              <w:jc w:val="right"/>
            </w:pPr>
            <w:r>
              <w:t xml:space="preserve">0.536</w:t>
            </w:r>
          </w:p>
        </w:tc>
      </w:tr>
      <w:tr>
        <w:tc>
          <w:tcPr/>
          <w:p>
            <w:pPr>
              <w:pStyle w:val="Compact"/>
            </w:pPr>
          </w:p>
        </w:tc>
        <w:tc>
          <w:tcPr/>
          <w:p>
            <w:pPr>
              <w:pStyle w:val="Compact"/>
              <w:jc w:val="left"/>
            </w:pPr>
            <w:r>
              <w:t xml:space="preserve">Voicing</w:t>
            </w:r>
          </w:p>
        </w:tc>
        <w:tc>
          <w:tcPr/>
          <w:p>
            <w:pPr>
              <w:pStyle w:val="Compact"/>
              <w:jc w:val="right"/>
            </w:pPr>
            <w:r>
              <w:t xml:space="preserve">0.124</w:t>
            </w:r>
          </w:p>
        </w:tc>
        <w:tc>
          <w:tcPr/>
          <w:p>
            <w:pPr>
              <w:pStyle w:val="Compact"/>
              <w:jc w:val="right"/>
            </w:pPr>
            <w:r>
              <w:t xml:space="preserve">[0.007, 0.235]</w:t>
            </w:r>
          </w:p>
        </w:tc>
        <w:tc>
          <w:tcPr/>
          <w:p>
            <w:pPr>
              <w:pStyle w:val="Compact"/>
              <w:jc w:val="right"/>
            </w:pPr>
            <w:r>
              <w:t xml:space="preserve">0.328</w:t>
            </w:r>
          </w:p>
        </w:tc>
        <w:tc>
          <w:tcPr/>
          <w:p>
            <w:pPr>
              <w:pStyle w:val="Compact"/>
              <w:jc w:val="right"/>
            </w:pPr>
            <w:r>
              <w:t xml:space="preserve">0.981</w:t>
            </w:r>
          </w:p>
        </w:tc>
      </w:tr>
      <w:tr>
        <w:tc>
          <w:tcPr/>
          <w:p>
            <w:pPr>
              <w:pStyle w:val="Compact"/>
            </w:pPr>
          </w:p>
        </w:tc>
        <w:tc>
          <w:tcPr/>
          <w:p>
            <w:pPr>
              <w:pStyle w:val="Compact"/>
              <w:jc w:val="left"/>
            </w:pPr>
            <w:r>
              <w:t xml:space="preserve">Item rep.</w:t>
            </w:r>
          </w:p>
        </w:tc>
        <w:tc>
          <w:tcPr/>
          <w:p>
            <w:pPr>
              <w:pStyle w:val="Compact"/>
              <w:jc w:val="right"/>
            </w:pPr>
            <w:r>
              <w:t xml:space="preserve">0.018</w:t>
            </w:r>
          </w:p>
        </w:tc>
        <w:tc>
          <w:tcPr/>
          <w:p>
            <w:pPr>
              <w:pStyle w:val="Compact"/>
              <w:jc w:val="right"/>
            </w:pPr>
            <w:r>
              <w:t xml:space="preserve">[−0.050, 0.089]</w:t>
            </w:r>
          </w:p>
        </w:tc>
        <w:tc>
          <w:tcPr/>
          <w:p>
            <w:pPr>
              <w:pStyle w:val="Compact"/>
              <w:jc w:val="right"/>
            </w:pPr>
            <w:r>
              <w:t xml:space="preserve">1.000</w:t>
            </w:r>
          </w:p>
        </w:tc>
        <w:tc>
          <w:tcPr/>
          <w:p>
            <w:pPr>
              <w:pStyle w:val="Compact"/>
              <w:jc w:val="right"/>
            </w:pPr>
            <w:r>
              <w:t xml:space="preserve">0.689</w:t>
            </w:r>
          </w:p>
        </w:tc>
      </w:tr>
      <w:tr>
        <w:tc>
          <w:tcPr/>
          <w:p>
            <w:pPr>
              <w:pStyle w:val="Compact"/>
            </w:pPr>
          </w:p>
        </w:tc>
        <w:tc>
          <w:tcPr/>
          <w:p>
            <w:pPr>
              <w:pStyle w:val="Compact"/>
              <w:jc w:val="left"/>
            </w:pPr>
            <w:r>
              <w:t xml:space="preserve">Language:Voicing</w:t>
            </w:r>
          </w:p>
        </w:tc>
        <w:tc>
          <w:tcPr/>
          <w:p>
            <w:pPr>
              <w:pStyle w:val="Compact"/>
              <w:jc w:val="right"/>
            </w:pPr>
            <w:r>
              <w:t xml:space="preserve">0.015</w:t>
            </w:r>
          </w:p>
        </w:tc>
        <w:tc>
          <w:tcPr/>
          <w:p>
            <w:pPr>
              <w:pStyle w:val="Compact"/>
              <w:jc w:val="right"/>
            </w:pPr>
            <w:r>
              <w:t xml:space="preserve">[−0.097, 0.134]</w:t>
            </w:r>
          </w:p>
        </w:tc>
        <w:tc>
          <w:tcPr/>
          <w:p>
            <w:pPr>
              <w:pStyle w:val="Compact"/>
              <w:jc w:val="right"/>
            </w:pPr>
            <w:r>
              <w:t xml:space="preserve">0.951</w:t>
            </w:r>
          </w:p>
        </w:tc>
        <w:tc>
          <w:tcPr/>
          <w:p>
            <w:pPr>
              <w:pStyle w:val="Compact"/>
              <w:jc w:val="right"/>
            </w:pPr>
            <w:r>
              <w:t xml:space="preserve">0.595</w:t>
            </w:r>
          </w:p>
        </w:tc>
      </w:tr>
      <w:tr>
        <w:tc>
          <w:tcPr/>
          <w:p>
            <w:pPr>
              <w:pStyle w:val="Compact"/>
              <w:jc w:val="left"/>
            </w:pPr>
            <w:r>
              <w:t xml:space="preserve">F2</w:t>
            </w:r>
          </w:p>
        </w:tc>
        <w:tc>
          <w:tcPr/>
          <w:p>
            <w:pPr>
              <w:pStyle w:val="Compact"/>
              <w:jc w:val="left"/>
            </w:pPr>
            <w:r>
              <w:t xml:space="preserve">Intercept</w:t>
            </w:r>
          </w:p>
        </w:tc>
        <w:tc>
          <w:tcPr/>
          <w:p>
            <w:pPr>
              <w:pStyle w:val="Compact"/>
              <w:jc w:val="right"/>
            </w:pPr>
            <w:r>
              <w:t xml:space="preserve">−0.060</w:t>
            </w:r>
          </w:p>
        </w:tc>
        <w:tc>
          <w:tcPr/>
          <w:p>
            <w:pPr>
              <w:pStyle w:val="Compact"/>
              <w:jc w:val="right"/>
            </w:pPr>
            <w:r>
              <w:t xml:space="preserve">[−0.289, 0.198]</w:t>
            </w:r>
          </w:p>
        </w:tc>
        <w:tc>
          <w:tcPr/>
          <w:p>
            <w:pPr>
              <w:pStyle w:val="Compact"/>
              <w:jc w:val="right"/>
            </w:pPr>
            <w:r>
              <w:t xml:space="preserve">0.563</w:t>
            </w:r>
          </w:p>
        </w:tc>
        <w:tc>
          <w:tcPr/>
          <w:p>
            <w:pPr>
              <w:pStyle w:val="Compact"/>
              <w:jc w:val="right"/>
            </w:pPr>
            <w:r>
              <w:t xml:space="preserve">0.692</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[−0.007, 0.462]</w:t>
            </w:r>
          </w:p>
        </w:tc>
        <w:tc>
          <w:tcPr/>
          <w:p>
            <w:pPr>
              <w:pStyle w:val="Compact"/>
              <w:jc w:val="right"/>
            </w:pPr>
            <w:r>
              <w:t xml:space="preserve">0.121</w:t>
            </w:r>
          </w:p>
        </w:tc>
        <w:tc>
          <w:tcPr/>
          <w:p>
            <w:pPr>
              <w:pStyle w:val="Compact"/>
              <w:jc w:val="right"/>
            </w:pPr>
            <w:r>
              <w:t xml:space="preserve">0.967</w:t>
            </w:r>
          </w:p>
        </w:tc>
      </w:tr>
      <w:tr>
        <w:tc>
          <w:tcPr/>
          <w:p>
            <w:pPr>
              <w:pStyle w:val="Compact"/>
            </w:pPr>
          </w:p>
        </w:tc>
        <w:tc>
          <w:tcPr/>
          <w:p>
            <w:pPr>
              <w:pStyle w:val="Compact"/>
              <w:jc w:val="left"/>
            </w:pPr>
            <w:r>
              <w:t xml:space="preserve">Voicing</w:t>
            </w:r>
          </w:p>
        </w:tc>
        <w:tc>
          <w:tcPr/>
          <w:p>
            <w:pPr>
              <w:pStyle w:val="Compact"/>
              <w:jc w:val="right"/>
            </w:pPr>
            <w:r>
              <w:t xml:space="preserve">0.129</w:t>
            </w:r>
          </w:p>
        </w:tc>
        <w:tc>
          <w:tcPr/>
          <w:p>
            <w:pPr>
              <w:pStyle w:val="Compact"/>
              <w:jc w:val="right"/>
            </w:pPr>
            <w:r>
              <w:t xml:space="preserve">[−0.042, 0.318]</w:t>
            </w:r>
          </w:p>
        </w:tc>
        <w:tc>
          <w:tcPr/>
          <w:p>
            <w:pPr>
              <w:pStyle w:val="Compact"/>
              <w:jc w:val="right"/>
            </w:pPr>
            <w:r>
              <w:t xml:space="preserve">0.353</w:t>
            </w:r>
          </w:p>
        </w:tc>
        <w:tc>
          <w:tcPr/>
          <w:p>
            <w:pPr>
              <w:pStyle w:val="Compact"/>
              <w:jc w:val="right"/>
            </w:pPr>
            <w:r>
              <w:t xml:space="preserve">0.917</w:t>
            </w:r>
          </w:p>
        </w:tc>
      </w:tr>
      <w:tr>
        <w:tc>
          <w:tcPr/>
          <w:p>
            <w:pPr>
              <w:pStyle w:val="Compact"/>
            </w:pPr>
          </w:p>
        </w:tc>
        <w:tc>
          <w:tcPr/>
          <w:p>
            <w:pPr>
              <w:pStyle w:val="Compact"/>
              <w:jc w:val="left"/>
            </w:pPr>
            <w:r>
              <w:t xml:space="preserve">Item rep.</w:t>
            </w:r>
          </w:p>
        </w:tc>
        <w:tc>
          <w:tcPr/>
          <w:p>
            <w:pPr>
              <w:pStyle w:val="Compact"/>
              <w:jc w:val="right"/>
            </w:pPr>
            <w:r>
              <w:t xml:space="preserve">0.030</w:t>
            </w:r>
          </w:p>
        </w:tc>
        <w:tc>
          <w:tcPr/>
          <w:p>
            <w:pPr>
              <w:pStyle w:val="Compact"/>
              <w:jc w:val="right"/>
            </w:pPr>
            <w:r>
              <w:t xml:space="preserve">[−0.045, 0.099]</w:t>
            </w:r>
          </w:p>
        </w:tc>
        <w:tc>
          <w:tcPr/>
          <w:p>
            <w:pPr>
              <w:pStyle w:val="Compact"/>
              <w:jc w:val="right"/>
            </w:pPr>
            <w:r>
              <w:t xml:space="preserve">1.000</w:t>
            </w:r>
          </w:p>
        </w:tc>
        <w:tc>
          <w:tcPr/>
          <w:p>
            <w:pPr>
              <w:pStyle w:val="Compact"/>
              <w:jc w:val="right"/>
            </w:pPr>
            <w:r>
              <w:t xml:space="preserve">0.802</w:t>
            </w:r>
          </w:p>
        </w:tc>
      </w:tr>
      <w:tr>
        <w:tc>
          <w:tcPr/>
          <w:p>
            <w:pPr>
              <w:pStyle w:val="Compact"/>
            </w:pPr>
          </w:p>
        </w:tc>
        <w:tc>
          <w:tcPr/>
          <w:p>
            <w:pPr>
              <w:pStyle w:val="Compact"/>
              <w:jc w:val="left"/>
            </w:pPr>
            <w:r>
              <w:t xml:space="preserve">Language:Voicing</w:t>
            </w:r>
          </w:p>
        </w:tc>
        <w:tc>
          <w:tcPr/>
          <w:p>
            <w:pPr>
              <w:pStyle w:val="Compact"/>
              <w:jc w:val="right"/>
            </w:pPr>
            <w:r>
              <w:t xml:space="preserve">0.015</w:t>
            </w:r>
          </w:p>
        </w:tc>
        <w:tc>
          <w:tcPr/>
          <w:p>
            <w:pPr>
              <w:pStyle w:val="Compact"/>
              <w:jc w:val="right"/>
            </w:pPr>
            <w:r>
              <w:t xml:space="preserve">[−0.172, 0.194]</w:t>
            </w:r>
          </w:p>
        </w:tc>
        <w:tc>
          <w:tcPr/>
          <w:p>
            <w:pPr>
              <w:pStyle w:val="Compact"/>
              <w:jc w:val="right"/>
            </w:pPr>
            <w:r>
              <w:t xml:space="preserve">0.757</w:t>
            </w:r>
          </w:p>
        </w:tc>
        <w:tc>
          <w:tcPr/>
          <w:p>
            <w:pPr>
              <w:pStyle w:val="Compact"/>
              <w:jc w:val="right"/>
            </w:pPr>
            <w:r>
              <w:t xml:space="preserve">0.566</w:t>
            </w:r>
          </w:p>
        </w:tc>
      </w:tr>
    </w:tbl>
    <w:bookmarkEnd w:id="97"/>
    <w:p>
      <w:r>
        <w:br w:type="page"/>
      </w:r>
    </w:p>
    <w:bookmarkEnd w:id="98"/>
    <w:bookmarkStart w:id="114" w:name="X9d89289f7d393a6c064f99c1ab4969909ac065f"/>
    <w:p>
      <w:pPr>
        <w:pStyle w:val="Heading2"/>
      </w:pPr>
      <w:r>
        <w:t xml:space="preserve">Appendix B: Supplementary analyses (monolinguals)</w:t>
      </w:r>
    </w:p>
    <w:p>
      <w:pPr>
        <w:pStyle w:val="FirstParagraph"/>
      </w:pPr>
      <w:r>
        <w:t xml:space="preserve">In this section we present additional information from the analyses of the monolingual data.</w:t>
      </w:r>
      <w:r>
        <w:t xml:space="preserve"> </w:t>
      </w:r>
      <w:hyperlink w:anchor="tbl-mono">
        <w:r>
          <w:rPr>
            <w:rStyle w:val="Hyperlink"/>
          </w:rPr>
          <w:t xml:space="preserve">Table 2</w:t>
        </w:r>
      </w:hyperlink>
      <w:r>
        <w:t xml:space="preserve"> </w:t>
      </w:r>
      <w:r>
        <w:t xml:space="preserve">includes the full output of the model summary from the primary multivariate analysis (Note: this table is equivalent to the forest plot in</w:t>
      </w:r>
      <w:r>
        <w:t xml:space="preserve"> </w:t>
      </w:r>
      <w:hyperlink w:anchor="fig-monolinguals">
        <w:r>
          <w:rPr>
            <w:rStyle w:val="Hyperlink"/>
          </w:rPr>
          <w:t xml:space="preserve">Figure 1</w:t>
        </w:r>
      </w:hyperlink>
      <w:r>
        <w:t xml:space="preserve">).</w:t>
      </w:r>
    </w:p>
    <w:bookmarkStart w:id="99" w:name="tbl-mono"/>
    <w:p>
      <w:pPr>
        <w:pStyle w:val="TableCaption"/>
      </w:pPr>
      <w:r>
        <w:t xml:space="preserve">Table 2: Model summary for VOT and burst metrics as a function of language (English, Spanish), phoneme (/d/, /t/), F1, F2, and item repetition for monolingual coronal stops. The percentage of the HDI contained within the ROPE is based on an effect size of ±0.1.</w:t>
      </w:r>
    </w:p>
    <w:tbl>
      <w:tblPr>
        <w:tblStyle w:val="Table"/>
        <w:tblW w:type="pct" w:w="5000"/>
        <w:tblLook w:firstRow="1" w:lastRow="0" w:firstColumn="0" w:lastColumn="0" w:noHBand="0" w:noVBand="0" w:val="0020"/>
        <w:tblCaption w:val="Table 2: Model summary for VOT and burst metrics as a function of language (English, Spanish), phoneme (/d/, /t/), F1, F2, and item repetition for mono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0.010</w:t>
            </w:r>
          </w:p>
        </w:tc>
        <w:tc>
          <w:tcPr/>
          <w:p>
            <w:pPr>
              <w:pStyle w:val="Compact"/>
              <w:jc w:val="right"/>
            </w:pPr>
            <w:r>
              <w:t xml:space="preserve">[−0.106, 0.133]</w:t>
            </w:r>
          </w:p>
        </w:tc>
        <w:tc>
          <w:tcPr/>
          <w:p>
            <w:pPr>
              <w:pStyle w:val="Compact"/>
              <w:jc w:val="right"/>
            </w:pPr>
            <w:r>
              <w:t xml:space="preserve">0.943</w:t>
            </w:r>
          </w:p>
        </w:tc>
        <w:tc>
          <w:tcPr/>
          <w:p>
            <w:pPr>
              <w:pStyle w:val="Compact"/>
              <w:jc w:val="right"/>
            </w:pPr>
            <w:r>
              <w:t xml:space="preserve">0.566</w:t>
            </w:r>
          </w:p>
        </w:tc>
      </w:tr>
      <w:tr>
        <w:tc>
          <w:tcPr/>
          <w:p>
            <w:pPr>
              <w:pStyle w:val="Compact"/>
            </w:pPr>
          </w:p>
        </w:tc>
        <w:tc>
          <w:tcPr/>
          <w:p>
            <w:pPr>
              <w:pStyle w:val="Compact"/>
              <w:jc w:val="left"/>
            </w:pPr>
            <w:r>
              <w:t xml:space="preserve">Language</w:t>
            </w:r>
          </w:p>
        </w:tc>
        <w:tc>
          <w:tcPr/>
          <w:p>
            <w:pPr>
              <w:pStyle w:val="Compact"/>
              <w:jc w:val="right"/>
            </w:pPr>
            <w:r>
              <w:t xml:space="preserve">0.660</w:t>
            </w:r>
          </w:p>
        </w:tc>
        <w:tc>
          <w:tcPr/>
          <w:p>
            <w:pPr>
              <w:pStyle w:val="Compact"/>
              <w:jc w:val="right"/>
            </w:pPr>
            <w:r>
              <w:t xml:space="preserve">[0.556, 0.763]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−0.617</w:t>
            </w:r>
          </w:p>
        </w:tc>
        <w:tc>
          <w:tcPr/>
          <w:p>
            <w:pPr>
              <w:pStyle w:val="Compact"/>
              <w:jc w:val="right"/>
            </w:pPr>
            <w:r>
              <w:t xml:space="preserve">[−0.697, −0.544]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0.752</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[−0.023, 0.042]</w:t>
            </w:r>
          </w:p>
        </w:tc>
        <w:tc>
          <w:tcPr/>
          <w:p>
            <w:pPr>
              <w:pStyle w:val="Compact"/>
              <w:jc w:val="right"/>
            </w:pPr>
            <w:r>
              <w:t xml:space="preserve">1.000</w:t>
            </w:r>
          </w:p>
        </w:tc>
        <w:tc>
          <w:tcPr/>
          <w:p>
            <w:pPr>
              <w:pStyle w:val="Compact"/>
              <w:jc w:val="right"/>
            </w:pPr>
            <w:r>
              <w:t xml:space="preserve">0.730</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[−0.045, 0.018]</w:t>
            </w:r>
          </w:p>
        </w:tc>
        <w:tc>
          <w:tcPr/>
          <w:p>
            <w:pPr>
              <w:pStyle w:val="Compact"/>
              <w:jc w:val="right"/>
            </w:pPr>
            <w:r>
              <w:t xml:space="preserve">1.000</w:t>
            </w:r>
          </w:p>
        </w:tc>
        <w:tc>
          <w:tcPr/>
          <w:p>
            <w:pPr>
              <w:pStyle w:val="Compact"/>
              <w:jc w:val="right"/>
            </w:pPr>
            <w:r>
              <w:t xml:space="preserve">0.806</w:t>
            </w:r>
          </w:p>
        </w:tc>
      </w:tr>
      <w:tr>
        <w:tc>
          <w:tcPr/>
          <w:p>
            <w:pPr>
              <w:pStyle w:val="Compact"/>
            </w:pPr>
          </w:p>
        </w:tc>
        <w:tc>
          <w:tcPr/>
          <w:p>
            <w:pPr>
              <w:pStyle w:val="Compact"/>
              <w:jc w:val="left"/>
            </w:pPr>
            <w:r>
              <w:t xml:space="preserve">Language:Voicing</w:t>
            </w:r>
          </w:p>
        </w:tc>
        <w:tc>
          <w:tcPr/>
          <w:p>
            <w:pPr>
              <w:pStyle w:val="Compact"/>
              <w:jc w:val="right"/>
            </w:pPr>
            <w:r>
              <w:t xml:space="preserve">0.108</w:t>
            </w:r>
          </w:p>
        </w:tc>
        <w:tc>
          <w:tcPr/>
          <w:p>
            <w:pPr>
              <w:pStyle w:val="Compact"/>
              <w:jc w:val="right"/>
            </w:pPr>
            <w:r>
              <w:t xml:space="preserve">[0.033, 0.180]</w:t>
            </w:r>
          </w:p>
        </w:tc>
        <w:tc>
          <w:tcPr/>
          <w:p>
            <w:pPr>
              <w:pStyle w:val="Compact"/>
              <w:jc w:val="right"/>
            </w:pPr>
            <w:r>
              <w:t xml:space="preserve">0.406</w:t>
            </w:r>
          </w:p>
        </w:tc>
        <w:tc>
          <w:tcPr/>
          <w:p>
            <w:pPr>
              <w:pStyle w:val="Compact"/>
              <w:jc w:val="right"/>
            </w:pPr>
            <w:r>
              <w:t xml:space="preserve">0.995</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0.048</w:t>
            </w:r>
          </w:p>
        </w:tc>
        <w:tc>
          <w:tcPr/>
          <w:p>
            <w:pPr>
              <w:pStyle w:val="Compact"/>
              <w:jc w:val="right"/>
            </w:pPr>
            <w:r>
              <w:t xml:space="preserve">[−0.104, 0.185]</w:t>
            </w:r>
          </w:p>
        </w:tc>
        <w:tc>
          <w:tcPr/>
          <w:p>
            <w:pPr>
              <w:pStyle w:val="Compact"/>
              <w:jc w:val="right"/>
            </w:pPr>
            <w:r>
              <w:t xml:space="preserve">0.775</w:t>
            </w:r>
          </w:p>
        </w:tc>
        <w:tc>
          <w:tcPr/>
          <w:p>
            <w:pPr>
              <w:pStyle w:val="Compact"/>
              <w:jc w:val="right"/>
            </w:pPr>
            <w:r>
              <w:t xml:space="preserve">0.746</w:t>
            </w:r>
          </w:p>
        </w:tc>
      </w:tr>
      <w:tr>
        <w:tc>
          <w:tcPr/>
          <w:p>
            <w:pPr>
              <w:pStyle w:val="Compact"/>
            </w:pPr>
          </w:p>
        </w:tc>
        <w:tc>
          <w:tcPr/>
          <w:p>
            <w:pPr>
              <w:pStyle w:val="Compact"/>
              <w:jc w:val="left"/>
            </w:pPr>
            <w:r>
              <w:t xml:space="preserve">Language</w:t>
            </w:r>
          </w:p>
        </w:tc>
        <w:tc>
          <w:tcPr/>
          <w:p>
            <w:pPr>
              <w:pStyle w:val="Compact"/>
              <w:jc w:val="right"/>
            </w:pPr>
            <w:r>
              <w:t xml:space="preserve">0.687</w:t>
            </w:r>
          </w:p>
        </w:tc>
        <w:tc>
          <w:tcPr/>
          <w:p>
            <w:pPr>
              <w:pStyle w:val="Compact"/>
              <w:jc w:val="right"/>
            </w:pPr>
            <w:r>
              <w:t xml:space="preserve">[0.555, 0.810]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−0.298</w:t>
            </w:r>
          </w:p>
        </w:tc>
        <w:tc>
          <w:tcPr/>
          <w:p>
            <w:pPr>
              <w:pStyle w:val="Compact"/>
              <w:jc w:val="right"/>
            </w:pPr>
            <w:r>
              <w:t xml:space="preserve">[−0.354, −0.244]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0.005</w:t>
            </w:r>
          </w:p>
        </w:tc>
        <w:tc>
          <w:tcPr/>
          <w:p>
            <w:pPr>
              <w:pStyle w:val="Compact"/>
              <w:jc w:val="right"/>
            </w:pPr>
            <w:r>
              <w:t xml:space="preserve">[−0.033, 0.044]</w:t>
            </w:r>
          </w:p>
        </w:tc>
        <w:tc>
          <w:tcPr/>
          <w:p>
            <w:pPr>
              <w:pStyle w:val="Compact"/>
              <w:jc w:val="right"/>
            </w:pPr>
            <w:r>
              <w:t xml:space="preserve">1.000</w:t>
            </w:r>
          </w:p>
        </w:tc>
        <w:tc>
          <w:tcPr/>
          <w:p>
            <w:pPr>
              <w:pStyle w:val="Compact"/>
              <w:jc w:val="right"/>
            </w:pPr>
            <w:r>
              <w:t xml:space="preserve">0.590</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[−0.028, 0.050]</w:t>
            </w:r>
          </w:p>
        </w:tc>
        <w:tc>
          <w:tcPr/>
          <w:p>
            <w:pPr>
              <w:pStyle w:val="Compact"/>
              <w:jc w:val="right"/>
            </w:pPr>
            <w:r>
              <w:t xml:space="preserve">1.000</w:t>
            </w:r>
          </w:p>
        </w:tc>
        <w:tc>
          <w:tcPr/>
          <w:p>
            <w:pPr>
              <w:pStyle w:val="Compact"/>
              <w:jc w:val="right"/>
            </w:pPr>
            <w:r>
              <w:t xml:space="preserve">0.653</w:t>
            </w:r>
          </w:p>
        </w:tc>
      </w:tr>
      <w:tr>
        <w:tc>
          <w:tcPr/>
          <w:p>
            <w:pPr>
              <w:pStyle w:val="Compact"/>
            </w:pPr>
          </w:p>
        </w:tc>
        <w:tc>
          <w:tcPr/>
          <w:p>
            <w:pPr>
              <w:pStyle w:val="Compact"/>
              <w:jc w:val="left"/>
            </w:pPr>
            <w:r>
              <w:t xml:space="preserve">Item rep.</w:t>
            </w:r>
          </w:p>
        </w:tc>
        <w:tc>
          <w:tcPr/>
          <w:p>
            <w:pPr>
              <w:pStyle w:val="Compact"/>
              <w:jc w:val="right"/>
            </w:pPr>
            <w:r>
              <w:t xml:space="preserve">−0.031</w:t>
            </w:r>
          </w:p>
        </w:tc>
        <w:tc>
          <w:tcPr/>
          <w:p>
            <w:pPr>
              <w:pStyle w:val="Compact"/>
              <w:jc w:val="right"/>
            </w:pPr>
            <w:r>
              <w:t xml:space="preserve">[−0.071, 0.008]</w:t>
            </w:r>
          </w:p>
        </w:tc>
        <w:tc>
          <w:tcPr/>
          <w:p>
            <w:pPr>
              <w:pStyle w:val="Compact"/>
              <w:jc w:val="right"/>
            </w:pPr>
            <w:r>
              <w:t xml:space="preserve">1.000</w:t>
            </w:r>
          </w:p>
        </w:tc>
        <w:tc>
          <w:tcPr/>
          <w:p>
            <w:pPr>
              <w:pStyle w:val="Compact"/>
              <w:jc w:val="right"/>
            </w:pPr>
            <w:r>
              <w:t xml:space="preserve">0.934</w:t>
            </w:r>
          </w:p>
        </w:tc>
      </w:tr>
      <w:tr>
        <w:tc>
          <w:tcPr/>
          <w:p>
            <w:pPr>
              <w:pStyle w:val="Compact"/>
            </w:pPr>
          </w:p>
        </w:tc>
        <w:tc>
          <w:tcPr/>
          <w:p>
            <w:pPr>
              <w:pStyle w:val="Compact"/>
              <w:jc w:val="left"/>
            </w:pPr>
            <w:r>
              <w:t xml:space="preserve">Language:Voicing</w:t>
            </w:r>
          </w:p>
        </w:tc>
        <w:tc>
          <w:tcPr/>
          <w:p>
            <w:pPr>
              <w:pStyle w:val="Compact"/>
              <w:jc w:val="right"/>
            </w:pPr>
            <w:r>
              <w:t xml:space="preserve">0.214</w:t>
            </w:r>
          </w:p>
        </w:tc>
        <w:tc>
          <w:tcPr/>
          <w:p>
            <w:pPr>
              <w:pStyle w:val="Compact"/>
              <w:jc w:val="right"/>
            </w:pPr>
            <w:r>
              <w:t xml:space="preserve">[0.157, 0.266]</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−0.026</w:t>
            </w:r>
          </w:p>
        </w:tc>
        <w:tc>
          <w:tcPr/>
          <w:p>
            <w:pPr>
              <w:pStyle w:val="Compact"/>
              <w:jc w:val="right"/>
            </w:pPr>
            <w:r>
              <w:t xml:space="preserve">[−0.163, 0.109]</w:t>
            </w:r>
          </w:p>
        </w:tc>
        <w:tc>
          <w:tcPr/>
          <w:p>
            <w:pPr>
              <w:pStyle w:val="Compact"/>
              <w:jc w:val="right"/>
            </w:pPr>
            <w:r>
              <w:t xml:space="preserve">0.864</w:t>
            </w:r>
          </w:p>
        </w:tc>
        <w:tc>
          <w:tcPr/>
          <w:p>
            <w:pPr>
              <w:pStyle w:val="Compact"/>
              <w:jc w:val="right"/>
            </w:pPr>
            <w:r>
              <w:t xml:space="preserve">0.640</w:t>
            </w:r>
          </w:p>
        </w:tc>
      </w:tr>
      <w:tr>
        <w:tc>
          <w:tcPr/>
          <w:p>
            <w:pPr>
              <w:pStyle w:val="Compact"/>
            </w:pPr>
          </w:p>
        </w:tc>
        <w:tc>
          <w:tcPr/>
          <w:p>
            <w:pPr>
              <w:pStyle w:val="Compact"/>
              <w:jc w:val="left"/>
            </w:pPr>
            <w:r>
              <w:t xml:space="preserve">Language</w:t>
            </w:r>
          </w:p>
        </w:tc>
        <w:tc>
          <w:tcPr/>
          <w:p>
            <w:pPr>
              <w:pStyle w:val="Compact"/>
              <w:jc w:val="right"/>
            </w:pPr>
            <w:r>
              <w:t xml:space="preserve">−0.646</w:t>
            </w:r>
          </w:p>
        </w:tc>
        <w:tc>
          <w:tcPr/>
          <w:p>
            <w:pPr>
              <w:pStyle w:val="Compact"/>
              <w:jc w:val="right"/>
            </w:pPr>
            <w:r>
              <w:t xml:space="preserve">[−0.755, −0.542]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0.290</w:t>
            </w:r>
          </w:p>
        </w:tc>
        <w:tc>
          <w:tcPr/>
          <w:p>
            <w:pPr>
              <w:pStyle w:val="Compact"/>
              <w:jc w:val="right"/>
            </w:pPr>
            <w:r>
              <w:t xml:space="preserve">[0.221, 0.361]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−0.027</w:t>
            </w:r>
          </w:p>
        </w:tc>
        <w:tc>
          <w:tcPr/>
          <w:p>
            <w:pPr>
              <w:pStyle w:val="Compact"/>
              <w:jc w:val="right"/>
            </w:pPr>
            <w:r>
              <w:t xml:space="preserve">[−0.067, 0.015]</w:t>
            </w:r>
          </w:p>
        </w:tc>
        <w:tc>
          <w:tcPr/>
          <w:p>
            <w:pPr>
              <w:pStyle w:val="Compact"/>
              <w:jc w:val="right"/>
            </w:pPr>
            <w:r>
              <w:t xml:space="preserve">1.000</w:t>
            </w:r>
          </w:p>
        </w:tc>
        <w:tc>
          <w:tcPr/>
          <w:p>
            <w:pPr>
              <w:pStyle w:val="Compact"/>
              <w:jc w:val="right"/>
            </w:pPr>
            <w:r>
              <w:t xml:space="preserve">0.903</w:t>
            </w:r>
          </w:p>
        </w:tc>
      </w:tr>
      <w:tr>
        <w:tc>
          <w:tcPr/>
          <w:p>
            <w:pPr>
              <w:pStyle w:val="Compact"/>
            </w:pPr>
          </w:p>
        </w:tc>
        <w:tc>
          <w:tcPr/>
          <w:p>
            <w:pPr>
              <w:pStyle w:val="Compact"/>
              <w:jc w:val="left"/>
            </w:pPr>
            <w:r>
              <w:t xml:space="preserve">F2</w:t>
            </w:r>
          </w:p>
        </w:tc>
        <w:tc>
          <w:tcPr/>
          <w:p>
            <w:pPr>
              <w:pStyle w:val="Compact"/>
              <w:jc w:val="right"/>
            </w:pPr>
            <w:r>
              <w:t xml:space="preserve">0.001</w:t>
            </w:r>
          </w:p>
        </w:tc>
        <w:tc>
          <w:tcPr/>
          <w:p>
            <w:pPr>
              <w:pStyle w:val="Compact"/>
              <w:jc w:val="right"/>
            </w:pPr>
            <w:r>
              <w:t xml:space="preserve">[−0.038, 0.043]</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Item rep.</w:t>
            </w:r>
          </w:p>
        </w:tc>
        <w:tc>
          <w:tcPr/>
          <w:p>
            <w:pPr>
              <w:pStyle w:val="Compact"/>
              <w:jc w:val="right"/>
            </w:pPr>
            <w:r>
              <w:t xml:space="preserve">0.019</w:t>
            </w:r>
          </w:p>
        </w:tc>
        <w:tc>
          <w:tcPr/>
          <w:p>
            <w:pPr>
              <w:pStyle w:val="Compact"/>
              <w:jc w:val="right"/>
            </w:pPr>
            <w:r>
              <w:t xml:space="preserve">[−0.021, 0.062]</w:t>
            </w:r>
          </w:p>
        </w:tc>
        <w:tc>
          <w:tcPr/>
          <w:p>
            <w:pPr>
              <w:pStyle w:val="Compact"/>
              <w:jc w:val="right"/>
            </w:pPr>
            <w:r>
              <w:t xml:space="preserve">1.000</w:t>
            </w:r>
          </w:p>
        </w:tc>
        <w:tc>
          <w:tcPr/>
          <w:p>
            <w:pPr>
              <w:pStyle w:val="Compact"/>
              <w:jc w:val="right"/>
            </w:pPr>
            <w:r>
              <w:t xml:space="preserve">0.809</w:t>
            </w:r>
          </w:p>
        </w:tc>
      </w:tr>
      <w:tr>
        <w:tc>
          <w:tcPr/>
          <w:p>
            <w:pPr>
              <w:pStyle w:val="Compact"/>
            </w:pPr>
          </w:p>
        </w:tc>
        <w:tc>
          <w:tcPr/>
          <w:p>
            <w:pPr>
              <w:pStyle w:val="Compact"/>
              <w:jc w:val="left"/>
            </w:pPr>
            <w:r>
              <w:t xml:space="preserve">Language:Voicing</w:t>
            </w:r>
          </w:p>
        </w:tc>
        <w:tc>
          <w:tcPr/>
          <w:p>
            <w:pPr>
              <w:pStyle w:val="Compact"/>
              <w:jc w:val="right"/>
            </w:pPr>
            <w:r>
              <w:t xml:space="preserve">−0.263</w:t>
            </w:r>
          </w:p>
        </w:tc>
        <w:tc>
          <w:tcPr/>
          <w:p>
            <w:pPr>
              <w:pStyle w:val="Compact"/>
              <w:jc w:val="right"/>
            </w:pPr>
            <w:r>
              <w:t xml:space="preserve">[−0.332, −0.195]</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[−0.347, 0.141]</w:t>
            </w:r>
          </w:p>
        </w:tc>
        <w:tc>
          <w:tcPr/>
          <w:p>
            <w:pPr>
              <w:pStyle w:val="Compact"/>
              <w:jc w:val="right"/>
            </w:pPr>
            <w:r>
              <w:t xml:space="preserve">0.446</w:t>
            </w:r>
          </w:p>
        </w:tc>
        <w:tc>
          <w:tcPr/>
          <w:p>
            <w:pPr>
              <w:pStyle w:val="Compact"/>
              <w:jc w:val="right"/>
            </w:pPr>
            <w:r>
              <w:t xml:space="preserve">0.820</w:t>
            </w:r>
          </w:p>
        </w:tc>
      </w:tr>
      <w:tr>
        <w:tc>
          <w:tcPr/>
          <w:p>
            <w:pPr>
              <w:pStyle w:val="Compact"/>
            </w:pPr>
          </w:p>
        </w:tc>
        <w:tc>
          <w:tcPr/>
          <w:p>
            <w:pPr>
              <w:pStyle w:val="Compact"/>
              <w:jc w:val="left"/>
            </w:pPr>
            <w:r>
              <w:t xml:space="preserve">Language</w:t>
            </w:r>
          </w:p>
        </w:tc>
        <w:tc>
          <w:tcPr/>
          <w:p>
            <w:pPr>
              <w:pStyle w:val="Compact"/>
              <w:jc w:val="right"/>
            </w:pPr>
            <w:r>
              <w:t xml:space="preserve">0.026</w:t>
            </w:r>
          </w:p>
        </w:tc>
        <w:tc>
          <w:tcPr/>
          <w:p>
            <w:pPr>
              <w:pStyle w:val="Compact"/>
              <w:jc w:val="right"/>
            </w:pPr>
            <w:r>
              <w:t xml:space="preserve">[−0.171, 0.246]</w:t>
            </w:r>
          </w:p>
        </w:tc>
        <w:tc>
          <w:tcPr/>
          <w:p>
            <w:pPr>
              <w:pStyle w:val="Compact"/>
              <w:jc w:val="right"/>
            </w:pPr>
            <w:r>
              <w:t xml:space="preserve">0.666</w:t>
            </w:r>
          </w:p>
        </w:tc>
        <w:tc>
          <w:tcPr/>
          <w:p>
            <w:pPr>
              <w:pStyle w:val="Compact"/>
              <w:jc w:val="right"/>
            </w:pPr>
            <w:r>
              <w:t xml:space="preserve">0.602</w:t>
            </w:r>
          </w:p>
        </w:tc>
      </w:tr>
      <w:tr>
        <w:tc>
          <w:tcPr/>
          <w:p>
            <w:pPr>
              <w:pStyle w:val="Compact"/>
            </w:pPr>
          </w:p>
        </w:tc>
        <w:tc>
          <w:tcPr/>
          <w:p>
            <w:pPr>
              <w:pStyle w:val="Compact"/>
              <w:jc w:val="left"/>
            </w:pPr>
            <w:r>
              <w:t xml:space="preserve">Voicing</w:t>
            </w:r>
          </w:p>
        </w:tc>
        <w:tc>
          <w:tcPr/>
          <w:p>
            <w:pPr>
              <w:pStyle w:val="Compact"/>
              <w:jc w:val="right"/>
            </w:pPr>
            <w:r>
              <w:t xml:space="preserve">−0.060</w:t>
            </w:r>
          </w:p>
        </w:tc>
        <w:tc>
          <w:tcPr/>
          <w:p>
            <w:pPr>
              <w:pStyle w:val="Compact"/>
              <w:jc w:val="right"/>
            </w:pPr>
            <w:r>
              <w:t xml:space="preserve">[−0.192, 0.055]</w:t>
            </w:r>
          </w:p>
        </w:tc>
        <w:tc>
          <w:tcPr/>
          <w:p>
            <w:pPr>
              <w:pStyle w:val="Compact"/>
              <w:jc w:val="right"/>
            </w:pPr>
            <w:r>
              <w:t xml:space="preserve">0.742</w:t>
            </w:r>
          </w:p>
        </w:tc>
        <w:tc>
          <w:tcPr/>
          <w:p>
            <w:pPr>
              <w:pStyle w:val="Compact"/>
              <w:jc w:val="right"/>
            </w:pPr>
            <w:r>
              <w:t xml:space="preserve">0.830</w:t>
            </w:r>
          </w:p>
        </w:tc>
      </w:tr>
      <w:tr>
        <w:tc>
          <w:tcPr/>
          <w:p>
            <w:pPr>
              <w:pStyle w:val="Compact"/>
            </w:pPr>
          </w:p>
        </w:tc>
        <w:tc>
          <w:tcPr/>
          <w:p>
            <w:pPr>
              <w:pStyle w:val="Compact"/>
              <w:jc w:val="left"/>
            </w:pPr>
            <w:r>
              <w:t xml:space="preserve">F1</w:t>
            </w:r>
          </w:p>
        </w:tc>
        <w:tc>
          <w:tcPr/>
          <w:p>
            <w:pPr>
              <w:pStyle w:val="Compact"/>
              <w:jc w:val="right"/>
            </w:pPr>
            <w:r>
              <w:t xml:space="preserve">−0.172</w:t>
            </w:r>
          </w:p>
        </w:tc>
        <w:tc>
          <w:tcPr/>
          <w:p>
            <w:pPr>
              <w:pStyle w:val="Compact"/>
              <w:jc w:val="right"/>
            </w:pPr>
            <w:r>
              <w:t xml:space="preserve">[−0.252, −0.085]</w:t>
            </w:r>
          </w:p>
        </w:tc>
        <w:tc>
          <w:tcPr/>
          <w:p>
            <w:pPr>
              <w:pStyle w:val="Compact"/>
              <w:jc w:val="right"/>
            </w:pPr>
            <w:r>
              <w:t xml:space="preserve">0.026</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−0.080</w:t>
            </w:r>
          </w:p>
        </w:tc>
        <w:tc>
          <w:tcPr/>
          <w:p>
            <w:pPr>
              <w:pStyle w:val="Compact"/>
              <w:jc w:val="right"/>
            </w:pPr>
            <w:r>
              <w:t xml:space="preserve">[−0.177, 0.015]</w:t>
            </w:r>
          </w:p>
        </w:tc>
        <w:tc>
          <w:tcPr/>
          <w:p>
            <w:pPr>
              <w:pStyle w:val="Compact"/>
              <w:jc w:val="right"/>
            </w:pPr>
            <w:r>
              <w:t xml:space="preserve">0.676</w:t>
            </w:r>
          </w:p>
        </w:tc>
        <w:tc>
          <w:tcPr/>
          <w:p>
            <w:pPr>
              <w:pStyle w:val="Compact"/>
              <w:jc w:val="right"/>
            </w:pPr>
            <w:r>
              <w:t xml:space="preserve">0.948</w:t>
            </w:r>
          </w:p>
        </w:tc>
      </w:tr>
      <w:tr>
        <w:tc>
          <w:tcPr/>
          <w:p>
            <w:pPr>
              <w:pStyle w:val="Compact"/>
            </w:pPr>
          </w:p>
        </w:tc>
        <w:tc>
          <w:tcPr/>
          <w:p>
            <w:pPr>
              <w:pStyle w:val="Compact"/>
              <w:jc w:val="left"/>
            </w:pPr>
            <w:r>
              <w:t xml:space="preserve">Item rep.</w:t>
            </w:r>
          </w:p>
        </w:tc>
        <w:tc>
          <w:tcPr/>
          <w:p>
            <w:pPr>
              <w:pStyle w:val="Compact"/>
              <w:jc w:val="right"/>
            </w:pPr>
            <w:r>
              <w:t xml:space="preserve">0.051</w:t>
            </w:r>
          </w:p>
        </w:tc>
        <w:tc>
          <w:tcPr/>
          <w:p>
            <w:pPr>
              <w:pStyle w:val="Compact"/>
              <w:jc w:val="right"/>
            </w:pPr>
            <w:r>
              <w:t xml:space="preserve">[−0.023, 0.131]</w:t>
            </w:r>
          </w:p>
        </w:tc>
        <w:tc>
          <w:tcPr/>
          <w:p>
            <w:pPr>
              <w:pStyle w:val="Compact"/>
              <w:jc w:val="right"/>
            </w:pPr>
            <w:r>
              <w:t xml:space="preserve">0.916</w:t>
            </w:r>
          </w:p>
        </w:tc>
        <w:tc>
          <w:tcPr/>
          <w:p>
            <w:pPr>
              <w:pStyle w:val="Compact"/>
              <w:jc w:val="right"/>
            </w:pPr>
            <w:r>
              <w:t xml:space="preserve">0.912</w:t>
            </w:r>
          </w:p>
        </w:tc>
      </w:tr>
      <w:tr>
        <w:tc>
          <w:tcPr/>
          <w:p>
            <w:pPr>
              <w:pStyle w:val="Compact"/>
            </w:pPr>
          </w:p>
        </w:tc>
        <w:tc>
          <w:tcPr/>
          <w:p>
            <w:pPr>
              <w:pStyle w:val="Compact"/>
              <w:jc w:val="left"/>
            </w:pPr>
            <w:r>
              <w:t xml:space="preserve">Language:Voicing</w:t>
            </w:r>
          </w:p>
        </w:tc>
        <w:tc>
          <w:tcPr/>
          <w:p>
            <w:pPr>
              <w:pStyle w:val="Compact"/>
              <w:jc w:val="right"/>
            </w:pPr>
            <w:r>
              <w:t xml:space="preserve">0.025</w:t>
            </w:r>
          </w:p>
        </w:tc>
        <w:tc>
          <w:tcPr/>
          <w:p>
            <w:pPr>
              <w:pStyle w:val="Compact"/>
              <w:jc w:val="right"/>
            </w:pPr>
            <w:r>
              <w:t xml:space="preserve">[−0.094, 0.157]</w:t>
            </w:r>
          </w:p>
        </w:tc>
        <w:tc>
          <w:tcPr/>
          <w:p>
            <w:pPr>
              <w:pStyle w:val="Compact"/>
              <w:jc w:val="right"/>
            </w:pPr>
            <w:r>
              <w:t xml:space="preserve">0.906</w:t>
            </w:r>
          </w:p>
        </w:tc>
        <w:tc>
          <w:tcPr/>
          <w:p>
            <w:pPr>
              <w:pStyle w:val="Compact"/>
              <w:jc w:val="right"/>
            </w:pPr>
            <w:r>
              <w:t xml:space="preserve">0.657</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0.039</w:t>
            </w:r>
          </w:p>
        </w:tc>
        <w:tc>
          <w:tcPr/>
          <w:p>
            <w:pPr>
              <w:pStyle w:val="Compact"/>
              <w:jc w:val="right"/>
            </w:pPr>
            <w:r>
              <w:t xml:space="preserve">[−0.148, 0.213]</w:t>
            </w:r>
          </w:p>
        </w:tc>
        <w:tc>
          <w:tcPr/>
          <w:p>
            <w:pPr>
              <w:pStyle w:val="Compact"/>
              <w:jc w:val="right"/>
            </w:pPr>
            <w:r>
              <w:t xml:space="preserve">0.717</w:t>
            </w:r>
          </w:p>
        </w:tc>
        <w:tc>
          <w:tcPr/>
          <w:p>
            <w:pPr>
              <w:pStyle w:val="Compact"/>
              <w:jc w:val="right"/>
            </w:pPr>
            <w:r>
              <w:t xml:space="preserve">0.661</w:t>
            </w:r>
          </w:p>
        </w:tc>
      </w:tr>
      <w:tr>
        <w:tc>
          <w:tcPr/>
          <w:p>
            <w:pPr>
              <w:pStyle w:val="Compact"/>
            </w:pPr>
          </w:p>
        </w:tc>
        <w:tc>
          <w:tcPr/>
          <w:p>
            <w:pPr>
              <w:pStyle w:val="Compact"/>
              <w:jc w:val="left"/>
            </w:pPr>
            <w:r>
              <w:t xml:space="preserve">Language</w:t>
            </w:r>
          </w:p>
        </w:tc>
        <w:tc>
          <w:tcPr/>
          <w:p>
            <w:pPr>
              <w:pStyle w:val="Compact"/>
              <w:jc w:val="right"/>
            </w:pPr>
            <w:r>
              <w:t xml:space="preserve">0.490</w:t>
            </w:r>
          </w:p>
        </w:tc>
        <w:tc>
          <w:tcPr/>
          <w:p>
            <w:pPr>
              <w:pStyle w:val="Compact"/>
              <w:jc w:val="right"/>
            </w:pPr>
            <w:r>
              <w:t xml:space="preserve">[0.343, 0.648]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−0.282</w:t>
            </w:r>
          </w:p>
        </w:tc>
        <w:tc>
          <w:tcPr/>
          <w:p>
            <w:pPr>
              <w:pStyle w:val="Compact"/>
              <w:jc w:val="right"/>
            </w:pPr>
            <w:r>
              <w:t xml:space="preserve">[−0.355, −0.204]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−0.001</w:t>
            </w:r>
          </w:p>
        </w:tc>
        <w:tc>
          <w:tcPr/>
          <w:p>
            <w:pPr>
              <w:pStyle w:val="Compact"/>
              <w:jc w:val="right"/>
            </w:pPr>
            <w:r>
              <w:t xml:space="preserve">[−0.051, 0.051]</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F2</w:t>
            </w:r>
          </w:p>
        </w:tc>
        <w:tc>
          <w:tcPr/>
          <w:p>
            <w:pPr>
              <w:pStyle w:val="Compact"/>
              <w:jc w:val="right"/>
            </w:pPr>
            <w:r>
              <w:t xml:space="preserve">0.007</w:t>
            </w:r>
          </w:p>
        </w:tc>
        <w:tc>
          <w:tcPr/>
          <w:p>
            <w:pPr>
              <w:pStyle w:val="Compact"/>
              <w:jc w:val="right"/>
            </w:pPr>
            <w:r>
              <w:t xml:space="preserve">[−0.044, 0.061]</w:t>
            </w:r>
          </w:p>
        </w:tc>
        <w:tc>
          <w:tcPr/>
          <w:p>
            <w:pPr>
              <w:pStyle w:val="Compact"/>
              <w:jc w:val="right"/>
            </w:pPr>
            <w:r>
              <w:t xml:space="preserve">1.000</w:t>
            </w:r>
          </w:p>
        </w:tc>
        <w:tc>
          <w:tcPr/>
          <w:p>
            <w:pPr>
              <w:pStyle w:val="Compact"/>
              <w:jc w:val="right"/>
            </w:pPr>
            <w:r>
              <w:t xml:space="preserve">0.595</w:t>
            </w:r>
          </w:p>
        </w:tc>
      </w:tr>
      <w:tr>
        <w:tc>
          <w:tcPr/>
          <w:p>
            <w:pPr>
              <w:pStyle w:val="Compact"/>
            </w:pPr>
          </w:p>
        </w:tc>
        <w:tc>
          <w:tcPr/>
          <w:p>
            <w:pPr>
              <w:pStyle w:val="Compact"/>
              <w:jc w:val="left"/>
            </w:pPr>
            <w:r>
              <w:t xml:space="preserve">Item rep.</w:t>
            </w:r>
          </w:p>
        </w:tc>
        <w:tc>
          <w:tcPr/>
          <w:p>
            <w:pPr>
              <w:pStyle w:val="Compact"/>
              <w:jc w:val="right"/>
            </w:pPr>
            <w:r>
              <w:t xml:space="preserve">−0.027</w:t>
            </w:r>
          </w:p>
        </w:tc>
        <w:tc>
          <w:tcPr/>
          <w:p>
            <w:pPr>
              <w:pStyle w:val="Compact"/>
              <w:jc w:val="right"/>
            </w:pPr>
            <w:r>
              <w:t xml:space="preserve">[−0.077, 0.027]</w:t>
            </w:r>
          </w:p>
        </w:tc>
        <w:tc>
          <w:tcPr/>
          <w:p>
            <w:pPr>
              <w:pStyle w:val="Compact"/>
              <w:jc w:val="right"/>
            </w:pPr>
            <w:r>
              <w:t xml:space="preserve">1.000</w:t>
            </w:r>
          </w:p>
        </w:tc>
        <w:tc>
          <w:tcPr/>
          <w:p>
            <w:pPr>
              <w:pStyle w:val="Compact"/>
              <w:jc w:val="right"/>
            </w:pPr>
            <w:r>
              <w:t xml:space="preserve">0.833</w:t>
            </w:r>
          </w:p>
        </w:tc>
      </w:tr>
      <w:tr>
        <w:tc>
          <w:tcPr/>
          <w:p>
            <w:pPr>
              <w:pStyle w:val="Compact"/>
            </w:pPr>
          </w:p>
        </w:tc>
        <w:tc>
          <w:tcPr/>
          <w:p>
            <w:pPr>
              <w:pStyle w:val="Compact"/>
              <w:jc w:val="left"/>
            </w:pPr>
            <w:r>
              <w:t xml:space="preserve">Language:Voicing</w:t>
            </w:r>
          </w:p>
        </w:tc>
        <w:tc>
          <w:tcPr/>
          <w:p>
            <w:pPr>
              <w:pStyle w:val="Compact"/>
              <w:jc w:val="right"/>
            </w:pPr>
            <w:r>
              <w:t xml:space="preserve">0.210</w:t>
            </w:r>
          </w:p>
        </w:tc>
        <w:tc>
          <w:tcPr/>
          <w:p>
            <w:pPr>
              <w:pStyle w:val="Compact"/>
              <w:jc w:val="right"/>
            </w:pPr>
            <w:r>
              <w:t xml:space="preserve">[0.141, 0.293]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−0.052</w:t>
            </w:r>
          </w:p>
        </w:tc>
        <w:tc>
          <w:tcPr/>
          <w:p>
            <w:pPr>
              <w:pStyle w:val="Compact"/>
              <w:jc w:val="right"/>
            </w:pPr>
            <w:r>
              <w:t xml:space="preserve">[−0.187, 0.084]</w:t>
            </w:r>
          </w:p>
        </w:tc>
        <w:tc>
          <w:tcPr/>
          <w:p>
            <w:pPr>
              <w:pStyle w:val="Compact"/>
              <w:jc w:val="right"/>
            </w:pPr>
            <w:r>
              <w:t xml:space="preserve">0.777</w:t>
            </w:r>
          </w:p>
        </w:tc>
        <w:tc>
          <w:tcPr/>
          <w:p>
            <w:pPr>
              <w:pStyle w:val="Compact"/>
              <w:jc w:val="right"/>
            </w:pPr>
            <w:r>
              <w:t xml:space="preserve">0.780</w:t>
            </w:r>
          </w:p>
        </w:tc>
      </w:tr>
      <w:tr>
        <w:tc>
          <w:tcPr/>
          <w:p>
            <w:pPr>
              <w:pStyle w:val="Compact"/>
            </w:pPr>
          </w:p>
        </w:tc>
        <w:tc>
          <w:tcPr/>
          <w:p>
            <w:pPr>
              <w:pStyle w:val="Compact"/>
              <w:jc w:val="left"/>
            </w:pPr>
            <w:r>
              <w:t xml:space="preserve">Language</w:t>
            </w:r>
          </w:p>
        </w:tc>
        <w:tc>
          <w:tcPr/>
          <w:p>
            <w:pPr>
              <w:pStyle w:val="Compact"/>
              <w:jc w:val="right"/>
            </w:pPr>
            <w:r>
              <w:t xml:space="preserve">−0.665</w:t>
            </w:r>
          </w:p>
        </w:tc>
        <w:tc>
          <w:tcPr/>
          <w:p>
            <w:pPr>
              <w:pStyle w:val="Compact"/>
              <w:jc w:val="right"/>
            </w:pPr>
            <w:r>
              <w:t xml:space="preserve">[−0.774, −0.561]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0.290</w:t>
            </w:r>
          </w:p>
        </w:tc>
        <w:tc>
          <w:tcPr/>
          <w:p>
            <w:pPr>
              <w:pStyle w:val="Compact"/>
              <w:jc w:val="right"/>
            </w:pPr>
            <w:r>
              <w:t xml:space="preserve">[0.222, 0.362]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[−0.058, 0.022]</w:t>
            </w:r>
          </w:p>
        </w:tc>
        <w:tc>
          <w:tcPr/>
          <w:p>
            <w:pPr>
              <w:pStyle w:val="Compact"/>
              <w:jc w:val="right"/>
            </w:pPr>
            <w:r>
              <w:t xml:space="preserve">1.000</w:t>
            </w:r>
          </w:p>
        </w:tc>
        <w:tc>
          <w:tcPr/>
          <w:p>
            <w:pPr>
              <w:pStyle w:val="Compact"/>
              <w:jc w:val="right"/>
            </w:pPr>
            <w:r>
              <w:t xml:space="preserve">0.771</w:t>
            </w:r>
          </w:p>
        </w:tc>
      </w:tr>
      <w:tr>
        <w:tc>
          <w:tcPr/>
          <w:p>
            <w:pPr>
              <w:pStyle w:val="Compact"/>
            </w:pPr>
          </w:p>
        </w:tc>
        <w:tc>
          <w:tcPr/>
          <w:p>
            <w:pPr>
              <w:pStyle w:val="Compact"/>
              <w:jc w:val="left"/>
            </w:pPr>
            <w:r>
              <w:t xml:space="preserve">F2</w:t>
            </w:r>
          </w:p>
        </w:tc>
        <w:tc>
          <w:tcPr/>
          <w:p>
            <w:pPr>
              <w:pStyle w:val="Compact"/>
              <w:jc w:val="right"/>
            </w:pPr>
            <w:r>
              <w:t xml:space="preserve">−0.011</w:t>
            </w:r>
          </w:p>
        </w:tc>
        <w:tc>
          <w:tcPr/>
          <w:p>
            <w:pPr>
              <w:pStyle w:val="Compact"/>
              <w:jc w:val="right"/>
            </w:pPr>
            <w:r>
              <w:t xml:space="preserve">[−0.051, 0.030]</w:t>
            </w:r>
          </w:p>
        </w:tc>
        <w:tc>
          <w:tcPr/>
          <w:p>
            <w:pPr>
              <w:pStyle w:val="Compact"/>
              <w:jc w:val="right"/>
            </w:pPr>
            <w:r>
              <w:t xml:space="preserve">1.000</w:t>
            </w:r>
          </w:p>
        </w:tc>
        <w:tc>
          <w:tcPr/>
          <w:p>
            <w:pPr>
              <w:pStyle w:val="Compact"/>
              <w:jc w:val="right"/>
            </w:pPr>
            <w:r>
              <w:t xml:space="preserve">0.708</w:t>
            </w:r>
          </w:p>
        </w:tc>
      </w:tr>
      <w:tr>
        <w:tc>
          <w:tcPr/>
          <w:p>
            <w:pPr>
              <w:pStyle w:val="Compact"/>
            </w:pPr>
          </w:p>
        </w:tc>
        <w:tc>
          <w:tcPr/>
          <w:p>
            <w:pPr>
              <w:pStyle w:val="Compact"/>
              <w:jc w:val="left"/>
            </w:pPr>
            <w:r>
              <w:t xml:space="preserve">Item rep.</w:t>
            </w:r>
          </w:p>
        </w:tc>
        <w:tc>
          <w:tcPr/>
          <w:p>
            <w:pPr>
              <w:pStyle w:val="Compact"/>
              <w:jc w:val="right"/>
            </w:pPr>
            <w:r>
              <w:t xml:space="preserve">0.032</w:t>
            </w:r>
          </w:p>
        </w:tc>
        <w:tc>
          <w:tcPr/>
          <w:p>
            <w:pPr>
              <w:pStyle w:val="Compact"/>
              <w:jc w:val="right"/>
            </w:pPr>
            <w:r>
              <w:t xml:space="preserve">[−0.009, 0.075]</w:t>
            </w:r>
          </w:p>
        </w:tc>
        <w:tc>
          <w:tcPr/>
          <w:p>
            <w:pPr>
              <w:pStyle w:val="Compact"/>
              <w:jc w:val="right"/>
            </w:pPr>
            <w:r>
              <w:t xml:space="preserve">1.000</w:t>
            </w:r>
          </w:p>
        </w:tc>
        <w:tc>
          <w:tcPr/>
          <w:p>
            <w:pPr>
              <w:pStyle w:val="Compact"/>
              <w:jc w:val="right"/>
            </w:pPr>
            <w:r>
              <w:t xml:space="preserve">0.933</w:t>
            </w:r>
          </w:p>
        </w:tc>
      </w:tr>
      <w:tr>
        <w:tc>
          <w:tcPr/>
          <w:p>
            <w:pPr>
              <w:pStyle w:val="Compact"/>
            </w:pPr>
          </w:p>
        </w:tc>
        <w:tc>
          <w:tcPr/>
          <w:p>
            <w:pPr>
              <w:pStyle w:val="Compact"/>
              <w:jc w:val="left"/>
            </w:pPr>
            <w:r>
              <w:t xml:space="preserve">Language:Voicing</w:t>
            </w:r>
          </w:p>
        </w:tc>
        <w:tc>
          <w:tcPr/>
          <w:p>
            <w:pPr>
              <w:pStyle w:val="Compact"/>
              <w:jc w:val="right"/>
            </w:pPr>
            <w:r>
              <w:t xml:space="preserve">−0.221</w:t>
            </w:r>
          </w:p>
        </w:tc>
        <w:tc>
          <w:tcPr/>
          <w:p>
            <w:pPr>
              <w:pStyle w:val="Compact"/>
              <w:jc w:val="right"/>
            </w:pPr>
            <w:r>
              <w:t xml:space="preserve">[−0.292, −0.155]</w:t>
            </w:r>
          </w:p>
        </w:tc>
        <w:tc>
          <w:tcPr/>
          <w:p>
            <w:pPr>
              <w:pStyle w:val="Compact"/>
              <w:jc w:val="right"/>
            </w:pPr>
            <w:r>
              <w:t xml:space="preserve">0.000</w:t>
            </w:r>
          </w:p>
        </w:tc>
        <w:tc>
          <w:tcPr/>
          <w:p>
            <w:pPr>
              <w:pStyle w:val="Compact"/>
              <w:jc w:val="right"/>
            </w:pPr>
            <w:r>
              <w:t xml:space="preserve">1.000</w:t>
            </w:r>
          </w:p>
        </w:tc>
      </w:tr>
    </w:tbl>
    <w:bookmarkEnd w:id="99"/>
    <w:p>
      <w:pPr>
        <w:pStyle w:val="BodyText"/>
      </w:pPr>
    </w:p>
    <w:p>
      <w:pPr>
        <w:pStyle w:val="BodyText"/>
      </w:pPr>
      <w:hyperlink w:anchor="fig-monolinguals-ph-sl-vot">
        <w:r>
          <w:rPr>
            <w:rStyle w:val="Hyperlink"/>
          </w:rPr>
          <w:t xml:space="preserve">Figure 11</w:t>
        </w:r>
      </w:hyperlink>
      <w:r>
        <w:t xml:space="preserve"> </w:t>
      </w:r>
      <w:r>
        <w:t xml:space="preserve">shows the comparison of English /d/ and Spanish /t/ for voice-onset time.</w:t>
      </w:r>
      <w:r>
        <w:t xml:space="preserve"> </w:t>
      </w:r>
      <w:r>
        <w:t xml:space="preserve">One can observe that there is not a meaningful difference between the short-lag segments.</w:t>
      </w:r>
      <w:r>
        <w:t xml:space="preserve"> </w:t>
      </w:r>
      <w:hyperlink w:anchor="fig-monolinguals-ph-sl-sm">
        <w:r>
          <w:rPr>
            <w:rStyle w:val="Hyperlink"/>
          </w:rPr>
          <w:t xml:space="preserve">Figure 12</w:t>
        </w:r>
      </w:hyperlink>
      <w:r>
        <w:t xml:space="preserve"> </w:t>
      </w:r>
      <w:r>
        <w:t xml:space="preserve">shows the comparison of English /d/ and Spanish /t/ for relative intensity and spectral moments.</w:t>
      </w:r>
      <w:r>
        <w:t xml:space="preserve"> </w:t>
      </w:r>
      <w:r>
        <w:t xml:space="preserve">There appears to be a meaningful difference between the short-lag segments for all metrics except relative intensity.</w:t>
      </w:r>
      <w:r>
        <w:t xml:space="preserve"> </w:t>
      </w:r>
      <w:hyperlink w:anchor="tbl-mono-post-hoc-sl-between">
        <w:r>
          <w:rPr>
            <w:rStyle w:val="Hyperlink"/>
          </w:rPr>
          <w:t xml:space="preserve">Table 3</w:t>
        </w:r>
      </w:hyperlink>
      <w:r>
        <w:t xml:space="preserve"> </w:t>
      </w:r>
      <w:r>
        <w:t xml:space="preserve">summarizes all of the short-lag stop comparisons.</w:t>
      </w:r>
    </w:p>
    <w:tbl>
      <w:tblPr>
        <w:tblStyle w:val="Table"/>
        <w:tblW w:type="pct" w:w="5000"/>
        <w:tblLook w:firstRow="0" w:lastRow="0" w:firstColumn="0" w:lastColumn="0" w:noHBand="0" w:noVBand="0" w:val="0000"/>
      </w:tblPr>
      <w:tblGrid>
        <w:gridCol w:w="7920"/>
      </w:tblGrid>
      <w:tr>
        <w:tc>
          <w:tcPr/>
          <w:bookmarkStart w:id="103" w:name="fig-monolinguals-ph-sl-vot"/>
          <w:p>
            <w:pPr>
              <w:pStyle w:val="Figure"/>
              <w:jc w:val="center"/>
            </w:pPr>
            <w:r>
              <w:drawing>
                <wp:inline>
                  <wp:extent cx="5943600" cy="2971800"/>
                  <wp:effectExtent b="0" l="0" r="0" t="0"/>
                  <wp:docPr descr="" title="" id="101" name="Picture"/>
                  <a:graphic>
                    <a:graphicData uri="http://schemas.openxmlformats.org/drawingml/2006/picture">
                      <pic:pic>
                        <pic:nvPicPr>
                          <pic:cNvPr descr="../../../figs/mono_post_hoc_short_lag_vot.pdf" id="102" name="Picture"/>
                          <pic:cNvPicPr>
                            <a:picLocks noChangeArrowheads="1" noChangeAspect="1"/>
                          </pic:cNvPicPr>
                        </pic:nvPicPr>
                        <pic:blipFill>
                          <a:blip r:embed="rId100"/>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Posterior distribution comparing VOT of the short-lag stops, English /d/ and Spanish /t/. The white point represents the posterior mean ±95% HDI and the grey region represents the ROPE (±0.1).</w:t>
            </w:r>
          </w:p>
          <w:bookmarkEnd w:id="103"/>
        </w:tc>
      </w:tr>
    </w:tbl>
    <w:tbl>
      <w:tblPr>
        <w:tblStyle w:val="Table"/>
        <w:tblW w:type="pct" w:w="5000"/>
        <w:tblLook w:firstRow="0" w:lastRow="0" w:firstColumn="0" w:lastColumn="0" w:noHBand="0" w:noVBand="0" w:val="0000"/>
      </w:tblPr>
      <w:tblGrid>
        <w:gridCol w:w="7920"/>
      </w:tblGrid>
      <w:tr>
        <w:tc>
          <w:tcPr/>
          <w:bookmarkStart w:id="107" w:name="fig-monolinguals-ph-sl-sm"/>
          <w:p>
            <w:pPr>
              <w:pStyle w:val="Figure"/>
              <w:jc w:val="center"/>
            </w:pPr>
            <w:r>
              <w:drawing>
                <wp:inline>
                  <wp:extent cx="5943600" cy="2971800"/>
                  <wp:effectExtent b="0" l="0" r="0" t="0"/>
                  <wp:docPr descr="" title="" id="105" name="Picture"/>
                  <a:graphic>
                    <a:graphicData uri="http://schemas.openxmlformats.org/drawingml/2006/picture">
                      <pic:pic>
                        <pic:nvPicPr>
                          <pic:cNvPr descr="../../../figs/mono_post_hoc_short_lag_sm.pdf" id="106" name="Picture"/>
                          <pic:cNvPicPr>
                            <a:picLocks noChangeArrowheads="1" noChangeAspect="1"/>
                          </pic:cNvPicPr>
                        </pic:nvPicPr>
                        <pic:blipFill>
                          <a:blip r:embed="rId104"/>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Posterior distribution comparing relative intensity and spectral moments of the short-lag stops, English /d/ and Spanish /t/. The points represents the posterior mean ±95% HDI and the grey region represents the ROPE (±0.1).</w:t>
            </w:r>
          </w:p>
          <w:bookmarkEnd w:id="107"/>
        </w:tc>
      </w:tr>
    </w:tbl>
    <w:bookmarkStart w:id="108" w:name="tbl-mono-post-hoc-sl-between"/>
    <w:p>
      <w:pPr>
        <w:pStyle w:val="TableCaption"/>
      </w:pPr>
      <w:r>
        <w:t xml:space="preserve">Table 3: Post-hoc comparisons of short-lag stops between English and Spanish for each burst metric. Each estimate is derived from the mean difference of the posterior of the Spanish segment subtracted from the posterior of the Englsh segment.</w:t>
      </w:r>
    </w:p>
    <w:tbl>
      <w:tblPr>
        <w:tblStyle w:val="Table"/>
        <w:tblW w:type="auto" w:w="0"/>
        <w:tblLook w:firstRow="1" w:lastRow="0" w:firstColumn="0" w:lastColumn="0" w:noHBand="0" w:noVBand="0" w:val="0020"/>
        <w:tblCaption w:val="Table 3: Post-hoc comparisons of short-lag stops between English and Spanish for each burst metric. Each estimate is derived from the mean difference of the posterior of the Spanish segment subtracted from the posterior of the Englsh segment."/>
      </w:tblPr>
      <w:tblGrid>
        <w:gridCol w:w="1584"/>
        <w:gridCol w:w="1584"/>
        <w:gridCol w:w="1584"/>
        <w:gridCol w:w="1584"/>
        <w:gridCol w:w="1584"/>
      </w:tblGrid>
      <w:tr>
        <w:trPr>
          <w:tblHeader w:val="true"/>
        </w:trPr>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right"/>
            </w:pPr>
            <w:r>
              <w:t xml:space="preserve">0.085</w:t>
            </w:r>
          </w:p>
        </w:tc>
        <w:tc>
          <w:tcPr/>
          <w:p>
            <w:pPr>
              <w:pStyle w:val="Compact"/>
              <w:jc w:val="right"/>
            </w:pPr>
            <w:r>
              <w:t xml:space="preserve">[−0.181, 0.335]</w:t>
            </w:r>
          </w:p>
        </w:tc>
        <w:tc>
          <w:tcPr/>
          <w:p>
            <w:pPr>
              <w:pStyle w:val="Compact"/>
              <w:jc w:val="right"/>
            </w:pPr>
            <w:r>
              <w:t xml:space="preserve">0.489</w:t>
            </w:r>
          </w:p>
        </w:tc>
        <w:tc>
          <w:tcPr/>
          <w:p>
            <w:pPr>
              <w:pStyle w:val="Compact"/>
              <w:jc w:val="right"/>
            </w:pPr>
            <w:r>
              <w:t xml:space="preserve">0.745</w:t>
            </w:r>
          </w:p>
        </w:tc>
      </w:tr>
      <w:tr>
        <w:tc>
          <w:tcPr/>
          <w:p>
            <w:pPr>
              <w:pStyle w:val="Compact"/>
              <w:jc w:val="left"/>
            </w:pPr>
            <w:r>
              <w:t xml:space="preserve">COG</w:t>
            </w:r>
          </w:p>
        </w:tc>
        <w:tc>
          <w:tcPr/>
          <w:p>
            <w:pPr>
              <w:pStyle w:val="Compact"/>
              <w:jc w:val="right"/>
            </w:pPr>
            <w:r>
              <w:t xml:space="preserve">0.778</w:t>
            </w:r>
          </w:p>
        </w:tc>
        <w:tc>
          <w:tcPr/>
          <w:p>
            <w:pPr>
              <w:pStyle w:val="Compact"/>
              <w:jc w:val="right"/>
            </w:pPr>
            <w:r>
              <w:t xml:space="preserve">[0.496, 1.048]</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right"/>
            </w:pPr>
            <w:r>
              <w:t xml:space="preserve">−0.069</w:t>
            </w:r>
          </w:p>
        </w:tc>
        <w:tc>
          <w:tcPr/>
          <w:p>
            <w:pPr>
              <w:pStyle w:val="Compact"/>
              <w:jc w:val="right"/>
            </w:pPr>
            <w:r>
              <w:t xml:space="preserve">[−0.546, 0.431]</w:t>
            </w:r>
          </w:p>
        </w:tc>
        <w:tc>
          <w:tcPr/>
          <w:p>
            <w:pPr>
              <w:pStyle w:val="Compact"/>
              <w:jc w:val="right"/>
            </w:pPr>
            <w:r>
              <w:t xml:space="preserve">0.326</w:t>
            </w:r>
          </w:p>
        </w:tc>
        <w:tc>
          <w:tcPr/>
          <w:p>
            <w:pPr>
              <w:pStyle w:val="Compact"/>
              <w:jc w:val="right"/>
            </w:pPr>
            <w:r>
              <w:t xml:space="preserve">0.608</w:t>
            </w:r>
          </w:p>
        </w:tc>
      </w:tr>
      <w:tr>
        <w:tc>
          <w:tcPr/>
          <w:p>
            <w:pPr>
              <w:pStyle w:val="Compact"/>
              <w:jc w:val="left"/>
            </w:pPr>
            <w:r>
              <w:t xml:space="preserve">SD</w:t>
            </w:r>
          </w:p>
        </w:tc>
        <w:tc>
          <w:tcPr/>
          <w:p>
            <w:pPr>
              <w:pStyle w:val="Compact"/>
              <w:jc w:val="right"/>
            </w:pPr>
            <w:r>
              <w:t xml:space="preserve">0.417</w:t>
            </w:r>
          </w:p>
        </w:tc>
        <w:tc>
          <w:tcPr/>
          <w:p>
            <w:pPr>
              <w:pStyle w:val="Compact"/>
              <w:jc w:val="right"/>
            </w:pPr>
            <w:r>
              <w:t xml:space="preserve">[0.075, 0.753]</w:t>
            </w:r>
          </w:p>
        </w:tc>
        <w:tc>
          <w:tcPr/>
          <w:p>
            <w:pPr>
              <w:pStyle w:val="Compact"/>
              <w:jc w:val="right"/>
            </w:pPr>
            <w:r>
              <w:t xml:space="preserve">0.011</w:t>
            </w:r>
          </w:p>
        </w:tc>
        <w:tc>
          <w:tcPr/>
          <w:p>
            <w:pPr>
              <w:pStyle w:val="Compact"/>
              <w:jc w:val="right"/>
            </w:pPr>
            <w:r>
              <w:t xml:space="preserve">0.994</w:t>
            </w:r>
          </w:p>
        </w:tc>
      </w:tr>
      <w:tr>
        <w:tc>
          <w:tcPr/>
          <w:p>
            <w:pPr>
              <w:pStyle w:val="Compact"/>
              <w:jc w:val="left"/>
            </w:pPr>
            <w:r>
              <w:t xml:space="preserve">SK</w:t>
            </w:r>
          </w:p>
        </w:tc>
        <w:tc>
          <w:tcPr/>
          <w:p>
            <w:pPr>
              <w:pStyle w:val="Compact"/>
              <w:jc w:val="right"/>
            </w:pPr>
            <w:r>
              <w:t xml:space="preserve">−0.748</w:t>
            </w:r>
          </w:p>
        </w:tc>
        <w:tc>
          <w:tcPr/>
          <w:p>
            <w:pPr>
              <w:pStyle w:val="Compact"/>
              <w:jc w:val="right"/>
            </w:pPr>
            <w:r>
              <w:t xml:space="preserve">[−0.995, −0.484]</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right"/>
            </w:pPr>
            <w:r>
              <w:t xml:space="preserve">−0.713</w:t>
            </w:r>
          </w:p>
        </w:tc>
        <w:tc>
          <w:tcPr/>
          <w:p>
            <w:pPr>
              <w:pStyle w:val="Compact"/>
              <w:jc w:val="right"/>
            </w:pPr>
            <w:r>
              <w:t xml:space="preserve">[−0.969, −0.456]</w:t>
            </w:r>
          </w:p>
        </w:tc>
        <w:tc>
          <w:tcPr/>
          <w:p>
            <w:pPr>
              <w:pStyle w:val="Compact"/>
              <w:jc w:val="right"/>
            </w:pPr>
            <w:r>
              <w:t xml:space="preserve">0.000</w:t>
            </w:r>
          </w:p>
        </w:tc>
        <w:tc>
          <w:tcPr/>
          <w:p>
            <w:pPr>
              <w:pStyle w:val="Compact"/>
              <w:jc w:val="right"/>
            </w:pPr>
            <w:r>
              <w:t xml:space="preserve">1.000</w:t>
            </w:r>
          </w:p>
        </w:tc>
      </w:tr>
    </w:tbl>
    <w:bookmarkEnd w:id="108"/>
    <w:p>
      <w:pPr>
        <w:pStyle w:val="BodyText"/>
      </w:pPr>
      <w:hyperlink w:anchor="fig-mono-post-hoc-wl-dt-sm">
        <w:r>
          <w:rPr>
            <w:rStyle w:val="Hyperlink"/>
          </w:rPr>
          <w:t xml:space="preserve">Figure 13</w:t>
        </w:r>
      </w:hyperlink>
      <w:r>
        <w:t xml:space="preserve"> </w:t>
      </w:r>
      <w:r>
        <w:t xml:space="preserve">and</w:t>
      </w:r>
      <w:r>
        <w:t xml:space="preserve"> </w:t>
      </w:r>
      <w:hyperlink w:anchor="tbl-mono-post-hoc-sm">
        <w:r>
          <w:rPr>
            <w:rStyle w:val="Hyperlink"/>
          </w:rPr>
          <w:t xml:space="preserve">Table 4</w:t>
        </w:r>
      </w:hyperlink>
      <w:r>
        <w:t xml:space="preserve"> </w:t>
      </w:r>
      <w:r>
        <w:t xml:space="preserve">present the post-hoc analyses of within-language comparisons, that is, Spanish /d/ vs. Spanish /t/ and English /d/ vs. English /t/.</w:t>
      </w:r>
    </w:p>
    <w:tbl>
      <w:tblPr>
        <w:tblStyle w:val="Table"/>
        <w:tblW w:type="pct" w:w="5000"/>
        <w:tblLook w:firstRow="0" w:lastRow="0" w:firstColumn="0" w:lastColumn="0" w:noHBand="0" w:noVBand="0" w:val="0000"/>
      </w:tblPr>
      <w:tblGrid>
        <w:gridCol w:w="7920"/>
      </w:tblGrid>
      <w:tr>
        <w:tc>
          <w:tcPr/>
          <w:bookmarkStart w:id="112" w:name="fig-mono-post-hoc-wl-dt-sm"/>
          <w:p>
            <w:pPr>
              <w:pStyle w:val="Figure"/>
              <w:jc w:val="center"/>
            </w:pPr>
            <w:r>
              <w:drawing>
                <wp:inline>
                  <wp:extent cx="5943600" cy="2971800"/>
                  <wp:effectExtent b="0" l="0" r="0" t="0"/>
                  <wp:docPr descr="" title="" id="110" name="Picture"/>
                  <a:graphic>
                    <a:graphicData uri="http://schemas.openxmlformats.org/drawingml/2006/picture">
                      <pic:pic>
                        <pic:nvPicPr>
                          <pic:cNvPr descr="../../../figs/mono_post_hoc_within_lang_dt_sm.pdf" id="111" name="Picture"/>
                          <pic:cNvPicPr>
                            <a:picLocks noChangeArrowheads="1" noChangeAspect="1"/>
                          </pic:cNvPicPr>
                        </pic:nvPicPr>
                        <pic:blipFill>
                          <a:blip r:embed="rId109"/>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Posterior distributions of difference estimates between voiced and voiceless stops for Spanish and English. The point represents the posterior mean difference ±95% HDI of the posterior of the voiceless segment subtracted from the posterior of the voiced. The light blue region represents the ROPE (±0.1).</w:t>
            </w:r>
          </w:p>
          <w:bookmarkEnd w:id="112"/>
        </w:tc>
      </w:tr>
    </w:tbl>
    <w:bookmarkStart w:id="113" w:name="tbl-mono-post-hoc-sm"/>
    <w:p>
      <w:pPr>
        <w:pStyle w:val="TableCaption"/>
      </w:pPr>
      <w:r>
        <w:t xml:space="preserve">Table 4: Post-hoc comparisons of within-language voiced-voiceless pairs for each burst metric. Each point represents the posterior mean difference ±95% HDI of the posterior of the voiceless segment subtracted from the posterior of the voiced segment.</w:t>
      </w:r>
    </w:p>
    <w:tbl>
      <w:tblPr>
        <w:tblStyle w:val="Table"/>
        <w:tblW w:type="pct" w:w="5000"/>
        <w:tblLook w:firstRow="1" w:lastRow="0" w:firstColumn="0" w:lastColumn="0" w:noHBand="0" w:noVBand="0" w:val="0020"/>
        <w:tblCaption w:val="Table 4: Post-hoc comparisons of within-language voiced-voiceless pairs for each burst metric. Each point represents the posterior mean difference ±95% HDI of the posterior of the voiceless segment subtracted from the posterior of the voiced segment."/>
      </w:tblPr>
      <w:tblGrid>
        <w:gridCol w:w="1018"/>
        <w:gridCol w:w="792"/>
        <w:gridCol w:w="1470"/>
        <w:gridCol w:w="3281"/>
        <w:gridCol w:w="678"/>
        <w:gridCol w:w="678"/>
      </w:tblGrid>
      <w:tr>
        <w:trPr>
          <w:tblHeader w:val="true"/>
        </w:trPr>
        <w:tc>
          <w:tcPr/>
          <w:p>
            <w:pPr>
              <w:pStyle w:val="Compact"/>
              <w:jc w:val="left"/>
            </w:pPr>
            <w:r>
              <w:t xml:space="preserve">Language</w:t>
            </w:r>
          </w:p>
        </w:tc>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Spanish</w:t>
            </w:r>
          </w:p>
        </w:tc>
        <w:tc>
          <w:tcPr/>
          <w:p>
            <w:pPr>
              <w:pStyle w:val="Compact"/>
              <w:jc w:val="left"/>
            </w:pPr>
            <w:r>
              <w:t xml:space="preserve">COG</w:t>
            </w:r>
          </w:p>
        </w:tc>
        <w:tc>
          <w:tcPr/>
          <w:p>
            <w:pPr>
              <w:pStyle w:val="Compact"/>
              <w:jc w:val="right"/>
            </w:pPr>
            <w:r>
              <w:t xml:space="preserve">−1.024</w:t>
            </w:r>
          </w:p>
        </w:tc>
        <w:tc>
          <w:tcPr/>
          <w:p>
            <w:pPr>
              <w:pStyle w:val="Compact"/>
              <w:jc w:val="right"/>
            </w:pPr>
            <w:r>
              <w:t xml:space="preserve">[−1.184, −0.868]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−0.171</w:t>
            </w:r>
          </w:p>
        </w:tc>
        <w:tc>
          <w:tcPr/>
          <w:p>
            <w:pPr>
              <w:pStyle w:val="Compact"/>
              <w:jc w:val="right"/>
            </w:pPr>
            <w:r>
              <w:t xml:space="preserve">[−0.506, 0.197]</w:t>
            </w:r>
          </w:p>
        </w:tc>
        <w:tc>
          <w:tcPr/>
          <w:p>
            <w:pPr>
              <w:pStyle w:val="Compact"/>
              <w:jc w:val="right"/>
            </w:pPr>
            <w:r>
              <w:t xml:space="preserve">0.305</w:t>
            </w:r>
          </w:p>
        </w:tc>
        <w:tc>
          <w:tcPr/>
          <w:p>
            <w:pPr>
              <w:pStyle w:val="Compact"/>
              <w:jc w:val="right"/>
            </w:pPr>
            <w:r>
              <w:t xml:space="preserve">0.839</w:t>
            </w:r>
          </w:p>
        </w:tc>
      </w:tr>
      <w:tr>
        <w:tc>
          <w:tcPr/>
          <w:p>
            <w:pPr>
              <w:pStyle w:val="Compact"/>
            </w:pPr>
          </w:p>
        </w:tc>
        <w:tc>
          <w:tcPr/>
          <w:p>
            <w:pPr>
              <w:pStyle w:val="Compact"/>
              <w:jc w:val="left"/>
            </w:pPr>
            <w:r>
              <w:t xml:space="preserve">SD</w:t>
            </w:r>
          </w:p>
        </w:tc>
        <w:tc>
          <w:tcPr/>
          <w:p>
            <w:pPr>
              <w:pStyle w:val="Compact"/>
              <w:jc w:val="right"/>
            </w:pPr>
            <w:r>
              <w:t xml:space="preserve">−0.985</w:t>
            </w:r>
          </w:p>
        </w:tc>
        <w:tc>
          <w:tcPr/>
          <w:p>
            <w:pPr>
              <w:pStyle w:val="Compact"/>
              <w:jc w:val="right"/>
            </w:pPr>
            <w:r>
              <w:t xml:space="preserve">[−1.193, −0.772]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1.023</w:t>
            </w:r>
          </w:p>
        </w:tc>
        <w:tc>
          <w:tcPr/>
          <w:p>
            <w:pPr>
              <w:pStyle w:val="Compact"/>
              <w:jc w:val="right"/>
            </w:pPr>
            <w:r>
              <w:t xml:space="preserve">[0.827, 1.214]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1.106</w:t>
            </w:r>
          </w:p>
        </w:tc>
        <w:tc>
          <w:tcPr/>
          <w:p>
            <w:pPr>
              <w:pStyle w:val="Compact"/>
              <w:jc w:val="right"/>
            </w:pPr>
            <w:r>
              <w:t xml:space="preserve">[0.905, 1.292]</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English</w:t>
            </w:r>
          </w:p>
        </w:tc>
        <w:tc>
          <w:tcPr/>
          <w:p>
            <w:pPr>
              <w:pStyle w:val="Compact"/>
              <w:jc w:val="left"/>
            </w:pPr>
            <w:r>
              <w:t xml:space="preserve">COG</w:t>
            </w:r>
          </w:p>
        </w:tc>
        <w:tc>
          <w:tcPr/>
          <w:p>
            <w:pPr>
              <w:pStyle w:val="Compact"/>
              <w:jc w:val="right"/>
            </w:pPr>
            <w:r>
              <w:t xml:space="preserve">−0.169</w:t>
            </w:r>
          </w:p>
        </w:tc>
        <w:tc>
          <w:tcPr/>
          <w:p>
            <w:pPr>
              <w:pStyle w:val="Compact"/>
              <w:jc w:val="right"/>
            </w:pPr>
            <w:r>
              <w:t xml:space="preserve">[−0.327, −0.012]</w:t>
            </w:r>
          </w:p>
        </w:tc>
        <w:tc>
          <w:tcPr/>
          <w:p>
            <w:pPr>
              <w:pStyle w:val="Compact"/>
              <w:jc w:val="right"/>
            </w:pPr>
            <w:r>
              <w:t xml:space="preserve">0.171</w:t>
            </w:r>
          </w:p>
        </w:tc>
        <w:tc>
          <w:tcPr/>
          <w:p>
            <w:pPr>
              <w:pStyle w:val="Compact"/>
              <w:jc w:val="right"/>
            </w:pPr>
            <w:r>
              <w:t xml:space="preserve">0.983</w:t>
            </w:r>
          </w:p>
        </w:tc>
      </w:tr>
      <w:tr>
        <w:tc>
          <w:tcPr/>
          <w:p>
            <w:pPr>
              <w:pStyle w:val="Compact"/>
            </w:pPr>
          </w:p>
        </w:tc>
        <w:tc>
          <w:tcPr/>
          <w:p>
            <w:pPr>
              <w:pStyle w:val="Compact"/>
              <w:jc w:val="left"/>
            </w:pPr>
            <w:r>
              <w:t xml:space="preserve">RI</w:t>
            </w:r>
          </w:p>
        </w:tc>
        <w:tc>
          <w:tcPr/>
          <w:p>
            <w:pPr>
              <w:pStyle w:val="Compact"/>
              <w:jc w:val="right"/>
            </w:pPr>
            <w:r>
              <w:t xml:space="preserve">−0.07</w:t>
            </w:r>
          </w:p>
        </w:tc>
        <w:tc>
          <w:tcPr/>
          <w:p>
            <w:pPr>
              <w:pStyle w:val="Compact"/>
              <w:jc w:val="right"/>
            </w:pPr>
            <w:r>
              <w:t xml:space="preserve">[−0.405, 0.296]</w:t>
            </w:r>
          </w:p>
        </w:tc>
        <w:tc>
          <w:tcPr/>
          <w:p>
            <w:pPr>
              <w:pStyle w:val="Compact"/>
              <w:jc w:val="right"/>
            </w:pPr>
            <w:r>
              <w:t xml:space="preserve">0.420</w:t>
            </w:r>
          </w:p>
        </w:tc>
        <w:tc>
          <w:tcPr/>
          <w:p>
            <w:pPr>
              <w:pStyle w:val="Compact"/>
              <w:jc w:val="right"/>
            </w:pPr>
            <w:r>
              <w:t xml:space="preserve">0.652</w:t>
            </w:r>
          </w:p>
        </w:tc>
      </w:tr>
      <w:tr>
        <w:tc>
          <w:tcPr/>
          <w:p>
            <w:pPr>
              <w:pStyle w:val="Compact"/>
            </w:pPr>
          </w:p>
        </w:tc>
        <w:tc>
          <w:tcPr/>
          <w:p>
            <w:pPr>
              <w:pStyle w:val="Compact"/>
              <w:jc w:val="left"/>
            </w:pPr>
            <w:r>
              <w:t xml:space="preserve">SD</w:t>
            </w:r>
          </w:p>
        </w:tc>
        <w:tc>
          <w:tcPr/>
          <w:p>
            <w:pPr>
              <w:pStyle w:val="Compact"/>
              <w:jc w:val="right"/>
            </w:pPr>
            <w:r>
              <w:t xml:space="preserve">−0.143</w:t>
            </w:r>
          </w:p>
        </w:tc>
        <w:tc>
          <w:tcPr/>
          <w:p>
            <w:pPr>
              <w:pStyle w:val="Compact"/>
              <w:jc w:val="right"/>
            </w:pPr>
            <w:r>
              <w:t xml:space="preserve">[−0.365, 0.066]</w:t>
            </w:r>
          </w:p>
        </w:tc>
        <w:tc>
          <w:tcPr/>
          <w:p>
            <w:pPr>
              <w:pStyle w:val="Compact"/>
              <w:jc w:val="right"/>
            </w:pPr>
            <w:r>
              <w:t xml:space="preserve">0.338</w:t>
            </w:r>
          </w:p>
        </w:tc>
        <w:tc>
          <w:tcPr/>
          <w:p>
            <w:pPr>
              <w:pStyle w:val="Compact"/>
              <w:jc w:val="right"/>
            </w:pPr>
            <w:r>
              <w:t xml:space="preserve">0.910</w:t>
            </w:r>
          </w:p>
        </w:tc>
      </w:tr>
      <w:tr>
        <w:tc>
          <w:tcPr/>
          <w:p>
            <w:pPr>
              <w:pStyle w:val="Compact"/>
            </w:pPr>
          </w:p>
        </w:tc>
        <w:tc>
          <w:tcPr/>
          <w:p>
            <w:pPr>
              <w:pStyle w:val="Compact"/>
              <w:jc w:val="left"/>
            </w:pPr>
            <w:r>
              <w:t xml:space="preserve">SK</w:t>
            </w:r>
          </w:p>
        </w:tc>
        <w:tc>
          <w:tcPr/>
          <w:p>
            <w:pPr>
              <w:pStyle w:val="Compact"/>
              <w:jc w:val="right"/>
            </w:pPr>
            <w:r>
              <w:t xml:space="preserve">0.139</w:t>
            </w:r>
          </w:p>
        </w:tc>
        <w:tc>
          <w:tcPr/>
          <w:p>
            <w:pPr>
              <w:pStyle w:val="Compact"/>
              <w:jc w:val="right"/>
            </w:pPr>
            <w:r>
              <w:t xml:space="preserve">[−0.049, 0.34]</w:t>
            </w:r>
          </w:p>
        </w:tc>
        <w:tc>
          <w:tcPr/>
          <w:p>
            <w:pPr>
              <w:pStyle w:val="Compact"/>
              <w:jc w:val="right"/>
            </w:pPr>
            <w:r>
              <w:t xml:space="preserve">0.343</w:t>
            </w:r>
          </w:p>
        </w:tc>
        <w:tc>
          <w:tcPr/>
          <w:p>
            <w:pPr>
              <w:pStyle w:val="Compact"/>
              <w:jc w:val="right"/>
            </w:pPr>
            <w:r>
              <w:t xml:space="preserve">0.920</w:t>
            </w:r>
          </w:p>
        </w:tc>
      </w:tr>
      <w:tr>
        <w:tc>
          <w:tcPr/>
          <w:p>
            <w:pPr>
              <w:pStyle w:val="Compact"/>
            </w:pPr>
          </w:p>
        </w:tc>
        <w:tc>
          <w:tcPr/>
          <w:p>
            <w:pPr>
              <w:pStyle w:val="Compact"/>
              <w:jc w:val="left"/>
            </w:pPr>
            <w:r>
              <w:t xml:space="preserve">KT</w:t>
            </w:r>
          </w:p>
        </w:tc>
        <w:tc>
          <w:tcPr/>
          <w:p>
            <w:pPr>
              <w:pStyle w:val="Compact"/>
              <w:jc w:val="right"/>
            </w:pPr>
            <w:r>
              <w:t xml:space="preserve">0.054</w:t>
            </w:r>
          </w:p>
        </w:tc>
        <w:tc>
          <w:tcPr/>
          <w:p>
            <w:pPr>
              <w:pStyle w:val="Compact"/>
              <w:jc w:val="right"/>
            </w:pPr>
            <w:r>
              <w:t xml:space="preserve">[−0.149, 0.247]</w:t>
            </w:r>
          </w:p>
        </w:tc>
        <w:tc>
          <w:tcPr/>
          <w:p>
            <w:pPr>
              <w:pStyle w:val="Compact"/>
              <w:jc w:val="right"/>
            </w:pPr>
            <w:r>
              <w:t xml:space="preserve">0.659</w:t>
            </w:r>
          </w:p>
        </w:tc>
        <w:tc>
          <w:tcPr/>
          <w:p>
            <w:pPr>
              <w:pStyle w:val="Compact"/>
              <w:jc w:val="right"/>
            </w:pPr>
            <w:r>
              <w:t xml:space="preserve">0.712</w:t>
            </w:r>
          </w:p>
        </w:tc>
      </w:tr>
    </w:tbl>
    <w:bookmarkEnd w:id="113"/>
    <w:p>
      <w:r>
        <w:br w:type="page"/>
      </w:r>
    </w:p>
    <w:bookmarkEnd w:id="114"/>
    <w:bookmarkStart w:id="129" w:name="X4637e385458377b68173ba687d51d758dfad53e"/>
    <w:p>
      <w:pPr>
        <w:pStyle w:val="Heading2"/>
      </w:pPr>
      <w:r>
        <w:t xml:space="preserve">Appendix C: Supplementary analyses (bilinguals)</w:t>
      </w:r>
    </w:p>
    <w:p>
      <w:pPr>
        <w:pStyle w:val="FirstParagraph"/>
      </w:pPr>
      <w:r>
        <w:t xml:space="preserve">In this section we present additional information from the analyses of the bilingual data.</w:t>
      </w:r>
      <w:r>
        <w:t xml:space="preserve"> </w:t>
      </w:r>
      <w:hyperlink w:anchor="tbl-bi">
        <w:r>
          <w:rPr>
            <w:rStyle w:val="Hyperlink"/>
          </w:rPr>
          <w:t xml:space="preserve">Table 5</w:t>
        </w:r>
      </w:hyperlink>
      <w:r>
        <w:t xml:space="preserve"> </w:t>
      </w:r>
      <w:r>
        <w:t xml:space="preserve">includes the full output of the model summary from the primary multivariate analysis (Note: this table is equivalent to the forest plot in</w:t>
      </w:r>
      <w:r>
        <w:t xml:space="preserve"> </w:t>
      </w:r>
      <w:hyperlink w:anchor="fig-bilinguals">
        <w:r>
          <w:rPr>
            <w:rStyle w:val="Hyperlink"/>
          </w:rPr>
          <w:t xml:space="preserve">Figure 3</w:t>
        </w:r>
      </w:hyperlink>
      <w:r>
        <w:t xml:space="preserve">).</w:t>
      </w:r>
    </w:p>
    <w:bookmarkStart w:id="115" w:name="tbl-bi"/>
    <w:p>
      <w:pPr>
        <w:pStyle w:val="TableCaption"/>
      </w:pPr>
      <w:r>
        <w:t xml:space="preserve">Table 5: Model summary for VOT and burst metrics as a function of language (English, Spanish), phoneme (/d/, /t/), F1, F2, and item repetition for bilingual coronal stops. The percentage of the HDI contained within the ROPE is based on an effect size of ±0.1.</w:t>
      </w:r>
    </w:p>
    <w:tbl>
      <w:tblPr>
        <w:tblStyle w:val="Table"/>
        <w:tblW w:type="pct" w:w="5000"/>
        <w:tblLook w:firstRow="1" w:lastRow="0" w:firstColumn="0" w:lastColumn="0" w:noHBand="0" w:noVBand="0" w:val="0020"/>
        <w:tblCaption w:val="Table 5: Model summary for VOT and burst metrics as a function of language (English, Spanish), phoneme (/d/, /t/), F1, F2, and item repetition for bi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−0.075</w:t>
            </w:r>
          </w:p>
        </w:tc>
        <w:tc>
          <w:tcPr/>
          <w:p>
            <w:pPr>
              <w:pStyle w:val="Compact"/>
              <w:jc w:val="right"/>
            </w:pPr>
            <w:r>
              <w:t xml:space="preserve">[−0.209, 0.059]</w:t>
            </w:r>
          </w:p>
        </w:tc>
        <w:tc>
          <w:tcPr/>
          <w:p>
            <w:pPr>
              <w:pStyle w:val="Compact"/>
              <w:jc w:val="right"/>
            </w:pPr>
            <w:r>
              <w:t xml:space="preserve">0.647</w:t>
            </w:r>
          </w:p>
        </w:tc>
        <w:tc>
          <w:tcPr/>
          <w:p>
            <w:pPr>
              <w:pStyle w:val="Compact"/>
              <w:jc w:val="right"/>
            </w:pPr>
            <w:r>
              <w:t xml:space="preserve">0.863</w:t>
            </w:r>
          </w:p>
        </w:tc>
      </w:tr>
      <w:tr>
        <w:tc>
          <w:tcPr/>
          <w:p>
            <w:pPr>
              <w:pStyle w:val="Compact"/>
            </w:pPr>
          </w:p>
        </w:tc>
        <w:tc>
          <w:tcPr/>
          <w:p>
            <w:pPr>
              <w:pStyle w:val="Compact"/>
              <w:jc w:val="left"/>
            </w:pPr>
            <w:r>
              <w:t xml:space="preserve">Language</w:t>
            </w:r>
          </w:p>
        </w:tc>
        <w:tc>
          <w:tcPr/>
          <w:p>
            <w:pPr>
              <w:pStyle w:val="Compact"/>
              <w:jc w:val="right"/>
            </w:pPr>
            <w:r>
              <w:t xml:space="preserve">0.523</w:t>
            </w:r>
          </w:p>
        </w:tc>
        <w:tc>
          <w:tcPr/>
          <w:p>
            <w:pPr>
              <w:pStyle w:val="Compact"/>
              <w:jc w:val="right"/>
            </w:pPr>
            <w:r>
              <w:t xml:space="preserve">[0.481, 0.566]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−0.633</w:t>
            </w:r>
          </w:p>
        </w:tc>
        <w:tc>
          <w:tcPr/>
          <w:p>
            <w:pPr>
              <w:pStyle w:val="Compact"/>
              <w:jc w:val="right"/>
            </w:pPr>
            <w:r>
              <w:t xml:space="preserve">[−0.738, −0.522]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[−0.013, 0.049]</w:t>
            </w:r>
          </w:p>
        </w:tc>
        <w:tc>
          <w:tcPr/>
          <w:p>
            <w:pPr>
              <w:pStyle w:val="Compact"/>
              <w:jc w:val="right"/>
            </w:pPr>
            <w:r>
              <w:t xml:space="preserve">1.000</w:t>
            </w:r>
          </w:p>
        </w:tc>
        <w:tc>
          <w:tcPr/>
          <w:p>
            <w:pPr>
              <w:pStyle w:val="Compact"/>
              <w:jc w:val="right"/>
            </w:pPr>
            <w:r>
              <w:t xml:space="preserve">0.847</w:t>
            </w:r>
          </w:p>
        </w:tc>
      </w:tr>
      <w:tr>
        <w:tc>
          <w:tcPr/>
          <w:p>
            <w:pPr>
              <w:pStyle w:val="Compact"/>
            </w:pPr>
          </w:p>
        </w:tc>
        <w:tc>
          <w:tcPr/>
          <w:p>
            <w:pPr>
              <w:pStyle w:val="Compact"/>
              <w:jc w:val="left"/>
            </w:pPr>
            <w:r>
              <w:t xml:space="preserve">F2</w:t>
            </w:r>
          </w:p>
        </w:tc>
        <w:tc>
          <w:tcPr/>
          <w:p>
            <w:pPr>
              <w:pStyle w:val="Compact"/>
              <w:jc w:val="right"/>
            </w:pPr>
            <w:r>
              <w:t xml:space="preserve">−0.016</w:t>
            </w:r>
          </w:p>
        </w:tc>
        <w:tc>
          <w:tcPr/>
          <w:p>
            <w:pPr>
              <w:pStyle w:val="Compact"/>
              <w:jc w:val="right"/>
            </w:pPr>
            <w:r>
              <w:t xml:space="preserve">[−0.053, 0.020]</w:t>
            </w:r>
          </w:p>
        </w:tc>
        <w:tc>
          <w:tcPr/>
          <w:p>
            <w:pPr>
              <w:pStyle w:val="Compact"/>
              <w:jc w:val="right"/>
            </w:pPr>
            <w:r>
              <w:t xml:space="preserve">1.000</w:t>
            </w:r>
          </w:p>
        </w:tc>
        <w:tc>
          <w:tcPr/>
          <w:p>
            <w:pPr>
              <w:pStyle w:val="Compact"/>
              <w:jc w:val="right"/>
            </w:pPr>
            <w:r>
              <w:t xml:space="preserve">0.813</w:t>
            </w:r>
          </w:p>
        </w:tc>
      </w:tr>
      <w:tr>
        <w:tc>
          <w:tcPr/>
          <w:p>
            <w:pPr>
              <w:pStyle w:val="Compact"/>
            </w:pPr>
          </w:p>
        </w:tc>
        <w:tc>
          <w:tcPr/>
          <w:p>
            <w:pPr>
              <w:pStyle w:val="Compact"/>
              <w:jc w:val="left"/>
            </w:pPr>
            <w:r>
              <w:t xml:space="preserve">Item rep.</w:t>
            </w:r>
          </w:p>
        </w:tc>
        <w:tc>
          <w:tcPr/>
          <w:p>
            <w:pPr>
              <w:pStyle w:val="Compact"/>
              <w:jc w:val="right"/>
            </w:pPr>
            <w:r>
              <w:t xml:space="preserve">−0.009</w:t>
            </w:r>
          </w:p>
        </w:tc>
        <w:tc>
          <w:tcPr/>
          <w:p>
            <w:pPr>
              <w:pStyle w:val="Compact"/>
              <w:jc w:val="right"/>
            </w:pPr>
            <w:r>
              <w:t xml:space="preserve">[−0.038, 0.019]</w:t>
            </w:r>
          </w:p>
        </w:tc>
        <w:tc>
          <w:tcPr/>
          <w:p>
            <w:pPr>
              <w:pStyle w:val="Compact"/>
              <w:jc w:val="right"/>
            </w:pPr>
            <w:r>
              <w:t xml:space="preserve">1.000</w:t>
            </w:r>
          </w:p>
        </w:tc>
        <w:tc>
          <w:tcPr/>
          <w:p>
            <w:pPr>
              <w:pStyle w:val="Compact"/>
              <w:jc w:val="right"/>
            </w:pPr>
            <w:r>
              <w:t xml:space="preserve">0.728</w:t>
            </w:r>
          </w:p>
        </w:tc>
      </w:tr>
      <w:tr>
        <w:tc>
          <w:tcPr/>
          <w:p>
            <w:pPr>
              <w:pStyle w:val="Compact"/>
            </w:pPr>
          </w:p>
        </w:tc>
        <w:tc>
          <w:tcPr/>
          <w:p>
            <w:pPr>
              <w:pStyle w:val="Compact"/>
              <w:jc w:val="left"/>
            </w:pPr>
            <w:r>
              <w:t xml:space="preserve">Language:Voicing</w:t>
            </w:r>
          </w:p>
        </w:tc>
        <w:tc>
          <w:tcPr/>
          <w:p>
            <w:pPr>
              <w:pStyle w:val="Compact"/>
              <w:jc w:val="right"/>
            </w:pPr>
            <w:r>
              <w:t xml:space="preserve">0.025</w:t>
            </w:r>
          </w:p>
        </w:tc>
        <w:tc>
          <w:tcPr/>
          <w:p>
            <w:pPr>
              <w:pStyle w:val="Compact"/>
              <w:jc w:val="right"/>
            </w:pPr>
            <w:r>
              <w:t xml:space="preserve">[−0.017, 0.067]</w:t>
            </w:r>
          </w:p>
        </w:tc>
        <w:tc>
          <w:tcPr/>
          <w:p>
            <w:pPr>
              <w:pStyle w:val="Compact"/>
              <w:jc w:val="right"/>
            </w:pPr>
            <w:r>
              <w:t xml:space="preserve">1.000</w:t>
            </w:r>
          </w:p>
        </w:tc>
        <w:tc>
          <w:tcPr/>
          <w:p>
            <w:pPr>
              <w:pStyle w:val="Compact"/>
              <w:jc w:val="right"/>
            </w:pPr>
            <w:r>
              <w:t xml:space="preserve">0.883</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−0.130</w:t>
            </w:r>
          </w:p>
        </w:tc>
        <w:tc>
          <w:tcPr/>
          <w:p>
            <w:pPr>
              <w:pStyle w:val="Compact"/>
              <w:jc w:val="right"/>
            </w:pPr>
            <w:r>
              <w:t xml:space="preserve">[−0.248, −0.003]</w:t>
            </w:r>
          </w:p>
        </w:tc>
        <w:tc>
          <w:tcPr/>
          <w:p>
            <w:pPr>
              <w:pStyle w:val="Compact"/>
              <w:jc w:val="right"/>
            </w:pPr>
            <w:r>
              <w:t xml:space="preserve">0.318</w:t>
            </w:r>
          </w:p>
        </w:tc>
        <w:tc>
          <w:tcPr/>
          <w:p>
            <w:pPr>
              <w:pStyle w:val="Compact"/>
              <w:jc w:val="right"/>
            </w:pPr>
            <w:r>
              <w:t xml:space="preserve">0.984</w:t>
            </w:r>
          </w:p>
        </w:tc>
      </w:tr>
      <w:tr>
        <w:tc>
          <w:tcPr/>
          <w:p>
            <w:pPr>
              <w:pStyle w:val="Compact"/>
            </w:pPr>
          </w:p>
        </w:tc>
        <w:tc>
          <w:tcPr/>
          <w:p>
            <w:pPr>
              <w:pStyle w:val="Compact"/>
              <w:jc w:val="left"/>
            </w:pPr>
            <w:r>
              <w:t xml:space="preserve">Language</w:t>
            </w:r>
          </w:p>
        </w:tc>
        <w:tc>
          <w:tcPr/>
          <w:p>
            <w:pPr>
              <w:pStyle w:val="Compact"/>
              <w:jc w:val="right"/>
            </w:pPr>
            <w:r>
              <w:t xml:space="preserve">0.661</w:t>
            </w:r>
          </w:p>
        </w:tc>
        <w:tc>
          <w:tcPr/>
          <w:p>
            <w:pPr>
              <w:pStyle w:val="Compact"/>
              <w:jc w:val="right"/>
            </w:pPr>
            <w:r>
              <w:t xml:space="preserve">[0.631, 0.692]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−0.308</w:t>
            </w:r>
          </w:p>
        </w:tc>
        <w:tc>
          <w:tcPr/>
          <w:p>
            <w:pPr>
              <w:pStyle w:val="Compact"/>
              <w:jc w:val="right"/>
            </w:pPr>
            <w:r>
              <w:t xml:space="preserve">[−0.340, −0.270]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0.036</w:t>
            </w:r>
          </w:p>
        </w:tc>
        <w:tc>
          <w:tcPr/>
          <w:p>
            <w:pPr>
              <w:pStyle w:val="Compact"/>
              <w:jc w:val="right"/>
            </w:pPr>
            <w:r>
              <w:t xml:space="preserve">[−0.001, 0.074]</w:t>
            </w:r>
          </w:p>
        </w:tc>
        <w:tc>
          <w:tcPr/>
          <w:p>
            <w:pPr>
              <w:pStyle w:val="Compact"/>
              <w:jc w:val="right"/>
            </w:pPr>
            <w:r>
              <w:t xml:space="preserve">1.000</w:t>
            </w:r>
          </w:p>
        </w:tc>
        <w:tc>
          <w:tcPr/>
          <w:p>
            <w:pPr>
              <w:pStyle w:val="Compact"/>
              <w:jc w:val="right"/>
            </w:pPr>
            <w:r>
              <w:t xml:space="preserve">0.967</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[−0.053, 0.022]</w:t>
            </w:r>
          </w:p>
        </w:tc>
        <w:tc>
          <w:tcPr/>
          <w:p>
            <w:pPr>
              <w:pStyle w:val="Compact"/>
              <w:jc w:val="right"/>
            </w:pPr>
            <w:r>
              <w:t xml:space="preserve">1.000</w:t>
            </w:r>
          </w:p>
        </w:tc>
        <w:tc>
          <w:tcPr/>
          <w:p>
            <w:pPr>
              <w:pStyle w:val="Compact"/>
              <w:jc w:val="right"/>
            </w:pPr>
            <w:r>
              <w:t xml:space="preserve">0.783</w:t>
            </w:r>
          </w:p>
        </w:tc>
      </w:tr>
      <w:tr>
        <w:tc>
          <w:tcPr/>
          <w:p>
            <w:pPr>
              <w:pStyle w:val="Compact"/>
            </w:pPr>
          </w:p>
        </w:tc>
        <w:tc>
          <w:tcPr/>
          <w:p>
            <w:pPr>
              <w:pStyle w:val="Compact"/>
              <w:jc w:val="left"/>
            </w:pPr>
            <w:r>
              <w:t xml:space="preserve">Item rep.</w:t>
            </w:r>
          </w:p>
        </w:tc>
        <w:tc>
          <w:tcPr/>
          <w:p>
            <w:pPr>
              <w:pStyle w:val="Compact"/>
              <w:jc w:val="right"/>
            </w:pPr>
            <w:r>
              <w:t xml:space="preserve">0.012</w:t>
            </w:r>
          </w:p>
        </w:tc>
        <w:tc>
          <w:tcPr/>
          <w:p>
            <w:pPr>
              <w:pStyle w:val="Compact"/>
              <w:jc w:val="right"/>
            </w:pPr>
            <w:r>
              <w:t xml:space="preserve">[−0.023, 0.049]</w:t>
            </w:r>
          </w:p>
        </w:tc>
        <w:tc>
          <w:tcPr/>
          <w:p>
            <w:pPr>
              <w:pStyle w:val="Compact"/>
              <w:jc w:val="right"/>
            </w:pPr>
            <w:r>
              <w:t xml:space="preserve">1.000</w:t>
            </w:r>
          </w:p>
        </w:tc>
        <w:tc>
          <w:tcPr/>
          <w:p>
            <w:pPr>
              <w:pStyle w:val="Compact"/>
              <w:jc w:val="right"/>
            </w:pPr>
            <w:r>
              <w:t xml:space="preserve">0.746</w:t>
            </w:r>
          </w:p>
        </w:tc>
      </w:tr>
      <w:tr>
        <w:tc>
          <w:tcPr/>
          <w:p>
            <w:pPr>
              <w:pStyle w:val="Compact"/>
            </w:pPr>
          </w:p>
        </w:tc>
        <w:tc>
          <w:tcPr/>
          <w:p>
            <w:pPr>
              <w:pStyle w:val="Compact"/>
              <w:jc w:val="left"/>
            </w:pPr>
            <w:r>
              <w:t xml:space="preserve">Language:Voicing</w:t>
            </w:r>
          </w:p>
        </w:tc>
        <w:tc>
          <w:tcPr/>
          <w:p>
            <w:pPr>
              <w:pStyle w:val="Compact"/>
              <w:jc w:val="right"/>
            </w:pPr>
            <w:r>
              <w:t xml:space="preserve">0.096</w:t>
            </w:r>
          </w:p>
        </w:tc>
        <w:tc>
          <w:tcPr/>
          <w:p>
            <w:pPr>
              <w:pStyle w:val="Compact"/>
              <w:jc w:val="right"/>
            </w:pPr>
            <w:r>
              <w:t xml:space="preserve">[0.067, 0.126]</w:t>
            </w:r>
          </w:p>
        </w:tc>
        <w:tc>
          <w:tcPr/>
          <w:p>
            <w:pPr>
              <w:pStyle w:val="Compact"/>
              <w:jc w:val="right"/>
            </w:pPr>
            <w:r>
              <w:t xml:space="preserve">0.620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0.162</w:t>
            </w:r>
          </w:p>
        </w:tc>
        <w:tc>
          <w:tcPr/>
          <w:p>
            <w:pPr>
              <w:pStyle w:val="Compact"/>
              <w:jc w:val="right"/>
            </w:pPr>
            <w:r>
              <w:t xml:space="preserve">[0.047, 0.291]</w:t>
            </w:r>
          </w:p>
        </w:tc>
        <w:tc>
          <w:tcPr/>
          <w:p>
            <w:pPr>
              <w:pStyle w:val="Compact"/>
              <w:jc w:val="right"/>
            </w:pPr>
            <w:r>
              <w:t xml:space="preserve">0.128</w:t>
            </w:r>
          </w:p>
        </w:tc>
        <w:tc>
          <w:tcPr/>
          <w:p>
            <w:pPr>
              <w:pStyle w:val="Compact"/>
              <w:jc w:val="right"/>
            </w:pPr>
            <w:r>
              <w:t xml:space="preserve">0.994</w:t>
            </w:r>
          </w:p>
        </w:tc>
      </w:tr>
      <w:tr>
        <w:tc>
          <w:tcPr/>
          <w:p>
            <w:pPr>
              <w:pStyle w:val="Compact"/>
            </w:pPr>
          </w:p>
        </w:tc>
        <w:tc>
          <w:tcPr/>
          <w:p>
            <w:pPr>
              <w:pStyle w:val="Compact"/>
              <w:jc w:val="left"/>
            </w:pPr>
            <w:r>
              <w:t xml:space="preserve">Language</w:t>
            </w:r>
          </w:p>
        </w:tc>
        <w:tc>
          <w:tcPr/>
          <w:p>
            <w:pPr>
              <w:pStyle w:val="Compact"/>
              <w:jc w:val="right"/>
            </w:pPr>
            <w:r>
              <w:t xml:space="preserve">−0.635</w:t>
            </w:r>
          </w:p>
        </w:tc>
        <w:tc>
          <w:tcPr/>
          <w:p>
            <w:pPr>
              <w:pStyle w:val="Compact"/>
              <w:jc w:val="right"/>
            </w:pPr>
            <w:r>
              <w:t xml:space="preserve">[−0.668, −0.603]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0.276</w:t>
            </w:r>
          </w:p>
        </w:tc>
        <w:tc>
          <w:tcPr/>
          <w:p>
            <w:pPr>
              <w:pStyle w:val="Compact"/>
              <w:jc w:val="right"/>
            </w:pPr>
            <w:r>
              <w:t xml:space="preserve">[0.237, 0.313]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−0.018</w:t>
            </w:r>
          </w:p>
        </w:tc>
        <w:tc>
          <w:tcPr/>
          <w:p>
            <w:pPr>
              <w:pStyle w:val="Compact"/>
              <w:jc w:val="right"/>
            </w:pPr>
            <w:r>
              <w:t xml:space="preserve">[−0.056, 0.022]</w:t>
            </w:r>
          </w:p>
        </w:tc>
        <w:tc>
          <w:tcPr/>
          <w:p>
            <w:pPr>
              <w:pStyle w:val="Compact"/>
              <w:jc w:val="right"/>
            </w:pPr>
            <w:r>
              <w:t xml:space="preserve">1.000</w:t>
            </w:r>
          </w:p>
        </w:tc>
        <w:tc>
          <w:tcPr/>
          <w:p>
            <w:pPr>
              <w:pStyle w:val="Compact"/>
              <w:jc w:val="right"/>
            </w:pPr>
            <w:r>
              <w:t xml:space="preserve">0.808</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[−0.048, 0.029]</w:t>
            </w:r>
          </w:p>
        </w:tc>
        <w:tc>
          <w:tcPr/>
          <w:p>
            <w:pPr>
              <w:pStyle w:val="Compact"/>
              <w:jc w:val="right"/>
            </w:pPr>
            <w:r>
              <w:t xml:space="preserve">1.000</w:t>
            </w:r>
          </w:p>
        </w:tc>
        <w:tc>
          <w:tcPr/>
          <w:p>
            <w:pPr>
              <w:pStyle w:val="Compact"/>
              <w:jc w:val="right"/>
            </w:pPr>
            <w:r>
              <w:t xml:space="preserve">0.666</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[−0.064, 0.010]</w:t>
            </w:r>
          </w:p>
        </w:tc>
        <w:tc>
          <w:tcPr/>
          <w:p>
            <w:pPr>
              <w:pStyle w:val="Compact"/>
              <w:jc w:val="right"/>
            </w:pPr>
            <w:r>
              <w:t xml:space="preserve">1.000</w:t>
            </w:r>
          </w:p>
        </w:tc>
        <w:tc>
          <w:tcPr/>
          <w:p>
            <w:pPr>
              <w:pStyle w:val="Compact"/>
              <w:jc w:val="right"/>
            </w:pPr>
            <w:r>
              <w:t xml:space="preserve">0.936</w:t>
            </w:r>
          </w:p>
        </w:tc>
      </w:tr>
      <w:tr>
        <w:tc>
          <w:tcPr/>
          <w:p>
            <w:pPr>
              <w:pStyle w:val="Compact"/>
            </w:pPr>
          </w:p>
        </w:tc>
        <w:tc>
          <w:tcPr/>
          <w:p>
            <w:pPr>
              <w:pStyle w:val="Compact"/>
              <w:jc w:val="left"/>
            </w:pPr>
            <w:r>
              <w:t xml:space="preserve">Language:Voicing</w:t>
            </w:r>
          </w:p>
        </w:tc>
        <w:tc>
          <w:tcPr/>
          <w:p>
            <w:pPr>
              <w:pStyle w:val="Compact"/>
              <w:jc w:val="right"/>
            </w:pPr>
            <w:r>
              <w:t xml:space="preserve">−0.173</w:t>
            </w:r>
          </w:p>
        </w:tc>
        <w:tc>
          <w:tcPr/>
          <w:p>
            <w:pPr>
              <w:pStyle w:val="Compact"/>
              <w:jc w:val="right"/>
            </w:pPr>
            <w:r>
              <w:t xml:space="preserve">[−0.204, −0.143]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−0.020</w:t>
            </w:r>
          </w:p>
        </w:tc>
        <w:tc>
          <w:tcPr/>
          <w:p>
            <w:pPr>
              <w:pStyle w:val="Compact"/>
              <w:jc w:val="right"/>
            </w:pPr>
            <w:r>
              <w:t xml:space="preserve">[−0.217, 0.170]</w:t>
            </w:r>
          </w:p>
        </w:tc>
        <w:tc>
          <w:tcPr/>
          <w:p>
            <w:pPr>
              <w:pStyle w:val="Compact"/>
              <w:jc w:val="right"/>
            </w:pPr>
            <w:r>
              <w:t xml:space="preserve">0.711</w:t>
            </w:r>
          </w:p>
        </w:tc>
        <w:tc>
          <w:tcPr/>
          <w:p>
            <w:pPr>
              <w:pStyle w:val="Compact"/>
              <w:jc w:val="right"/>
            </w:pPr>
            <w:r>
              <w:t xml:space="preserve">0.582</w:t>
            </w:r>
          </w:p>
        </w:tc>
      </w:tr>
      <w:tr>
        <w:tc>
          <w:tcPr/>
          <w:p>
            <w:pPr>
              <w:pStyle w:val="Compact"/>
            </w:pPr>
          </w:p>
        </w:tc>
        <w:tc>
          <w:tcPr/>
          <w:p>
            <w:pPr>
              <w:pStyle w:val="Compact"/>
              <w:jc w:val="left"/>
            </w:pPr>
            <w:r>
              <w:t xml:space="preserve">Language</w:t>
            </w:r>
          </w:p>
        </w:tc>
        <w:tc>
          <w:tcPr/>
          <w:p>
            <w:pPr>
              <w:pStyle w:val="Compact"/>
              <w:jc w:val="right"/>
            </w:pPr>
            <w:r>
              <w:t xml:space="preserve">0.097</w:t>
            </w:r>
          </w:p>
        </w:tc>
        <w:tc>
          <w:tcPr/>
          <w:p>
            <w:pPr>
              <w:pStyle w:val="Compact"/>
              <w:jc w:val="right"/>
            </w:pPr>
            <w:r>
              <w:t xml:space="preserve">[0.030, 0.161]</w:t>
            </w:r>
          </w:p>
        </w:tc>
        <w:tc>
          <w:tcPr/>
          <w:p>
            <w:pPr>
              <w:pStyle w:val="Compact"/>
              <w:jc w:val="right"/>
            </w:pPr>
            <w:r>
              <w:t xml:space="preserve">0.543</w:t>
            </w:r>
          </w:p>
        </w:tc>
        <w:tc>
          <w:tcPr/>
          <w:p>
            <w:pPr>
              <w:pStyle w:val="Compact"/>
              <w:jc w:val="right"/>
            </w:pPr>
            <w:r>
              <w:t xml:space="preserve">0.997</w:t>
            </w:r>
          </w:p>
        </w:tc>
      </w:tr>
      <w:tr>
        <w:tc>
          <w:tcPr/>
          <w:p>
            <w:pPr>
              <w:pStyle w:val="Compact"/>
            </w:pPr>
          </w:p>
        </w:tc>
        <w:tc>
          <w:tcPr/>
          <w:p>
            <w:pPr>
              <w:pStyle w:val="Compact"/>
              <w:jc w:val="left"/>
            </w:pPr>
            <w:r>
              <w:t xml:space="preserve">Voicing</w:t>
            </w:r>
          </w:p>
        </w:tc>
        <w:tc>
          <w:tcPr/>
          <w:p>
            <w:pPr>
              <w:pStyle w:val="Compact"/>
              <w:jc w:val="right"/>
            </w:pPr>
            <w:r>
              <w:t xml:space="preserve">−0.070</w:t>
            </w:r>
          </w:p>
        </w:tc>
        <w:tc>
          <w:tcPr/>
          <w:p>
            <w:pPr>
              <w:pStyle w:val="Compact"/>
              <w:jc w:val="right"/>
            </w:pPr>
            <w:r>
              <w:t xml:space="preserve">[−0.147, 0.011]</w:t>
            </w:r>
          </w:p>
        </w:tc>
        <w:tc>
          <w:tcPr/>
          <w:p>
            <w:pPr>
              <w:pStyle w:val="Compact"/>
              <w:jc w:val="right"/>
            </w:pPr>
            <w:r>
              <w:t xml:space="preserve">0.787</w:t>
            </w:r>
          </w:p>
        </w:tc>
        <w:tc>
          <w:tcPr/>
          <w:p>
            <w:pPr>
              <w:pStyle w:val="Compact"/>
              <w:jc w:val="right"/>
            </w:pPr>
            <w:r>
              <w:t xml:space="preserve">0.959</w:t>
            </w:r>
          </w:p>
        </w:tc>
      </w:tr>
      <w:tr>
        <w:tc>
          <w:tcPr/>
          <w:p>
            <w:pPr>
              <w:pStyle w:val="Compact"/>
            </w:pPr>
          </w:p>
        </w:tc>
        <w:tc>
          <w:tcPr/>
          <w:p>
            <w:pPr>
              <w:pStyle w:val="Compact"/>
              <w:jc w:val="left"/>
            </w:pPr>
            <w:r>
              <w:t xml:space="preserve">F1</w:t>
            </w:r>
          </w:p>
        </w:tc>
        <w:tc>
          <w:tcPr/>
          <w:p>
            <w:pPr>
              <w:pStyle w:val="Compact"/>
              <w:jc w:val="right"/>
            </w:pPr>
            <w:r>
              <w:t xml:space="preserve">−0.224</w:t>
            </w:r>
          </w:p>
        </w:tc>
        <w:tc>
          <w:tcPr/>
          <w:p>
            <w:pPr>
              <w:pStyle w:val="Compact"/>
              <w:jc w:val="right"/>
            </w:pPr>
            <w:r>
              <w:t xml:space="preserve">[−0.303, −0.139]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−0.073</w:t>
            </w:r>
          </w:p>
        </w:tc>
        <w:tc>
          <w:tcPr/>
          <w:p>
            <w:pPr>
              <w:pStyle w:val="Compact"/>
              <w:jc w:val="right"/>
            </w:pPr>
            <w:r>
              <w:t xml:space="preserve">[−0.134, −0.014]</w:t>
            </w:r>
          </w:p>
        </w:tc>
        <w:tc>
          <w:tcPr/>
          <w:p>
            <w:pPr>
              <w:pStyle w:val="Compact"/>
              <w:jc w:val="right"/>
            </w:pPr>
            <w:r>
              <w:t xml:space="preserve">0.821</w:t>
            </w:r>
          </w:p>
        </w:tc>
        <w:tc>
          <w:tcPr/>
          <w:p>
            <w:pPr>
              <w:pStyle w:val="Compact"/>
              <w:jc w:val="right"/>
            </w:pPr>
            <w:r>
              <w:t xml:space="preserve">0.991</w:t>
            </w:r>
          </w:p>
        </w:tc>
      </w:tr>
      <w:tr>
        <w:tc>
          <w:tcPr/>
          <w:p>
            <w:pPr>
              <w:pStyle w:val="Compact"/>
            </w:pPr>
          </w:p>
        </w:tc>
        <w:tc>
          <w:tcPr/>
          <w:p>
            <w:pPr>
              <w:pStyle w:val="Compact"/>
              <w:jc w:val="left"/>
            </w:pPr>
            <w:r>
              <w:t xml:space="preserve">Item rep.</w:t>
            </w:r>
          </w:p>
        </w:tc>
        <w:tc>
          <w:tcPr/>
          <w:p>
            <w:pPr>
              <w:pStyle w:val="Compact"/>
              <w:jc w:val="right"/>
            </w:pPr>
            <w:r>
              <w:t xml:space="preserve">0.005</w:t>
            </w:r>
          </w:p>
        </w:tc>
        <w:tc>
          <w:tcPr/>
          <w:p>
            <w:pPr>
              <w:pStyle w:val="Compact"/>
              <w:jc w:val="right"/>
            </w:pPr>
            <w:r>
              <w:t xml:space="preserve">[−0.039, 0.053]</w:t>
            </w:r>
          </w:p>
        </w:tc>
        <w:tc>
          <w:tcPr/>
          <w:p>
            <w:pPr>
              <w:pStyle w:val="Compact"/>
              <w:jc w:val="right"/>
            </w:pPr>
            <w:r>
              <w:t xml:space="preserve">1.000</w:t>
            </w:r>
          </w:p>
        </w:tc>
        <w:tc>
          <w:tcPr/>
          <w:p>
            <w:pPr>
              <w:pStyle w:val="Compact"/>
              <w:jc w:val="right"/>
            </w:pPr>
            <w:r>
              <w:t xml:space="preserve">0.587</w:t>
            </w:r>
          </w:p>
        </w:tc>
      </w:tr>
      <w:tr>
        <w:tc>
          <w:tcPr/>
          <w:p>
            <w:pPr>
              <w:pStyle w:val="Compact"/>
            </w:pPr>
          </w:p>
        </w:tc>
        <w:tc>
          <w:tcPr/>
          <w:p>
            <w:pPr>
              <w:pStyle w:val="Compact"/>
              <w:jc w:val="left"/>
            </w:pPr>
            <w:r>
              <w:t xml:space="preserve">Language:Voicing</w:t>
            </w:r>
          </w:p>
        </w:tc>
        <w:tc>
          <w:tcPr/>
          <w:p>
            <w:pPr>
              <w:pStyle w:val="Compact"/>
              <w:jc w:val="right"/>
            </w:pPr>
            <w:r>
              <w:t xml:space="preserve">0.002</w:t>
            </w:r>
          </w:p>
        </w:tc>
        <w:tc>
          <w:tcPr/>
          <w:p>
            <w:pPr>
              <w:pStyle w:val="Compact"/>
              <w:jc w:val="right"/>
            </w:pPr>
            <w:r>
              <w:t xml:space="preserve">[−0.066, 0.063]</w:t>
            </w:r>
          </w:p>
        </w:tc>
        <w:tc>
          <w:tcPr/>
          <w:p>
            <w:pPr>
              <w:pStyle w:val="Compact"/>
              <w:jc w:val="right"/>
            </w:pPr>
            <w:r>
              <w:t xml:space="preserve">1.000</w:t>
            </w:r>
          </w:p>
        </w:tc>
        <w:tc>
          <w:tcPr/>
          <w:p>
            <w:pPr>
              <w:pStyle w:val="Compact"/>
              <w:jc w:val="right"/>
            </w:pPr>
            <w:r>
              <w:t xml:space="preserve">0.512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[−0.240, 0.022]</w:t>
            </w:r>
          </w:p>
        </w:tc>
        <w:tc>
          <w:tcPr/>
          <w:p>
            <w:pPr>
              <w:pStyle w:val="Compact"/>
              <w:jc w:val="right"/>
            </w:pPr>
            <w:r>
              <w:t xml:space="preserve">0.426</w:t>
            </w:r>
          </w:p>
        </w:tc>
        <w:tc>
          <w:tcPr/>
          <w:p>
            <w:pPr>
              <w:pStyle w:val="Compact"/>
              <w:jc w:val="right"/>
            </w:pPr>
            <w:r>
              <w:t xml:space="preserve">0.951</w:t>
            </w:r>
          </w:p>
        </w:tc>
      </w:tr>
      <w:tr>
        <w:tc>
          <w:tcPr/>
          <w:p>
            <w:pPr>
              <w:pStyle w:val="Compact"/>
            </w:pPr>
          </w:p>
        </w:tc>
        <w:tc>
          <w:tcPr/>
          <w:p>
            <w:pPr>
              <w:pStyle w:val="Compact"/>
              <w:jc w:val="left"/>
            </w:pPr>
            <w:r>
              <w:t xml:space="preserve">Language</w:t>
            </w:r>
          </w:p>
        </w:tc>
        <w:tc>
          <w:tcPr/>
          <w:p>
            <w:pPr>
              <w:pStyle w:val="Compact"/>
              <w:jc w:val="right"/>
            </w:pPr>
            <w:r>
              <w:t xml:space="preserve">0.568</w:t>
            </w:r>
          </w:p>
        </w:tc>
        <w:tc>
          <w:tcPr/>
          <w:p>
            <w:pPr>
              <w:pStyle w:val="Compact"/>
              <w:jc w:val="right"/>
            </w:pPr>
            <w:r>
              <w:t xml:space="preserve">[0.534, 0.604]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−0.230</w:t>
            </w:r>
          </w:p>
        </w:tc>
        <w:tc>
          <w:tcPr/>
          <w:p>
            <w:pPr>
              <w:pStyle w:val="Compact"/>
              <w:jc w:val="right"/>
            </w:pPr>
            <w:r>
              <w:t xml:space="preserve">[−0.282, −0.178]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0.000</w:t>
            </w:r>
          </w:p>
        </w:tc>
        <w:tc>
          <w:tcPr/>
          <w:p>
            <w:pPr>
              <w:pStyle w:val="Compact"/>
              <w:jc w:val="right"/>
            </w:pPr>
            <w:r>
              <w:t xml:space="preserve">[−0.043, 0.046]</w:t>
            </w:r>
          </w:p>
        </w:tc>
        <w:tc>
          <w:tcPr/>
          <w:p>
            <w:pPr>
              <w:pStyle w:val="Compact"/>
              <w:jc w:val="right"/>
            </w:pPr>
            <w:r>
              <w:t xml:space="preserve">1.000</w:t>
            </w:r>
          </w:p>
        </w:tc>
        <w:tc>
          <w:tcPr/>
          <w:p>
            <w:pPr>
              <w:pStyle w:val="Compact"/>
              <w:jc w:val="right"/>
            </w:pPr>
            <w:r>
              <w:t xml:space="preserve">0.506</w:t>
            </w:r>
          </w:p>
        </w:tc>
      </w:tr>
      <w:tr>
        <w:tc>
          <w:tcPr/>
          <w:p>
            <w:pPr>
              <w:pStyle w:val="Compact"/>
            </w:pPr>
          </w:p>
        </w:tc>
        <w:tc>
          <w:tcPr/>
          <w:p>
            <w:pPr>
              <w:pStyle w:val="Compact"/>
              <w:jc w:val="left"/>
            </w:pPr>
            <w:r>
              <w:t xml:space="preserve">F2</w:t>
            </w:r>
          </w:p>
        </w:tc>
        <w:tc>
          <w:tcPr/>
          <w:p>
            <w:pPr>
              <w:pStyle w:val="Compact"/>
              <w:jc w:val="right"/>
            </w:pPr>
            <w:r>
              <w:t xml:space="preserve">0.004</w:t>
            </w:r>
          </w:p>
        </w:tc>
        <w:tc>
          <w:tcPr/>
          <w:p>
            <w:pPr>
              <w:pStyle w:val="Compact"/>
              <w:jc w:val="right"/>
            </w:pPr>
            <w:r>
              <w:t xml:space="preserve">[−0.038, 0.050]</w:t>
            </w:r>
          </w:p>
        </w:tc>
        <w:tc>
          <w:tcPr/>
          <w:p>
            <w:pPr>
              <w:pStyle w:val="Compact"/>
              <w:jc w:val="right"/>
            </w:pPr>
            <w:r>
              <w:t xml:space="preserve">1.000</w:t>
            </w:r>
          </w:p>
        </w:tc>
        <w:tc>
          <w:tcPr/>
          <w:p>
            <w:pPr>
              <w:pStyle w:val="Compact"/>
              <w:jc w:val="right"/>
            </w:pPr>
            <w:r>
              <w:t xml:space="preserve">0.571</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[−0.024, 0.056]</w:t>
            </w:r>
          </w:p>
        </w:tc>
        <w:tc>
          <w:tcPr/>
          <w:p>
            <w:pPr>
              <w:pStyle w:val="Compact"/>
              <w:jc w:val="right"/>
            </w:pPr>
            <w:r>
              <w:t xml:space="preserve">1.000</w:t>
            </w:r>
          </w:p>
        </w:tc>
        <w:tc>
          <w:tcPr/>
          <w:p>
            <w:pPr>
              <w:pStyle w:val="Compact"/>
              <w:jc w:val="right"/>
            </w:pPr>
            <w:r>
              <w:t xml:space="preserve">0.750</w:t>
            </w:r>
          </w:p>
        </w:tc>
      </w:tr>
      <w:tr>
        <w:tc>
          <w:tcPr/>
          <w:p>
            <w:pPr>
              <w:pStyle w:val="Compact"/>
            </w:pPr>
          </w:p>
        </w:tc>
        <w:tc>
          <w:tcPr/>
          <w:p>
            <w:pPr>
              <w:pStyle w:val="Compact"/>
              <w:jc w:val="left"/>
            </w:pPr>
            <w:r>
              <w:t xml:space="preserve">Language:Voicing</w:t>
            </w:r>
          </w:p>
        </w:tc>
        <w:tc>
          <w:tcPr/>
          <w:p>
            <w:pPr>
              <w:pStyle w:val="Compact"/>
              <w:jc w:val="right"/>
            </w:pPr>
            <w:r>
              <w:t xml:space="preserve">0.082</w:t>
            </w:r>
          </w:p>
        </w:tc>
        <w:tc>
          <w:tcPr/>
          <w:p>
            <w:pPr>
              <w:pStyle w:val="Compact"/>
              <w:jc w:val="right"/>
            </w:pPr>
            <w:r>
              <w:t xml:space="preserve">[0.046, 0.115]</w:t>
            </w:r>
          </w:p>
        </w:tc>
        <w:tc>
          <w:tcPr/>
          <w:p>
            <w:pPr>
              <w:pStyle w:val="Compact"/>
              <w:jc w:val="right"/>
            </w:pPr>
            <w:r>
              <w:t xml:space="preserve">0.866</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0.116</w:t>
            </w:r>
          </w:p>
        </w:tc>
        <w:tc>
          <w:tcPr/>
          <w:p>
            <w:pPr>
              <w:pStyle w:val="Compact"/>
              <w:jc w:val="right"/>
            </w:pPr>
            <w:r>
              <w:t xml:space="preserve">[−0.014, 0.253]</w:t>
            </w:r>
          </w:p>
        </w:tc>
        <w:tc>
          <w:tcPr/>
          <w:p>
            <w:pPr>
              <w:pStyle w:val="Compact"/>
              <w:jc w:val="right"/>
            </w:pPr>
            <w:r>
              <w:t xml:space="preserve">0.403</w:t>
            </w:r>
          </w:p>
        </w:tc>
        <w:tc>
          <w:tcPr/>
          <w:p>
            <w:pPr>
              <w:pStyle w:val="Compact"/>
              <w:jc w:val="right"/>
            </w:pPr>
            <w:r>
              <w:t xml:space="preserve">0.959</w:t>
            </w:r>
          </w:p>
        </w:tc>
      </w:tr>
      <w:tr>
        <w:tc>
          <w:tcPr/>
          <w:p>
            <w:pPr>
              <w:pStyle w:val="Compact"/>
            </w:pPr>
          </w:p>
        </w:tc>
        <w:tc>
          <w:tcPr/>
          <w:p>
            <w:pPr>
              <w:pStyle w:val="Compact"/>
              <w:jc w:val="left"/>
            </w:pPr>
            <w:r>
              <w:t xml:space="preserve">Language</w:t>
            </w:r>
          </w:p>
        </w:tc>
        <w:tc>
          <w:tcPr/>
          <w:p>
            <w:pPr>
              <w:pStyle w:val="Compact"/>
              <w:jc w:val="right"/>
            </w:pPr>
            <w:r>
              <w:t xml:space="preserve">−0.611</w:t>
            </w:r>
          </w:p>
        </w:tc>
        <w:tc>
          <w:tcPr/>
          <w:p>
            <w:pPr>
              <w:pStyle w:val="Compact"/>
              <w:jc w:val="right"/>
            </w:pPr>
            <w:r>
              <w:t xml:space="preserve">[−0.642, −0.576]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0.298</w:t>
            </w:r>
          </w:p>
        </w:tc>
        <w:tc>
          <w:tcPr/>
          <w:p>
            <w:pPr>
              <w:pStyle w:val="Compact"/>
              <w:jc w:val="right"/>
            </w:pPr>
            <w:r>
              <w:t xml:space="preserve">[0.264, 0.337]</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−0.029</w:t>
            </w:r>
          </w:p>
        </w:tc>
        <w:tc>
          <w:tcPr/>
          <w:p>
            <w:pPr>
              <w:pStyle w:val="Compact"/>
              <w:jc w:val="right"/>
            </w:pPr>
            <w:r>
              <w:t xml:space="preserve">[−0.068, 0.012]</w:t>
            </w:r>
          </w:p>
        </w:tc>
        <w:tc>
          <w:tcPr/>
          <w:p>
            <w:pPr>
              <w:pStyle w:val="Compact"/>
              <w:jc w:val="right"/>
            </w:pPr>
            <w:r>
              <w:t xml:space="preserve">1.000</w:t>
            </w:r>
          </w:p>
        </w:tc>
        <w:tc>
          <w:tcPr/>
          <w:p>
            <w:pPr>
              <w:pStyle w:val="Compact"/>
              <w:jc w:val="right"/>
            </w:pPr>
            <w:r>
              <w:t xml:space="preserve">0.921</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[−0.047, 0.031]</w:t>
            </w:r>
          </w:p>
        </w:tc>
        <w:tc>
          <w:tcPr/>
          <w:p>
            <w:pPr>
              <w:pStyle w:val="Compact"/>
              <w:jc w:val="right"/>
            </w:pPr>
            <w:r>
              <w:t xml:space="preserve">1.000</w:t>
            </w:r>
          </w:p>
        </w:tc>
        <w:tc>
          <w:tcPr/>
          <w:p>
            <w:pPr>
              <w:pStyle w:val="Compact"/>
              <w:jc w:val="right"/>
            </w:pPr>
            <w:r>
              <w:t xml:space="preserve">0.649</w:t>
            </w:r>
          </w:p>
        </w:tc>
      </w:tr>
      <w:tr>
        <w:tc>
          <w:tcPr/>
          <w:p>
            <w:pPr>
              <w:pStyle w:val="Compact"/>
            </w:pPr>
          </w:p>
        </w:tc>
        <w:tc>
          <w:tcPr/>
          <w:p>
            <w:pPr>
              <w:pStyle w:val="Compact"/>
              <w:jc w:val="left"/>
            </w:pPr>
            <w:r>
              <w:t xml:space="preserve">Item rep.</w:t>
            </w:r>
          </w:p>
        </w:tc>
        <w:tc>
          <w:tcPr/>
          <w:p>
            <w:pPr>
              <w:pStyle w:val="Compact"/>
              <w:jc w:val="right"/>
            </w:pPr>
            <w:r>
              <w:t xml:space="preserve">−0.008</w:t>
            </w:r>
          </w:p>
        </w:tc>
        <w:tc>
          <w:tcPr/>
          <w:p>
            <w:pPr>
              <w:pStyle w:val="Compact"/>
              <w:jc w:val="right"/>
            </w:pPr>
            <w:r>
              <w:t xml:space="preserve">[−0.046, 0.029]</w:t>
            </w:r>
          </w:p>
        </w:tc>
        <w:tc>
          <w:tcPr/>
          <w:p>
            <w:pPr>
              <w:pStyle w:val="Compact"/>
              <w:jc w:val="right"/>
            </w:pPr>
            <w:r>
              <w:t xml:space="preserve">1.000</w:t>
            </w:r>
          </w:p>
        </w:tc>
        <w:tc>
          <w:tcPr/>
          <w:p>
            <w:pPr>
              <w:pStyle w:val="Compact"/>
              <w:jc w:val="right"/>
            </w:pPr>
            <w:r>
              <w:t xml:space="preserve">0.664</w:t>
            </w:r>
          </w:p>
        </w:tc>
      </w:tr>
      <w:tr>
        <w:tc>
          <w:tcPr/>
          <w:p>
            <w:pPr>
              <w:pStyle w:val="Compact"/>
            </w:pPr>
          </w:p>
        </w:tc>
        <w:tc>
          <w:tcPr/>
          <w:p>
            <w:pPr>
              <w:pStyle w:val="Compact"/>
              <w:jc w:val="left"/>
            </w:pPr>
            <w:r>
              <w:t xml:space="preserve">Language:Voicing</w:t>
            </w:r>
          </w:p>
        </w:tc>
        <w:tc>
          <w:tcPr/>
          <w:p>
            <w:pPr>
              <w:pStyle w:val="Compact"/>
              <w:jc w:val="right"/>
            </w:pPr>
            <w:r>
              <w:t xml:space="preserve">−0.140</w:t>
            </w:r>
          </w:p>
        </w:tc>
        <w:tc>
          <w:tcPr/>
          <w:p>
            <w:pPr>
              <w:pStyle w:val="Compact"/>
              <w:jc w:val="right"/>
            </w:pPr>
            <w:r>
              <w:t xml:space="preserve">[−0.169, −0.105]</w:t>
            </w:r>
          </w:p>
        </w:tc>
        <w:tc>
          <w:tcPr/>
          <w:p>
            <w:pPr>
              <w:pStyle w:val="Compact"/>
              <w:jc w:val="right"/>
            </w:pPr>
            <w:r>
              <w:t xml:space="preserve">0.000</w:t>
            </w:r>
          </w:p>
        </w:tc>
        <w:tc>
          <w:tcPr/>
          <w:p>
            <w:pPr>
              <w:pStyle w:val="Compact"/>
              <w:jc w:val="right"/>
            </w:pPr>
            <w:r>
              <w:t xml:space="preserve">1.000</w:t>
            </w:r>
          </w:p>
        </w:tc>
      </w:tr>
    </w:tbl>
    <w:bookmarkEnd w:id="115"/>
    <w:p>
      <w:pPr>
        <w:pStyle w:val="BodyText"/>
      </w:pPr>
    </w:p>
    <w:p>
      <w:pPr>
        <w:pStyle w:val="BodyText"/>
      </w:pPr>
      <w:hyperlink w:anchor="fig-bilinguals-ph-sl-vot">
        <w:r>
          <w:rPr>
            <w:rStyle w:val="Hyperlink"/>
          </w:rPr>
          <w:t xml:space="preserve">Figure 14</w:t>
        </w:r>
      </w:hyperlink>
      <w:r>
        <w:t xml:space="preserve"> </w:t>
      </w:r>
      <w:r>
        <w:t xml:space="preserve">shows the comparison of English /d/ and Spanish /t/ for voice-onset time.</w:t>
      </w:r>
      <w:r>
        <w:t xml:space="preserve"> </w:t>
      </w:r>
      <w:r>
        <w:t xml:space="preserve">One can observe that there is not a meaningful difference between the short-lag segments.</w:t>
      </w:r>
      <w:r>
        <w:t xml:space="preserve"> </w:t>
      </w:r>
      <w:hyperlink w:anchor="fig-bilinguals-ph-sl-sm">
        <w:r>
          <w:rPr>
            <w:rStyle w:val="Hyperlink"/>
          </w:rPr>
          <w:t xml:space="preserve">Figure 15</w:t>
        </w:r>
      </w:hyperlink>
      <w:r>
        <w:t xml:space="preserve"> </w:t>
      </w:r>
      <w:r>
        <w:t xml:space="preserve">shows the comparison of English /d/ and Spanish /t/ for relative intensity and spectral moments.</w:t>
      </w:r>
      <w:r>
        <w:t xml:space="preserve"> </w:t>
      </w:r>
      <w:r>
        <w:t xml:space="preserve">There appears to be a meaningful difference between the short-lag segments for all metrics except relative intensity.</w:t>
      </w:r>
      <w:r>
        <w:t xml:space="preserve"> </w:t>
      </w:r>
      <w:hyperlink w:anchor="tbl-bi-post-hoc-sl-between">
        <w:r>
          <w:rPr>
            <w:rStyle w:val="Hyperlink"/>
          </w:rPr>
          <w:t xml:space="preserve">Table 6</w:t>
        </w:r>
      </w:hyperlink>
      <w:r>
        <w:t xml:space="preserve"> </w:t>
      </w:r>
      <w:r>
        <w:t xml:space="preserve">summarizes all of the short-lag stop comparisons.</w:t>
      </w:r>
    </w:p>
    <w:tbl>
      <w:tblPr>
        <w:tblStyle w:val="Table"/>
        <w:tblW w:type="pct" w:w="5000"/>
        <w:tblLook w:firstRow="0" w:lastRow="0" w:firstColumn="0" w:lastColumn="0" w:noHBand="0" w:noVBand="0" w:val="0000"/>
      </w:tblPr>
      <w:tblGrid>
        <w:gridCol w:w="7920"/>
      </w:tblGrid>
      <w:tr>
        <w:tc>
          <w:tcPr/>
          <w:bookmarkStart w:id="119" w:name="fig-bilinguals-ph-sl-vot"/>
          <w:p>
            <w:pPr>
              <w:pStyle w:val="Figure"/>
              <w:jc w:val="center"/>
            </w:pPr>
            <w:r>
              <w:drawing>
                <wp:inline>
                  <wp:extent cx="5943600" cy="2971800"/>
                  <wp:effectExtent b="0" l="0" r="0" t="0"/>
                  <wp:docPr descr="" title="" id="117" name="Picture"/>
                  <a:graphic>
                    <a:graphicData uri="http://schemas.openxmlformats.org/drawingml/2006/picture">
                      <pic:pic>
                        <pic:nvPicPr>
                          <pic:cNvPr descr="../../../figs/bi_post_hoc_short_lag_vot.pdf" id="118" name="Picture"/>
                          <pic:cNvPicPr>
                            <a:picLocks noChangeArrowheads="1" noChangeAspect="1"/>
                          </pic:cNvPicPr>
                        </pic:nvPicPr>
                        <pic:blipFill>
                          <a:blip r:embed="rId116"/>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Posterior distribution comparing the short-lag stops, English /d/ and Spanish /t/. The white point represents the posterior mean ±95% HDI and the grey region represents the ROPE (±0.1).</w:t>
            </w:r>
          </w:p>
          <w:bookmarkEnd w:id="119"/>
        </w:tc>
      </w:tr>
    </w:tbl>
    <w:tbl>
      <w:tblPr>
        <w:tblStyle w:val="Table"/>
        <w:tblW w:type="pct" w:w="5000"/>
        <w:tblLook w:firstRow="0" w:lastRow="0" w:firstColumn="0" w:lastColumn="0" w:noHBand="0" w:noVBand="0" w:val="0000"/>
      </w:tblPr>
      <w:tblGrid>
        <w:gridCol w:w="7920"/>
      </w:tblGrid>
      <w:tr>
        <w:tc>
          <w:tcPr/>
          <w:bookmarkStart w:id="123" w:name="fig-bilinguals-ph-sl-sm"/>
          <w:p>
            <w:pPr>
              <w:pStyle w:val="Figure"/>
              <w:jc w:val="center"/>
            </w:pPr>
            <w:r>
              <w:drawing>
                <wp:inline>
                  <wp:extent cx="5943600" cy="2971800"/>
                  <wp:effectExtent b="0" l="0" r="0" t="0"/>
                  <wp:docPr descr="" title="" id="121" name="Picture"/>
                  <a:graphic>
                    <a:graphicData uri="http://schemas.openxmlformats.org/drawingml/2006/picture">
                      <pic:pic>
                        <pic:nvPicPr>
                          <pic:cNvPr descr="../../../figs/bi_post_hoc_short_lag_sm.pdf" id="122" name="Picture"/>
                          <pic:cNvPicPr>
                            <a:picLocks noChangeArrowheads="1" noChangeAspect="1"/>
                          </pic:cNvPicPr>
                        </pic:nvPicPr>
                        <pic:blipFill>
                          <a:blip r:embed="rId120"/>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Posterior distribution comparing relative intensity and spectral moments of the short-lag stops, English /d/ and Spanish /t/. The points represents the posterior mean ±95% HDI and the grey region represents the ROPE (±0.1).</w:t>
            </w:r>
          </w:p>
          <w:bookmarkEnd w:id="123"/>
        </w:tc>
      </w:tr>
    </w:tbl>
    <w:bookmarkStart w:id="124" w:name="tbl-bi-post-hoc-sl-between"/>
    <w:p>
      <w:pPr>
        <w:pStyle w:val="TableCaption"/>
      </w:pPr>
      <w:r>
        <w:t xml:space="preserve">Table 6: Post-hoc comparisons of short-lag stops between English and Spanish for each burst metric. Each estimate is derived from the mean difference of the posterior of the Spanish segment subtracted from the posterior of the Englsh segment.</w:t>
      </w:r>
    </w:p>
    <w:tbl>
      <w:tblPr>
        <w:tblStyle w:val="Table"/>
        <w:tblW w:type="auto" w:w="0"/>
        <w:tblLook w:firstRow="1" w:lastRow="0" w:firstColumn="0" w:lastColumn="0" w:noHBand="0" w:noVBand="0" w:val="0020"/>
        <w:tblCaption w:val="Table 6: Post-hoc comparisons of short-lag stops between English and Spanish for each burst metric. Each estimate is derived from the mean difference of the posterior of the Spanish segment subtracted from the posterior of the Englsh segment."/>
      </w:tblPr>
      <w:tblGrid>
        <w:gridCol w:w="1584"/>
        <w:gridCol w:w="1584"/>
        <w:gridCol w:w="1584"/>
        <w:gridCol w:w="1584"/>
        <w:gridCol w:w="1584"/>
      </w:tblGrid>
      <w:tr>
        <w:trPr>
          <w:tblHeader w:val="true"/>
        </w:trPr>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right"/>
            </w:pPr>
            <w:r>
              <w:t xml:space="preserve">−0.219</w:t>
            </w:r>
          </w:p>
        </w:tc>
        <w:tc>
          <w:tcPr/>
          <w:p>
            <w:pPr>
              <w:pStyle w:val="Compact"/>
              <w:jc w:val="right"/>
            </w:pPr>
            <w:r>
              <w:t xml:space="preserve">[−0.45, −0.001]</w:t>
            </w:r>
          </w:p>
        </w:tc>
        <w:tc>
          <w:tcPr/>
          <w:p>
            <w:pPr>
              <w:pStyle w:val="Compact"/>
              <w:jc w:val="right"/>
            </w:pPr>
            <w:r>
              <w:t xml:space="preserve">0.133</w:t>
            </w:r>
          </w:p>
        </w:tc>
        <w:tc>
          <w:tcPr/>
          <w:p>
            <w:pPr>
              <w:pStyle w:val="Compact"/>
              <w:jc w:val="right"/>
            </w:pPr>
            <w:r>
              <w:t xml:space="preserve">0.971</w:t>
            </w:r>
          </w:p>
        </w:tc>
      </w:tr>
      <w:tr>
        <w:tc>
          <w:tcPr/>
          <w:p>
            <w:pPr>
              <w:pStyle w:val="Compact"/>
              <w:jc w:val="left"/>
            </w:pPr>
            <w:r>
              <w:t xml:space="preserve">COG</w:t>
            </w:r>
          </w:p>
        </w:tc>
        <w:tc>
          <w:tcPr/>
          <w:p>
            <w:pPr>
              <w:pStyle w:val="Compact"/>
              <w:jc w:val="right"/>
            </w:pPr>
            <w:r>
              <w:t xml:space="preserve">0.707</w:t>
            </w:r>
          </w:p>
        </w:tc>
        <w:tc>
          <w:tcPr/>
          <w:p>
            <w:pPr>
              <w:pStyle w:val="Compact"/>
              <w:jc w:val="right"/>
            </w:pPr>
            <w:r>
              <w:t xml:space="preserve">[0.62, 0.799]</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right"/>
            </w:pPr>
            <w:r>
              <w:t xml:space="preserve">0.053</w:t>
            </w:r>
          </w:p>
        </w:tc>
        <w:tc>
          <w:tcPr/>
          <w:p>
            <w:pPr>
              <w:pStyle w:val="Compact"/>
              <w:jc w:val="right"/>
            </w:pPr>
            <w:r>
              <w:t xml:space="preserve">[−0.141, 0.257]</w:t>
            </w:r>
          </w:p>
        </w:tc>
        <w:tc>
          <w:tcPr/>
          <w:p>
            <w:pPr>
              <w:pStyle w:val="Compact"/>
              <w:jc w:val="right"/>
            </w:pPr>
            <w:r>
              <w:t xml:space="preserve">0.652</w:t>
            </w:r>
          </w:p>
        </w:tc>
        <w:tc>
          <w:tcPr/>
          <w:p>
            <w:pPr>
              <w:pStyle w:val="Compact"/>
              <w:jc w:val="right"/>
            </w:pPr>
            <w:r>
              <w:t xml:space="preserve">0.702</w:t>
            </w:r>
          </w:p>
        </w:tc>
      </w:tr>
      <w:tr>
        <w:tc>
          <w:tcPr/>
          <w:p>
            <w:pPr>
              <w:pStyle w:val="Compact"/>
              <w:jc w:val="left"/>
            </w:pPr>
            <w:r>
              <w:t xml:space="preserve">SD</w:t>
            </w:r>
          </w:p>
        </w:tc>
        <w:tc>
          <w:tcPr/>
          <w:p>
            <w:pPr>
              <w:pStyle w:val="Compact"/>
              <w:jc w:val="right"/>
            </w:pPr>
            <w:r>
              <w:t xml:space="preserve">0.677</w:t>
            </w:r>
          </w:p>
        </w:tc>
        <w:tc>
          <w:tcPr/>
          <w:p>
            <w:pPr>
              <w:pStyle w:val="Compact"/>
              <w:jc w:val="right"/>
            </w:pPr>
            <w:r>
              <w:t xml:space="preserve">[0.552, 0.802]</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right"/>
            </w:pPr>
            <w:r>
              <w:t xml:space="preserve">−0.627</w:t>
            </w:r>
          </w:p>
        </w:tc>
        <w:tc>
          <w:tcPr/>
          <w:p>
            <w:pPr>
              <w:pStyle w:val="Compact"/>
              <w:jc w:val="right"/>
            </w:pPr>
            <w:r>
              <w:t xml:space="preserve">[−0.72, −0.536]</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right"/>
            </w:pPr>
            <w:r>
              <w:t xml:space="preserve">−0.718</w:t>
            </w:r>
          </w:p>
        </w:tc>
        <w:tc>
          <w:tcPr/>
          <w:p>
            <w:pPr>
              <w:pStyle w:val="Compact"/>
              <w:jc w:val="right"/>
            </w:pPr>
            <w:r>
              <w:t xml:space="preserve">[−0.812, −0.621]</w:t>
            </w:r>
          </w:p>
        </w:tc>
        <w:tc>
          <w:tcPr/>
          <w:p>
            <w:pPr>
              <w:pStyle w:val="Compact"/>
              <w:jc w:val="right"/>
            </w:pPr>
            <w:r>
              <w:t xml:space="preserve">0.000</w:t>
            </w:r>
          </w:p>
        </w:tc>
        <w:tc>
          <w:tcPr/>
          <w:p>
            <w:pPr>
              <w:pStyle w:val="Compact"/>
              <w:jc w:val="right"/>
            </w:pPr>
            <w:r>
              <w:t xml:space="preserve">1.000</w:t>
            </w:r>
          </w:p>
        </w:tc>
      </w:tr>
    </w:tbl>
    <w:bookmarkEnd w:id="124"/>
    <w:p>
      <w:pPr>
        <w:pStyle w:val="BodyText"/>
      </w:pPr>
      <w:hyperlink w:anchor="fig-bi-post-hoc-wl-dt-sm">
        <w:r>
          <w:rPr>
            <w:rStyle w:val="Hyperlink"/>
          </w:rPr>
          <w:t xml:space="preserve">Figure 16</w:t>
        </w:r>
      </w:hyperlink>
      <w:r>
        <w:t xml:space="preserve"> </w:t>
      </w:r>
      <w:r>
        <w:t xml:space="preserve">and</w:t>
      </w:r>
      <w:r>
        <w:t xml:space="preserve"> </w:t>
      </w:r>
      <w:hyperlink w:anchor="tbl-bi-post-hoc-sm">
        <w:r>
          <w:rPr>
            <w:rStyle w:val="Hyperlink"/>
          </w:rPr>
          <w:t xml:space="preserve">Table 7</w:t>
        </w:r>
      </w:hyperlink>
      <w:r>
        <w:t xml:space="preserve"> </w:t>
      </w:r>
      <w:r>
        <w:t xml:space="preserve">presents the post-hoc analyses of within-language comparisons, that is, Spanish /d/ vs. Spanish /t/ and English /d/ vs. English /t/.</w:t>
      </w:r>
      <w:r>
        <w:t xml:space="preserve"> </w:t>
      </w:r>
      <w:r>
        <w:t xml:space="preserve">This table presents the same data as the forest plot in</w:t>
      </w:r>
      <w:r>
        <w:t xml:space="preserve"> </w:t>
      </w:r>
      <w:hyperlink w:anchor="fig-bi-post-hoc-sm">
        <w:r>
          <w:rPr>
            <w:rStyle w:val="Hyperlink"/>
          </w:rPr>
          <w:t xml:space="preserve">Figure 5</w:t>
        </w:r>
      </w:hyperlink>
      <w:r>
        <w:t xml:space="preserve">.</w:t>
      </w:r>
    </w:p>
    <w:tbl>
      <w:tblPr>
        <w:tblStyle w:val="Table"/>
        <w:tblW w:type="pct" w:w="5000"/>
        <w:tblLook w:firstRow="0" w:lastRow="0" w:firstColumn="0" w:lastColumn="0" w:noHBand="0" w:noVBand="0" w:val="0000"/>
      </w:tblPr>
      <w:tblGrid>
        <w:gridCol w:w="7920"/>
      </w:tblGrid>
      <w:tr>
        <w:tc>
          <w:tcPr/>
          <w:bookmarkStart w:id="127" w:name="fig-bi-post-hoc-wl-dt-sm"/>
          <w:p>
            <w:pPr>
              <w:pStyle w:val="Figure"/>
              <w:jc w:val="center"/>
            </w:pPr>
            <w:r>
              <w:drawing>
                <wp:inline>
                  <wp:extent cx="5943600" cy="2971800"/>
                  <wp:effectExtent b="0" l="0" r="0" t="0"/>
                  <wp:docPr descr="" title="" id="125" name="Picture"/>
                  <a:graphic>
                    <a:graphicData uri="http://schemas.openxmlformats.org/drawingml/2006/picture">
                      <pic:pic>
                        <pic:nvPicPr>
                          <pic:cNvPr descr="../../../figs/bi_post_hoc_within_lang_dt_sm.pdf" id="126" name="Picture"/>
                          <pic:cNvPicPr>
                            <a:picLocks noChangeArrowheads="1" noChangeAspect="1"/>
                          </pic:cNvPicPr>
                        </pic:nvPicPr>
                        <pic:blipFill>
                          <a:blip r:embed="rId48"/>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Posterior distributions of difference estimates between voiced and voiceless stops for Spanish and English. The point represents the posterior mean difference ±95% HDI of the posterior of the voiceless segment subtracted from the posterior of the voiced. The light blue region represents the ROPE (±0.1).</w:t>
            </w:r>
          </w:p>
          <w:bookmarkEnd w:id="127"/>
        </w:tc>
      </w:tr>
    </w:tbl>
    <w:bookmarkStart w:id="128" w:name="tbl-bi-post-hoc-sm"/>
    <w:p>
      <w:pPr>
        <w:pStyle w:val="TableCaption"/>
      </w:pPr>
      <w:r>
        <w:t xml:space="preserve">Table 7: Post-hoc comparisons of within-language voiced-voiceless pairs for each burst metric. Each point represents the posterior mean difference ±95% HDI of the posterior of the voiceless segment subtracted from the posterior of the voiced segment.</w:t>
      </w:r>
    </w:p>
    <w:tbl>
      <w:tblPr>
        <w:tblStyle w:val="Table"/>
        <w:tblW w:type="pct" w:w="5000"/>
        <w:tblLook w:firstRow="1" w:lastRow="0" w:firstColumn="0" w:lastColumn="0" w:noHBand="0" w:noVBand="0" w:val="0020"/>
        <w:tblCaption w:val="Table 7: Post-hoc comparisons of within-language voiced-voiceless pairs for each burst metric. Each point represents the posterior mean difference ±95% HDI of the posterior of the voiceless segment subtracted from the posterior of the voiced segment."/>
      </w:tblPr>
      <w:tblGrid>
        <w:gridCol w:w="1018"/>
        <w:gridCol w:w="792"/>
        <w:gridCol w:w="1470"/>
        <w:gridCol w:w="3281"/>
        <w:gridCol w:w="678"/>
        <w:gridCol w:w="678"/>
      </w:tblGrid>
      <w:tr>
        <w:trPr>
          <w:tblHeader w:val="true"/>
        </w:trPr>
        <w:tc>
          <w:tcPr/>
          <w:p>
            <w:pPr>
              <w:pStyle w:val="Compact"/>
              <w:jc w:val="left"/>
            </w:pPr>
            <w:r>
              <w:t xml:space="preserve">Language</w:t>
            </w:r>
          </w:p>
        </w:tc>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Spanish</w:t>
            </w:r>
          </w:p>
        </w:tc>
        <w:tc>
          <w:tcPr/>
          <w:p>
            <w:pPr>
              <w:pStyle w:val="Compact"/>
              <w:jc w:val="left"/>
            </w:pPr>
            <w:r>
              <w:t xml:space="preserve">COG</w:t>
            </w:r>
          </w:p>
        </w:tc>
        <w:tc>
          <w:tcPr/>
          <w:p>
            <w:pPr>
              <w:pStyle w:val="Compact"/>
              <w:jc w:val="right"/>
            </w:pPr>
            <w:r>
              <w:t xml:space="preserve">−0.807</w:t>
            </w:r>
          </w:p>
        </w:tc>
        <w:tc>
          <w:tcPr/>
          <w:p>
            <w:pPr>
              <w:pStyle w:val="Compact"/>
              <w:jc w:val="right"/>
            </w:pPr>
            <w:r>
              <w:t xml:space="preserve">[−0.9, −0.71]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−0.143</w:t>
            </w:r>
          </w:p>
        </w:tc>
        <w:tc>
          <w:tcPr/>
          <w:p>
            <w:pPr>
              <w:pStyle w:val="Compact"/>
              <w:jc w:val="right"/>
            </w:pPr>
            <w:r>
              <w:t xml:space="preserve">[−0.346, 0.069]</w:t>
            </w:r>
          </w:p>
        </w:tc>
        <w:tc>
          <w:tcPr/>
          <w:p>
            <w:pPr>
              <w:pStyle w:val="Compact"/>
              <w:jc w:val="right"/>
            </w:pPr>
            <w:r>
              <w:t xml:space="preserve">0.331</w:t>
            </w:r>
          </w:p>
        </w:tc>
        <w:tc>
          <w:tcPr/>
          <w:p>
            <w:pPr>
              <w:pStyle w:val="Compact"/>
              <w:jc w:val="right"/>
            </w:pPr>
            <w:r>
              <w:t xml:space="preserve">0.917</w:t>
            </w:r>
          </w:p>
        </w:tc>
      </w:tr>
      <w:tr>
        <w:tc>
          <w:tcPr/>
          <w:p>
            <w:pPr>
              <w:pStyle w:val="Compact"/>
            </w:pPr>
          </w:p>
        </w:tc>
        <w:tc>
          <w:tcPr/>
          <w:p>
            <w:pPr>
              <w:pStyle w:val="Compact"/>
              <w:jc w:val="left"/>
            </w:pPr>
            <w:r>
              <w:t xml:space="preserve">SD</w:t>
            </w:r>
          </w:p>
        </w:tc>
        <w:tc>
          <w:tcPr/>
          <w:p>
            <w:pPr>
              <w:pStyle w:val="Compact"/>
              <w:jc w:val="right"/>
            </w:pPr>
            <w:r>
              <w:t xml:space="preserve">−0.625</w:t>
            </w:r>
          </w:p>
        </w:tc>
        <w:tc>
          <w:tcPr/>
          <w:p>
            <w:pPr>
              <w:pStyle w:val="Compact"/>
              <w:jc w:val="right"/>
            </w:pPr>
            <w:r>
              <w:t xml:space="preserve">[−0.754, −0.499]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0.875</w:t>
            </w:r>
          </w:p>
        </w:tc>
        <w:tc>
          <w:tcPr/>
          <w:p>
            <w:pPr>
              <w:pStyle w:val="Compact"/>
              <w:jc w:val="right"/>
            </w:pPr>
            <w:r>
              <w:t xml:space="preserve">[0.774, 0.978]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0.897</w:t>
            </w:r>
          </w:p>
        </w:tc>
        <w:tc>
          <w:tcPr/>
          <w:p>
            <w:pPr>
              <w:pStyle w:val="Compact"/>
              <w:jc w:val="right"/>
            </w:pPr>
            <w:r>
              <w:t xml:space="preserve">[0.798, 1.003]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English</w:t>
            </w:r>
          </w:p>
        </w:tc>
        <w:tc>
          <w:tcPr/>
          <w:p>
            <w:pPr>
              <w:pStyle w:val="Compact"/>
              <w:jc w:val="left"/>
            </w:pPr>
            <w:r>
              <w:t xml:space="preserve">COG</w:t>
            </w:r>
          </w:p>
        </w:tc>
        <w:tc>
          <w:tcPr/>
          <w:p>
            <w:pPr>
              <w:pStyle w:val="Compact"/>
              <w:jc w:val="right"/>
            </w:pPr>
            <w:r>
              <w:t xml:space="preserve">−0.425</w:t>
            </w:r>
          </w:p>
        </w:tc>
        <w:tc>
          <w:tcPr/>
          <w:p>
            <w:pPr>
              <w:pStyle w:val="Compact"/>
              <w:jc w:val="right"/>
            </w:pPr>
            <w:r>
              <w:t xml:space="preserve">[−0.509, −0.335]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−0.137</w:t>
            </w:r>
          </w:p>
        </w:tc>
        <w:tc>
          <w:tcPr/>
          <w:p>
            <w:pPr>
              <w:pStyle w:val="Compact"/>
              <w:jc w:val="right"/>
            </w:pPr>
            <w:r>
              <w:t xml:space="preserve">[−0.327, 0.069]</w:t>
            </w:r>
          </w:p>
        </w:tc>
        <w:tc>
          <w:tcPr/>
          <w:p>
            <w:pPr>
              <w:pStyle w:val="Compact"/>
              <w:jc w:val="right"/>
            </w:pPr>
            <w:r>
              <w:t xml:space="preserve">0.344</w:t>
            </w:r>
          </w:p>
        </w:tc>
        <w:tc>
          <w:tcPr/>
          <w:p>
            <w:pPr>
              <w:pStyle w:val="Compact"/>
              <w:jc w:val="right"/>
            </w:pPr>
            <w:r>
              <w:t xml:space="preserve">0.914</w:t>
            </w:r>
          </w:p>
        </w:tc>
      </w:tr>
      <w:tr>
        <w:tc>
          <w:tcPr/>
          <w:p>
            <w:pPr>
              <w:pStyle w:val="Compact"/>
            </w:pPr>
          </w:p>
        </w:tc>
        <w:tc>
          <w:tcPr/>
          <w:p>
            <w:pPr>
              <w:pStyle w:val="Compact"/>
              <w:jc w:val="left"/>
            </w:pPr>
            <w:r>
              <w:t xml:space="preserve">SD</w:t>
            </w:r>
          </w:p>
        </w:tc>
        <w:tc>
          <w:tcPr/>
          <w:p>
            <w:pPr>
              <w:pStyle w:val="Compact"/>
              <w:jc w:val="right"/>
            </w:pPr>
            <w:r>
              <w:t xml:space="preserve">−0.296</w:t>
            </w:r>
          </w:p>
        </w:tc>
        <w:tc>
          <w:tcPr/>
          <w:p>
            <w:pPr>
              <w:pStyle w:val="Compact"/>
              <w:jc w:val="right"/>
            </w:pPr>
            <w:r>
              <w:t xml:space="preserve">[−0.417, −0.174]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0.317</w:t>
            </w:r>
          </w:p>
        </w:tc>
        <w:tc>
          <w:tcPr/>
          <w:p>
            <w:pPr>
              <w:pStyle w:val="Compact"/>
              <w:jc w:val="right"/>
            </w:pPr>
            <w:r>
              <w:t xml:space="preserve">[0.221, 0.41]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0.207</w:t>
            </w:r>
          </w:p>
        </w:tc>
        <w:tc>
          <w:tcPr/>
          <w:p>
            <w:pPr>
              <w:pStyle w:val="Compact"/>
              <w:jc w:val="right"/>
            </w:pPr>
            <w:r>
              <w:t xml:space="preserve">[0.11, 0.3]</w:t>
            </w:r>
          </w:p>
        </w:tc>
        <w:tc>
          <w:tcPr/>
          <w:p>
            <w:pPr>
              <w:pStyle w:val="Compact"/>
              <w:jc w:val="right"/>
            </w:pPr>
            <w:r>
              <w:t xml:space="preserve">0.000</w:t>
            </w:r>
          </w:p>
        </w:tc>
        <w:tc>
          <w:tcPr/>
          <w:p>
            <w:pPr>
              <w:pStyle w:val="Compact"/>
              <w:jc w:val="right"/>
            </w:pPr>
            <w:r>
              <w:t xml:space="preserve">1.000</w:t>
            </w:r>
          </w:p>
        </w:tc>
      </w:tr>
    </w:tbl>
    <w:bookmarkEnd w:id="128"/>
    <w:p>
      <w:r>
        <w:br w:type="page"/>
      </w:r>
    </w:p>
    <w:bookmarkEnd w:id="129"/>
    <w:bookmarkStart w:id="132" w:name="X4ed28ac254a459bc2dacf748b6fbff35fa34930"/>
    <w:p>
      <w:pPr>
        <w:pStyle w:val="Heading2"/>
      </w:pPr>
      <w:r>
        <w:t xml:space="preserve">Appendix D: Supplementary analyses (place of articulation)</w:t>
      </w:r>
    </w:p>
    <w:p>
      <w:pPr>
        <w:pStyle w:val="FirstParagraph"/>
      </w:pPr>
      <w:r>
        <w:t xml:space="preserve">In this section we present additional information from the analyses of the bilingual place of articulation data.</w:t>
      </w:r>
      <w:r>
        <w:t xml:space="preserve"> </w:t>
      </w:r>
      <w:hyperlink w:anchor="tbl-bi-poa">
        <w:r>
          <w:rPr>
            <w:rStyle w:val="Hyperlink"/>
          </w:rPr>
          <w:t xml:space="preserve">Table 8</w:t>
        </w:r>
      </w:hyperlink>
      <w:r>
        <w:t xml:space="preserve"> </w:t>
      </w:r>
      <w:r>
        <w:t xml:space="preserve">includes the full output of the model summary from the primary multivariate analysis (Note: this table is equivalent to the forest plot in</w:t>
      </w:r>
      <w:r>
        <w:t xml:space="preserve"> </w:t>
      </w:r>
      <w:hyperlink w:anchor="fig-poa-bilinguals">
        <w:r>
          <w:rPr>
            <w:rStyle w:val="Hyperlink"/>
          </w:rPr>
          <w:t xml:space="preserve">Figure 6</w:t>
        </w:r>
      </w:hyperlink>
      <w:r>
        <w:t xml:space="preserve">).</w:t>
      </w:r>
    </w:p>
    <w:bookmarkStart w:id="130" w:name="tbl-bi-poa"/>
    <w:p>
      <w:pPr>
        <w:pStyle w:val="TableCaption"/>
      </w:pPr>
      <w:r>
        <w:t xml:space="preserve">Table 8: Model summary for VOT and burst metrics as a function of language (English, Spanish), place of articulation (bilabial, coronal), F1, F2, and item repetition for bilingual voiceless stops. The percentage of the HDI contained within the ROPE is based on an effect size of ±0.1.</w:t>
      </w:r>
    </w:p>
    <w:tbl>
      <w:tblPr>
        <w:tblStyle w:val="Table"/>
        <w:tblW w:type="pct" w:w="5000"/>
        <w:tblLook w:firstRow="1" w:lastRow="0" w:firstColumn="0" w:lastColumn="0" w:noHBand="0" w:noVBand="0" w:val="0020"/>
        <w:tblCaption w:val="Table 8: Model summary for VOT and burst metrics as a function of language (English, Spanish), place of articulation (bilabial, coronal), F1, F2, and item repetition for bilingual voiceless stops. The percentage of the HDI contained within the ROPE is based on an effect size of ±0.1."/>
      </w:tblPr>
      <w:tblGrid>
        <w:gridCol w:w="583"/>
        <w:gridCol w:w="2834"/>
        <w:gridCol w:w="1083"/>
        <w:gridCol w:w="2417"/>
        <w:gridCol w:w="500"/>
        <w:gridCol w:w="50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0.940</w:t>
            </w:r>
          </w:p>
        </w:tc>
        <w:tc>
          <w:tcPr/>
          <w:p>
            <w:pPr>
              <w:pStyle w:val="Compact"/>
              <w:jc w:val="right"/>
            </w:pPr>
            <w:r>
              <w:t xml:space="preserve">[−1.000, 2.977]</w:t>
            </w:r>
          </w:p>
        </w:tc>
        <w:tc>
          <w:tcPr/>
          <w:p>
            <w:pPr>
              <w:pStyle w:val="Compact"/>
              <w:jc w:val="right"/>
            </w:pPr>
            <w:r>
              <w:t xml:space="preserve">0.056</w:t>
            </w:r>
          </w:p>
        </w:tc>
        <w:tc>
          <w:tcPr/>
          <w:p>
            <w:pPr>
              <w:pStyle w:val="Compact"/>
              <w:jc w:val="right"/>
            </w:pPr>
            <w:r>
              <w:t xml:space="preserve">0.823</w:t>
            </w:r>
          </w:p>
        </w:tc>
      </w:tr>
      <w:tr>
        <w:tc>
          <w:tcPr/>
          <w:p>
            <w:pPr>
              <w:pStyle w:val="Compact"/>
            </w:pPr>
          </w:p>
        </w:tc>
        <w:tc>
          <w:tcPr/>
          <w:p>
            <w:pPr>
              <w:pStyle w:val="Compact"/>
              <w:jc w:val="left"/>
            </w:pPr>
            <w:r>
              <w:t xml:space="preserve">Language: Spanish</w:t>
            </w:r>
          </w:p>
        </w:tc>
        <w:tc>
          <w:tcPr/>
          <w:p>
            <w:pPr>
              <w:pStyle w:val="Compact"/>
              <w:jc w:val="right"/>
            </w:pPr>
            <w:r>
              <w:t xml:space="preserve">−1.971</w:t>
            </w:r>
          </w:p>
        </w:tc>
        <w:tc>
          <w:tcPr/>
          <w:p>
            <w:pPr>
              <w:pStyle w:val="Compact"/>
              <w:jc w:val="right"/>
            </w:pPr>
            <w:r>
              <w:t xml:space="preserve">[−2.203, −1.720]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Velar</w:t>
            </w:r>
          </w:p>
        </w:tc>
        <w:tc>
          <w:tcPr/>
          <w:p>
            <w:pPr>
              <w:pStyle w:val="Compact"/>
              <w:jc w:val="right"/>
            </w:pPr>
            <w:r>
              <w:t xml:space="preserve">0.005</w:t>
            </w:r>
          </w:p>
        </w:tc>
        <w:tc>
          <w:tcPr/>
          <w:p>
            <w:pPr>
              <w:pStyle w:val="Compact"/>
              <w:jc w:val="right"/>
            </w:pPr>
            <w:r>
              <w:t xml:space="preserve">[−0.150, 0.163]</w:t>
            </w:r>
          </w:p>
        </w:tc>
        <w:tc>
          <w:tcPr/>
          <w:p>
            <w:pPr>
              <w:pStyle w:val="Compact"/>
              <w:jc w:val="right"/>
            </w:pPr>
            <w:r>
              <w:t xml:space="preserve">0.834</w:t>
            </w:r>
          </w:p>
        </w:tc>
        <w:tc>
          <w:tcPr/>
          <w:p>
            <w:pPr>
              <w:pStyle w:val="Compact"/>
              <w:jc w:val="right"/>
            </w:pPr>
            <w:r>
              <w:t xml:space="preserve">0.521</w:t>
            </w:r>
          </w:p>
        </w:tc>
      </w:tr>
      <w:tr>
        <w:tc>
          <w:tcPr/>
          <w:p>
            <w:pPr>
              <w:pStyle w:val="Compact"/>
            </w:pPr>
          </w:p>
        </w:tc>
        <w:tc>
          <w:tcPr/>
          <w:p>
            <w:pPr>
              <w:pStyle w:val="Compact"/>
              <w:jc w:val="left"/>
            </w:pPr>
            <w:r>
              <w:t xml:space="preserve">Place: Bilabial</w:t>
            </w:r>
          </w:p>
        </w:tc>
        <w:tc>
          <w:tcPr/>
          <w:p>
            <w:pPr>
              <w:pStyle w:val="Compact"/>
              <w:jc w:val="right"/>
            </w:pPr>
            <w:r>
              <w:t xml:space="preserve">−0.327</w:t>
            </w:r>
          </w:p>
        </w:tc>
        <w:tc>
          <w:tcPr/>
          <w:p>
            <w:pPr>
              <w:pStyle w:val="Compact"/>
              <w:jc w:val="right"/>
            </w:pPr>
            <w:r>
              <w:t xml:space="preserve">[−0.490, −0.170]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0.116</w:t>
            </w:r>
          </w:p>
        </w:tc>
        <w:tc>
          <w:tcPr/>
          <w:p>
            <w:pPr>
              <w:pStyle w:val="Compact"/>
              <w:jc w:val="right"/>
            </w:pPr>
            <w:r>
              <w:t xml:space="preserve">[0.003, 0.231]</w:t>
            </w:r>
          </w:p>
        </w:tc>
        <w:tc>
          <w:tcPr/>
          <w:p>
            <w:pPr>
              <w:pStyle w:val="Compact"/>
              <w:jc w:val="right"/>
            </w:pPr>
            <w:r>
              <w:t xml:space="preserve">0.379</w:t>
            </w:r>
          </w:p>
        </w:tc>
        <w:tc>
          <w:tcPr/>
          <w:p>
            <w:pPr>
              <w:pStyle w:val="Compact"/>
              <w:jc w:val="right"/>
            </w:pPr>
            <w:r>
              <w:t xml:space="preserve">0.981</w:t>
            </w:r>
          </w:p>
        </w:tc>
      </w:tr>
      <w:tr>
        <w:tc>
          <w:tcPr/>
          <w:p>
            <w:pPr>
              <w:pStyle w:val="Compact"/>
            </w:pPr>
          </w:p>
        </w:tc>
        <w:tc>
          <w:tcPr/>
          <w:p>
            <w:pPr>
              <w:pStyle w:val="Compact"/>
              <w:jc w:val="left"/>
            </w:pPr>
            <w:r>
              <w:t xml:space="preserve">F2</w:t>
            </w:r>
          </w:p>
        </w:tc>
        <w:tc>
          <w:tcPr/>
          <w:p>
            <w:pPr>
              <w:pStyle w:val="Compact"/>
              <w:jc w:val="right"/>
            </w:pPr>
            <w:r>
              <w:t xml:space="preserve">−0.073</w:t>
            </w:r>
          </w:p>
        </w:tc>
        <w:tc>
          <w:tcPr/>
          <w:p>
            <w:pPr>
              <w:pStyle w:val="Compact"/>
              <w:jc w:val="right"/>
            </w:pPr>
            <w:r>
              <w:t xml:space="preserve">[−0.159, 0.007]</w:t>
            </w:r>
          </w:p>
        </w:tc>
        <w:tc>
          <w:tcPr/>
          <w:p>
            <w:pPr>
              <w:pStyle w:val="Compact"/>
              <w:jc w:val="right"/>
            </w:pPr>
            <w:r>
              <w:t xml:space="preserve">0.769</w:t>
            </w:r>
          </w:p>
        </w:tc>
        <w:tc>
          <w:tcPr/>
          <w:p>
            <w:pPr>
              <w:pStyle w:val="Compact"/>
              <w:jc w:val="right"/>
            </w:pPr>
            <w:r>
              <w:t xml:space="preserve">0.960</w:t>
            </w:r>
          </w:p>
        </w:tc>
      </w:tr>
      <w:tr>
        <w:tc>
          <w:tcPr/>
          <w:p>
            <w:pPr>
              <w:pStyle w:val="Compact"/>
            </w:pPr>
          </w:p>
        </w:tc>
        <w:tc>
          <w:tcPr/>
          <w:p>
            <w:pPr>
              <w:pStyle w:val="Compact"/>
              <w:jc w:val="left"/>
            </w:pPr>
            <w:r>
              <w:t xml:space="preserve">Item rep.</w:t>
            </w:r>
          </w:p>
        </w:tc>
        <w:tc>
          <w:tcPr/>
          <w:p>
            <w:pPr>
              <w:pStyle w:val="Compact"/>
              <w:jc w:val="right"/>
            </w:pPr>
            <w:r>
              <w:t xml:space="preserve">0.000</w:t>
            </w:r>
          </w:p>
        </w:tc>
        <w:tc>
          <w:tcPr/>
          <w:p>
            <w:pPr>
              <w:pStyle w:val="Compact"/>
              <w:jc w:val="right"/>
            </w:pPr>
            <w:r>
              <w:t xml:space="preserve">[−2.068, 1.865]</w:t>
            </w:r>
          </w:p>
        </w:tc>
        <w:tc>
          <w:tcPr/>
          <w:p>
            <w:pPr>
              <w:pStyle w:val="Compact"/>
              <w:jc w:val="right"/>
            </w:pPr>
            <w:r>
              <w:t xml:space="preserve">0.078</w:t>
            </w:r>
          </w:p>
        </w:tc>
        <w:tc>
          <w:tcPr/>
          <w:p>
            <w:pPr>
              <w:pStyle w:val="Compact"/>
              <w:jc w:val="right"/>
            </w:pPr>
            <w:r>
              <w:t xml:space="preserve">0.508</w:t>
            </w:r>
          </w:p>
        </w:tc>
      </w:tr>
      <w:tr>
        <w:tc>
          <w:tcPr/>
          <w:p>
            <w:pPr>
              <w:pStyle w:val="Compact"/>
            </w:pPr>
          </w:p>
        </w:tc>
        <w:tc>
          <w:tcPr/>
          <w:p>
            <w:pPr>
              <w:pStyle w:val="Compact"/>
              <w:jc w:val="left"/>
            </w:pPr>
            <w:r>
              <w:t xml:space="preserve">Language(Spanish):Place(velar)</w:t>
            </w:r>
          </w:p>
        </w:tc>
        <w:tc>
          <w:tcPr/>
          <w:p>
            <w:pPr>
              <w:pStyle w:val="Compact"/>
              <w:jc w:val="right"/>
            </w:pPr>
            <w:r>
              <w:t xml:space="preserve">0.365</w:t>
            </w:r>
          </w:p>
        </w:tc>
        <w:tc>
          <w:tcPr/>
          <w:p>
            <w:pPr>
              <w:pStyle w:val="Compact"/>
              <w:jc w:val="right"/>
            </w:pPr>
            <w:r>
              <w:t xml:space="preserve">[0.163, 0.559]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Language(Spanish):Place(bilabial)</w:t>
            </w:r>
          </w:p>
        </w:tc>
        <w:tc>
          <w:tcPr/>
          <w:p>
            <w:pPr>
              <w:pStyle w:val="Compact"/>
              <w:jc w:val="right"/>
            </w:pPr>
            <w:r>
              <w:t xml:space="preserve">0.271</w:t>
            </w:r>
          </w:p>
        </w:tc>
        <w:tc>
          <w:tcPr/>
          <w:p>
            <w:pPr>
              <w:pStyle w:val="Compact"/>
              <w:jc w:val="right"/>
            </w:pPr>
            <w:r>
              <w:t xml:space="preserve">[0.076, 0.473]</w:t>
            </w:r>
          </w:p>
        </w:tc>
        <w:tc>
          <w:tcPr/>
          <w:p>
            <w:pPr>
              <w:pStyle w:val="Compact"/>
              <w:jc w:val="right"/>
            </w:pPr>
            <w:r>
              <w:t xml:space="preserve">0.021</w:t>
            </w:r>
          </w:p>
        </w:tc>
        <w:tc>
          <w:tcPr/>
          <w:p>
            <w:pPr>
              <w:pStyle w:val="Compact"/>
              <w:jc w:val="right"/>
            </w:pPr>
            <w:r>
              <w:t xml:space="preserve">0.996</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0.910</w:t>
            </w:r>
          </w:p>
        </w:tc>
        <w:tc>
          <w:tcPr/>
          <w:p>
            <w:pPr>
              <w:pStyle w:val="Compact"/>
              <w:jc w:val="right"/>
            </w:pPr>
            <w:r>
              <w:t xml:space="preserve">[−1.160, 2.789]</w:t>
            </w:r>
          </w:p>
        </w:tc>
        <w:tc>
          <w:tcPr/>
          <w:p>
            <w:pPr>
              <w:pStyle w:val="Compact"/>
              <w:jc w:val="right"/>
            </w:pPr>
            <w:r>
              <w:t xml:space="preserve">0.055</w:t>
            </w:r>
          </w:p>
        </w:tc>
        <w:tc>
          <w:tcPr/>
          <w:p>
            <w:pPr>
              <w:pStyle w:val="Compact"/>
              <w:jc w:val="right"/>
            </w:pPr>
            <w:r>
              <w:t xml:space="preserve">0.818</w:t>
            </w:r>
          </w:p>
        </w:tc>
      </w:tr>
      <w:tr>
        <w:tc>
          <w:tcPr/>
          <w:p>
            <w:pPr>
              <w:pStyle w:val="Compact"/>
            </w:pPr>
          </w:p>
        </w:tc>
        <w:tc>
          <w:tcPr/>
          <w:p>
            <w:pPr>
              <w:pStyle w:val="Compact"/>
              <w:jc w:val="left"/>
            </w:pPr>
            <w:r>
              <w:t xml:space="preserve">Language</w:t>
            </w:r>
          </w:p>
        </w:tc>
        <w:tc>
          <w:tcPr/>
          <w:p>
            <w:pPr>
              <w:pStyle w:val="Compact"/>
              <w:jc w:val="right"/>
            </w:pPr>
            <w:r>
              <w:t xml:space="preserve">−1.137</w:t>
            </w:r>
          </w:p>
        </w:tc>
        <w:tc>
          <w:tcPr/>
          <w:p>
            <w:pPr>
              <w:pStyle w:val="Compact"/>
              <w:jc w:val="right"/>
            </w:pPr>
            <w:r>
              <w:t xml:space="preserve">[−1.396, −0.846]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Bilabial</w:t>
            </w:r>
          </w:p>
        </w:tc>
        <w:tc>
          <w:tcPr/>
          <w:p>
            <w:pPr>
              <w:pStyle w:val="Compact"/>
              <w:jc w:val="right"/>
            </w:pPr>
            <w:r>
              <w:t xml:space="preserve">−1.830</w:t>
            </w:r>
          </w:p>
        </w:tc>
        <w:tc>
          <w:tcPr/>
          <w:p>
            <w:pPr>
              <w:pStyle w:val="Compact"/>
              <w:jc w:val="right"/>
            </w:pPr>
            <w:r>
              <w:t xml:space="preserve">[−2.091, −1.542]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Velar</w:t>
            </w:r>
          </w:p>
        </w:tc>
        <w:tc>
          <w:tcPr/>
          <w:p>
            <w:pPr>
              <w:pStyle w:val="Compact"/>
              <w:jc w:val="right"/>
            </w:pPr>
            <w:r>
              <w:t xml:space="preserve">−0.192</w:t>
            </w:r>
          </w:p>
        </w:tc>
        <w:tc>
          <w:tcPr/>
          <w:p>
            <w:pPr>
              <w:pStyle w:val="Compact"/>
              <w:jc w:val="right"/>
            </w:pPr>
            <w:r>
              <w:t xml:space="preserve">[−0.487, 0.092]</w:t>
            </w:r>
          </w:p>
        </w:tc>
        <w:tc>
          <w:tcPr/>
          <w:p>
            <w:pPr>
              <w:pStyle w:val="Compact"/>
              <w:jc w:val="right"/>
            </w:pPr>
            <w:r>
              <w:t xml:space="preserve">0.240</w:t>
            </w:r>
          </w:p>
        </w:tc>
        <w:tc>
          <w:tcPr/>
          <w:p>
            <w:pPr>
              <w:pStyle w:val="Compact"/>
              <w:jc w:val="right"/>
            </w:pPr>
            <w:r>
              <w:t xml:space="preserve">0.914</w:t>
            </w:r>
          </w:p>
        </w:tc>
      </w:tr>
      <w:tr>
        <w:tc>
          <w:tcPr/>
          <w:p>
            <w:pPr>
              <w:pStyle w:val="Compact"/>
            </w:pPr>
          </w:p>
        </w:tc>
        <w:tc>
          <w:tcPr/>
          <w:p>
            <w:pPr>
              <w:pStyle w:val="Compact"/>
              <w:jc w:val="left"/>
            </w:pPr>
            <w:r>
              <w:t xml:space="preserve">F1</w:t>
            </w:r>
          </w:p>
        </w:tc>
        <w:tc>
          <w:tcPr/>
          <w:p>
            <w:pPr>
              <w:pStyle w:val="Compact"/>
              <w:jc w:val="right"/>
            </w:pPr>
            <w:r>
              <w:t xml:space="preserve">−0.007</w:t>
            </w:r>
          </w:p>
        </w:tc>
        <w:tc>
          <w:tcPr/>
          <w:p>
            <w:pPr>
              <w:pStyle w:val="Compact"/>
              <w:jc w:val="right"/>
            </w:pPr>
            <w:r>
              <w:t xml:space="preserve">[−0.050, 0.035]</w:t>
            </w:r>
          </w:p>
        </w:tc>
        <w:tc>
          <w:tcPr/>
          <w:p>
            <w:pPr>
              <w:pStyle w:val="Compact"/>
              <w:jc w:val="right"/>
            </w:pPr>
            <w:r>
              <w:t xml:space="preserve">1.000</w:t>
            </w:r>
          </w:p>
        </w:tc>
        <w:tc>
          <w:tcPr/>
          <w:p>
            <w:pPr>
              <w:pStyle w:val="Compact"/>
              <w:jc w:val="right"/>
            </w:pPr>
            <w:r>
              <w:t xml:space="preserve">0.621</w:t>
            </w:r>
          </w:p>
        </w:tc>
      </w:tr>
      <w:tr>
        <w:tc>
          <w:tcPr/>
          <w:p>
            <w:pPr>
              <w:pStyle w:val="Compact"/>
            </w:pPr>
          </w:p>
        </w:tc>
        <w:tc>
          <w:tcPr/>
          <w:p>
            <w:pPr>
              <w:pStyle w:val="Compact"/>
              <w:jc w:val="left"/>
            </w:pPr>
            <w:r>
              <w:t xml:space="preserve">F2</w:t>
            </w:r>
          </w:p>
        </w:tc>
        <w:tc>
          <w:tcPr/>
          <w:p>
            <w:pPr>
              <w:pStyle w:val="Compact"/>
              <w:jc w:val="right"/>
            </w:pPr>
            <w:r>
              <w:t xml:space="preserve">0.032</w:t>
            </w:r>
          </w:p>
        </w:tc>
        <w:tc>
          <w:tcPr/>
          <w:p>
            <w:pPr>
              <w:pStyle w:val="Compact"/>
              <w:jc w:val="right"/>
            </w:pPr>
            <w:r>
              <w:t xml:space="preserve">[−0.014, 0.078]</w:t>
            </w:r>
          </w:p>
        </w:tc>
        <w:tc>
          <w:tcPr/>
          <w:p>
            <w:pPr>
              <w:pStyle w:val="Compact"/>
              <w:jc w:val="right"/>
            </w:pPr>
            <w:r>
              <w:t xml:space="preserve">1.000</w:t>
            </w:r>
          </w:p>
        </w:tc>
        <w:tc>
          <w:tcPr/>
          <w:p>
            <w:pPr>
              <w:pStyle w:val="Compact"/>
              <w:jc w:val="right"/>
            </w:pPr>
            <w:r>
              <w:t xml:space="preserve">0.917</w:t>
            </w:r>
          </w:p>
        </w:tc>
      </w:tr>
      <w:tr>
        <w:tc>
          <w:tcPr/>
          <w:p>
            <w:pPr>
              <w:pStyle w:val="Compact"/>
            </w:pPr>
          </w:p>
        </w:tc>
        <w:tc>
          <w:tcPr/>
          <w:p>
            <w:pPr>
              <w:pStyle w:val="Compact"/>
              <w:jc w:val="left"/>
            </w:pPr>
            <w:r>
              <w:t xml:space="preserve">Item rep.</w:t>
            </w:r>
          </w:p>
        </w:tc>
        <w:tc>
          <w:tcPr/>
          <w:p>
            <w:pPr>
              <w:pStyle w:val="Compact"/>
              <w:jc w:val="right"/>
            </w:pPr>
            <w:r>
              <w:t xml:space="preserve">0.008</w:t>
            </w:r>
          </w:p>
        </w:tc>
        <w:tc>
          <w:tcPr/>
          <w:p>
            <w:pPr>
              <w:pStyle w:val="Compact"/>
              <w:jc w:val="right"/>
            </w:pPr>
            <w:r>
              <w:t xml:space="preserve">[−1.903, 2.020]</w:t>
            </w:r>
          </w:p>
        </w:tc>
        <w:tc>
          <w:tcPr/>
          <w:p>
            <w:pPr>
              <w:pStyle w:val="Compact"/>
              <w:jc w:val="right"/>
            </w:pPr>
            <w:r>
              <w:t xml:space="preserve">0.081</w:t>
            </w:r>
          </w:p>
        </w:tc>
        <w:tc>
          <w:tcPr/>
          <w:p>
            <w:pPr>
              <w:pStyle w:val="Compact"/>
              <w:jc w:val="right"/>
            </w:pPr>
            <w:r>
              <w:t xml:space="preserve">0.507</w:t>
            </w:r>
          </w:p>
        </w:tc>
      </w:tr>
      <w:tr>
        <w:tc>
          <w:tcPr/>
          <w:p>
            <w:pPr>
              <w:pStyle w:val="Compact"/>
            </w:pPr>
          </w:p>
        </w:tc>
        <w:tc>
          <w:tcPr/>
          <w:p>
            <w:pPr>
              <w:pStyle w:val="Compact"/>
              <w:jc w:val="left"/>
            </w:pPr>
            <w:r>
              <w:t xml:space="preserve">Language(Spanish):Place(bilabial)</w:t>
            </w:r>
          </w:p>
        </w:tc>
        <w:tc>
          <w:tcPr/>
          <w:p>
            <w:pPr>
              <w:pStyle w:val="Compact"/>
              <w:jc w:val="right"/>
            </w:pPr>
            <w:r>
              <w:t xml:space="preserve">1.164</w:t>
            </w:r>
          </w:p>
        </w:tc>
        <w:tc>
          <w:tcPr/>
          <w:p>
            <w:pPr>
              <w:pStyle w:val="Compact"/>
              <w:jc w:val="right"/>
            </w:pPr>
            <w:r>
              <w:t xml:space="preserve">[0.867, 1.446]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Language(Spanish):Place(velar)</w:t>
            </w:r>
          </w:p>
        </w:tc>
        <w:tc>
          <w:tcPr/>
          <w:p>
            <w:pPr>
              <w:pStyle w:val="Compact"/>
              <w:jc w:val="right"/>
            </w:pPr>
            <w:r>
              <w:t xml:space="preserve">0.845</w:t>
            </w:r>
          </w:p>
        </w:tc>
        <w:tc>
          <w:tcPr/>
          <w:p>
            <w:pPr>
              <w:pStyle w:val="Compact"/>
              <w:jc w:val="right"/>
            </w:pPr>
            <w:r>
              <w:t xml:space="preserve">[0.536, 1.131]</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−1.011</w:t>
            </w:r>
          </w:p>
        </w:tc>
        <w:tc>
          <w:tcPr/>
          <w:p>
            <w:pPr>
              <w:pStyle w:val="Compact"/>
              <w:jc w:val="right"/>
            </w:pPr>
            <w:r>
              <w:t xml:space="preserve">[−2.890, 0.992]</w:t>
            </w:r>
          </w:p>
        </w:tc>
        <w:tc>
          <w:tcPr/>
          <w:p>
            <w:pPr>
              <w:pStyle w:val="Compact"/>
              <w:jc w:val="right"/>
            </w:pPr>
            <w:r>
              <w:t xml:space="preserve">0.044</w:t>
            </w:r>
          </w:p>
        </w:tc>
        <w:tc>
          <w:tcPr/>
          <w:p>
            <w:pPr>
              <w:pStyle w:val="Compact"/>
              <w:jc w:val="right"/>
            </w:pPr>
            <w:r>
              <w:t xml:space="preserve">0.849</w:t>
            </w:r>
          </w:p>
        </w:tc>
      </w:tr>
      <w:tr>
        <w:tc>
          <w:tcPr/>
          <w:p>
            <w:pPr>
              <w:pStyle w:val="Compact"/>
            </w:pPr>
          </w:p>
        </w:tc>
        <w:tc>
          <w:tcPr/>
          <w:p>
            <w:pPr>
              <w:pStyle w:val="Compact"/>
              <w:jc w:val="left"/>
            </w:pPr>
            <w:r>
              <w:t xml:space="preserve">Language</w:t>
            </w:r>
          </w:p>
        </w:tc>
        <w:tc>
          <w:tcPr/>
          <w:p>
            <w:pPr>
              <w:pStyle w:val="Compact"/>
              <w:jc w:val="right"/>
            </w:pPr>
            <w:r>
              <w:t xml:space="preserve">0.968</w:t>
            </w:r>
          </w:p>
        </w:tc>
        <w:tc>
          <w:tcPr/>
          <w:p>
            <w:pPr>
              <w:pStyle w:val="Compact"/>
              <w:jc w:val="right"/>
            </w:pPr>
            <w:r>
              <w:t xml:space="preserve">[0.808, 1.123]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Bilabial</w:t>
            </w:r>
          </w:p>
        </w:tc>
        <w:tc>
          <w:tcPr/>
          <w:p>
            <w:pPr>
              <w:pStyle w:val="Compact"/>
              <w:jc w:val="right"/>
            </w:pPr>
            <w:r>
              <w:t xml:space="preserve">1.808</w:t>
            </w:r>
          </w:p>
        </w:tc>
        <w:tc>
          <w:tcPr/>
          <w:p>
            <w:pPr>
              <w:pStyle w:val="Compact"/>
              <w:jc w:val="right"/>
            </w:pPr>
            <w:r>
              <w:t xml:space="preserve">[1.432, 2.156]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Velar</w:t>
            </w:r>
          </w:p>
        </w:tc>
        <w:tc>
          <w:tcPr/>
          <w:p>
            <w:pPr>
              <w:pStyle w:val="Compact"/>
              <w:jc w:val="right"/>
            </w:pPr>
            <w:r>
              <w:t xml:space="preserve">0.292</w:t>
            </w:r>
          </w:p>
        </w:tc>
        <w:tc>
          <w:tcPr/>
          <w:p>
            <w:pPr>
              <w:pStyle w:val="Compact"/>
              <w:jc w:val="right"/>
            </w:pPr>
            <w:r>
              <w:t xml:space="preserve">[0.117, 0.471]</w:t>
            </w:r>
          </w:p>
        </w:tc>
        <w:tc>
          <w:tcPr/>
          <w:p>
            <w:pPr>
              <w:pStyle w:val="Compact"/>
              <w:jc w:val="right"/>
            </w:pPr>
            <w:r>
              <w:t xml:space="preserve">0.000</w:t>
            </w:r>
          </w:p>
        </w:tc>
        <w:tc>
          <w:tcPr/>
          <w:p>
            <w:pPr>
              <w:pStyle w:val="Compact"/>
              <w:jc w:val="right"/>
            </w:pPr>
            <w:r>
              <w:t xml:space="preserve">0.998</w:t>
            </w:r>
          </w:p>
        </w:tc>
      </w:tr>
      <w:tr>
        <w:tc>
          <w:tcPr/>
          <w:p>
            <w:pPr>
              <w:pStyle w:val="Compact"/>
            </w:pPr>
          </w:p>
        </w:tc>
        <w:tc>
          <w:tcPr/>
          <w:p>
            <w:pPr>
              <w:pStyle w:val="Compact"/>
              <w:jc w:val="left"/>
            </w:pPr>
            <w:r>
              <w:t xml:space="preserve">F1</w:t>
            </w:r>
          </w:p>
        </w:tc>
        <w:tc>
          <w:tcPr/>
          <w:p>
            <w:pPr>
              <w:pStyle w:val="Compact"/>
              <w:jc w:val="right"/>
            </w:pPr>
            <w:r>
              <w:t xml:space="preserve">0.012</w:t>
            </w:r>
          </w:p>
        </w:tc>
        <w:tc>
          <w:tcPr/>
          <w:p>
            <w:pPr>
              <w:pStyle w:val="Compact"/>
              <w:jc w:val="right"/>
            </w:pPr>
            <w:r>
              <w:t xml:space="preserve">[−0.031, 0.056]</w:t>
            </w:r>
          </w:p>
        </w:tc>
        <w:tc>
          <w:tcPr/>
          <w:p>
            <w:pPr>
              <w:pStyle w:val="Compact"/>
              <w:jc w:val="right"/>
            </w:pPr>
            <w:r>
              <w:t xml:space="preserve">1.000</w:t>
            </w:r>
          </w:p>
        </w:tc>
        <w:tc>
          <w:tcPr/>
          <w:p>
            <w:pPr>
              <w:pStyle w:val="Compact"/>
              <w:jc w:val="right"/>
            </w:pPr>
            <w:r>
              <w:t xml:space="preserve">0.701</w:t>
            </w:r>
          </w:p>
        </w:tc>
      </w:tr>
      <w:tr>
        <w:tc>
          <w:tcPr/>
          <w:p>
            <w:pPr>
              <w:pStyle w:val="Compact"/>
            </w:pPr>
          </w:p>
        </w:tc>
        <w:tc>
          <w:tcPr/>
          <w:p>
            <w:pPr>
              <w:pStyle w:val="Compact"/>
              <w:jc w:val="left"/>
            </w:pPr>
            <w:r>
              <w:t xml:space="preserve">F2</w:t>
            </w:r>
          </w:p>
        </w:tc>
        <w:tc>
          <w:tcPr/>
          <w:p>
            <w:pPr>
              <w:pStyle w:val="Compact"/>
              <w:jc w:val="right"/>
            </w:pPr>
            <w:r>
              <w:t xml:space="preserve">−0.058</w:t>
            </w:r>
          </w:p>
        </w:tc>
        <w:tc>
          <w:tcPr/>
          <w:p>
            <w:pPr>
              <w:pStyle w:val="Compact"/>
              <w:jc w:val="right"/>
            </w:pPr>
            <w:r>
              <w:t xml:space="preserve">[−0.104, −0.009]</w:t>
            </w:r>
          </w:p>
        </w:tc>
        <w:tc>
          <w:tcPr/>
          <w:p>
            <w:pPr>
              <w:pStyle w:val="Compact"/>
              <w:jc w:val="right"/>
            </w:pPr>
            <w:r>
              <w:t xml:space="preserve">0.985</w:t>
            </w:r>
          </w:p>
        </w:tc>
        <w:tc>
          <w:tcPr/>
          <w:p>
            <w:pPr>
              <w:pStyle w:val="Compact"/>
              <w:jc w:val="right"/>
            </w:pPr>
            <w:r>
              <w:t xml:space="preserve">0.989</w:t>
            </w:r>
          </w:p>
        </w:tc>
      </w:tr>
      <w:tr>
        <w:tc>
          <w:tcPr/>
          <w:p>
            <w:pPr>
              <w:pStyle w:val="Compact"/>
            </w:pPr>
          </w:p>
        </w:tc>
        <w:tc>
          <w:tcPr/>
          <w:p>
            <w:pPr>
              <w:pStyle w:val="Compact"/>
              <w:jc w:val="left"/>
            </w:pPr>
            <w:r>
              <w:t xml:space="preserve">Item rep.</w:t>
            </w:r>
          </w:p>
        </w:tc>
        <w:tc>
          <w:tcPr/>
          <w:p>
            <w:pPr>
              <w:pStyle w:val="Compact"/>
              <w:jc w:val="right"/>
            </w:pPr>
            <w:r>
              <w:t xml:space="preserve">0.009</w:t>
            </w:r>
          </w:p>
        </w:tc>
        <w:tc>
          <w:tcPr/>
          <w:p>
            <w:pPr>
              <w:pStyle w:val="Compact"/>
              <w:jc w:val="right"/>
            </w:pPr>
            <w:r>
              <w:t xml:space="preserve">[−1.978, 1.911]</w:t>
            </w:r>
          </w:p>
        </w:tc>
        <w:tc>
          <w:tcPr/>
          <w:p>
            <w:pPr>
              <w:pStyle w:val="Compact"/>
              <w:jc w:val="right"/>
            </w:pPr>
            <w:r>
              <w:t xml:space="preserve">0.092</w:t>
            </w:r>
          </w:p>
        </w:tc>
        <w:tc>
          <w:tcPr/>
          <w:p>
            <w:pPr>
              <w:pStyle w:val="Compact"/>
              <w:jc w:val="right"/>
            </w:pPr>
            <w:r>
              <w:t xml:space="preserve">0.506</w:t>
            </w:r>
          </w:p>
        </w:tc>
      </w:tr>
      <w:tr>
        <w:tc>
          <w:tcPr/>
          <w:p>
            <w:pPr>
              <w:pStyle w:val="Compact"/>
            </w:pPr>
          </w:p>
        </w:tc>
        <w:tc>
          <w:tcPr/>
          <w:p>
            <w:pPr>
              <w:pStyle w:val="Compact"/>
              <w:jc w:val="left"/>
            </w:pPr>
            <w:r>
              <w:t xml:space="preserve">Language(Spanish):Place(bilabial)</w:t>
            </w:r>
          </w:p>
        </w:tc>
        <w:tc>
          <w:tcPr/>
          <w:p>
            <w:pPr>
              <w:pStyle w:val="Compact"/>
              <w:jc w:val="right"/>
            </w:pPr>
            <w:r>
              <w:t xml:space="preserve">−0.902</w:t>
            </w:r>
          </w:p>
        </w:tc>
        <w:tc>
          <w:tcPr/>
          <w:p>
            <w:pPr>
              <w:pStyle w:val="Compact"/>
              <w:jc w:val="right"/>
            </w:pPr>
            <w:r>
              <w:t xml:space="preserve">[−1.144, −0.661]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Language(Spanish):Place(velar)</w:t>
            </w:r>
          </w:p>
        </w:tc>
        <w:tc>
          <w:tcPr/>
          <w:p>
            <w:pPr>
              <w:pStyle w:val="Compact"/>
              <w:jc w:val="right"/>
            </w:pPr>
            <w:r>
              <w:t xml:space="preserve">−0.273</w:t>
            </w:r>
          </w:p>
        </w:tc>
        <w:tc>
          <w:tcPr/>
          <w:p>
            <w:pPr>
              <w:pStyle w:val="Compact"/>
              <w:jc w:val="right"/>
            </w:pPr>
            <w:r>
              <w:t xml:space="preserve">[−0.504, −0.038]</w:t>
            </w:r>
          </w:p>
        </w:tc>
        <w:tc>
          <w:tcPr/>
          <w:p>
            <w:pPr>
              <w:pStyle w:val="Compact"/>
              <w:jc w:val="right"/>
            </w:pPr>
            <w:r>
              <w:t xml:space="preserve">0.044</w:t>
            </w:r>
          </w:p>
        </w:tc>
        <w:tc>
          <w:tcPr/>
          <w:p>
            <w:pPr>
              <w:pStyle w:val="Compact"/>
              <w:jc w:val="right"/>
            </w:pPr>
            <w:r>
              <w:t xml:space="preserve">0.990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−0.057</w:t>
            </w:r>
          </w:p>
        </w:tc>
        <w:tc>
          <w:tcPr/>
          <w:p>
            <w:pPr>
              <w:pStyle w:val="Compact"/>
              <w:jc w:val="right"/>
            </w:pPr>
            <w:r>
              <w:t xml:space="preserve">[−2.186, 1.887]</w:t>
            </w:r>
          </w:p>
        </w:tc>
        <w:tc>
          <w:tcPr/>
          <w:p>
            <w:pPr>
              <w:pStyle w:val="Compact"/>
              <w:jc w:val="right"/>
            </w:pPr>
            <w:r>
              <w:t xml:space="preserve">0.088</w:t>
            </w:r>
          </w:p>
        </w:tc>
        <w:tc>
          <w:tcPr/>
          <w:p>
            <w:pPr>
              <w:pStyle w:val="Compact"/>
              <w:jc w:val="right"/>
            </w:pPr>
            <w:r>
              <w:t xml:space="preserve">0.521</w:t>
            </w:r>
          </w:p>
        </w:tc>
      </w:tr>
      <w:tr>
        <w:tc>
          <w:tcPr/>
          <w:p>
            <w:pPr>
              <w:pStyle w:val="Compact"/>
            </w:pPr>
          </w:p>
        </w:tc>
        <w:tc>
          <w:tcPr/>
          <w:p>
            <w:pPr>
              <w:pStyle w:val="Compact"/>
              <w:jc w:val="left"/>
            </w:pPr>
            <w:r>
              <w:t xml:space="preserve">Language</w:t>
            </w:r>
          </w:p>
        </w:tc>
        <w:tc>
          <w:tcPr/>
          <w:p>
            <w:pPr>
              <w:pStyle w:val="Compact"/>
              <w:jc w:val="right"/>
            </w:pPr>
            <w:r>
              <w:t xml:space="preserve">−0.384</w:t>
            </w:r>
          </w:p>
        </w:tc>
        <w:tc>
          <w:tcPr/>
          <w:p>
            <w:pPr>
              <w:pStyle w:val="Compact"/>
              <w:jc w:val="right"/>
            </w:pPr>
            <w:r>
              <w:t xml:space="preserve">[−0.854, 0.087]</w:t>
            </w:r>
          </w:p>
        </w:tc>
        <w:tc>
          <w:tcPr/>
          <w:p>
            <w:pPr>
              <w:pStyle w:val="Compact"/>
              <w:jc w:val="right"/>
            </w:pPr>
            <w:r>
              <w:t xml:space="preserve">0.083</w:t>
            </w:r>
          </w:p>
        </w:tc>
        <w:tc>
          <w:tcPr/>
          <w:p>
            <w:pPr>
              <w:pStyle w:val="Compact"/>
              <w:jc w:val="right"/>
            </w:pPr>
            <w:r>
              <w:t xml:space="preserve">0.948</w:t>
            </w:r>
          </w:p>
        </w:tc>
      </w:tr>
      <w:tr>
        <w:tc>
          <w:tcPr/>
          <w:p>
            <w:pPr>
              <w:pStyle w:val="Compact"/>
            </w:pPr>
          </w:p>
        </w:tc>
        <w:tc>
          <w:tcPr/>
          <w:p>
            <w:pPr>
              <w:pStyle w:val="Compact"/>
              <w:jc w:val="left"/>
            </w:pPr>
            <w:r>
              <w:t xml:space="preserve">Place: Bilabial</w:t>
            </w:r>
          </w:p>
        </w:tc>
        <w:tc>
          <w:tcPr/>
          <w:p>
            <w:pPr>
              <w:pStyle w:val="Compact"/>
              <w:jc w:val="right"/>
            </w:pPr>
            <w:r>
              <w:t xml:space="preserve">−0.262</w:t>
            </w:r>
          </w:p>
        </w:tc>
        <w:tc>
          <w:tcPr/>
          <w:p>
            <w:pPr>
              <w:pStyle w:val="Compact"/>
              <w:jc w:val="right"/>
            </w:pPr>
            <w:r>
              <w:t xml:space="preserve">[−0.639, 0.147]</w:t>
            </w:r>
          </w:p>
        </w:tc>
        <w:tc>
          <w:tcPr/>
          <w:p>
            <w:pPr>
              <w:pStyle w:val="Compact"/>
              <w:jc w:val="right"/>
            </w:pPr>
            <w:r>
              <w:t xml:space="preserve">0.159</w:t>
            </w:r>
          </w:p>
        </w:tc>
        <w:tc>
          <w:tcPr/>
          <w:p>
            <w:pPr>
              <w:pStyle w:val="Compact"/>
              <w:jc w:val="right"/>
            </w:pPr>
            <w:r>
              <w:t xml:space="preserve">0.914</w:t>
            </w:r>
          </w:p>
        </w:tc>
      </w:tr>
      <w:tr>
        <w:tc>
          <w:tcPr/>
          <w:p>
            <w:pPr>
              <w:pStyle w:val="Compact"/>
            </w:pPr>
          </w:p>
        </w:tc>
        <w:tc>
          <w:tcPr/>
          <w:p>
            <w:pPr>
              <w:pStyle w:val="Compact"/>
              <w:jc w:val="left"/>
            </w:pPr>
            <w:r>
              <w:t xml:space="preserve">Place: Velar</w:t>
            </w:r>
          </w:p>
        </w:tc>
        <w:tc>
          <w:tcPr/>
          <w:p>
            <w:pPr>
              <w:pStyle w:val="Compact"/>
              <w:jc w:val="right"/>
            </w:pPr>
            <w:r>
              <w:t xml:space="preserve">0.758</w:t>
            </w:r>
          </w:p>
        </w:tc>
        <w:tc>
          <w:tcPr/>
          <w:p>
            <w:pPr>
              <w:pStyle w:val="Compact"/>
              <w:jc w:val="right"/>
            </w:pPr>
            <w:r>
              <w:t xml:space="preserve">[0.372, 1.130]</w:t>
            </w:r>
          </w:p>
        </w:tc>
        <w:tc>
          <w:tcPr/>
          <w:p>
            <w:pPr>
              <w:pStyle w:val="Compact"/>
              <w:jc w:val="right"/>
            </w:pPr>
            <w:r>
              <w:t xml:space="preserve">0.000</w:t>
            </w:r>
          </w:p>
        </w:tc>
        <w:tc>
          <w:tcPr/>
          <w:p>
            <w:pPr>
              <w:pStyle w:val="Compact"/>
              <w:jc w:val="right"/>
            </w:pPr>
            <w:r>
              <w:t xml:space="preserve">0.999</w:t>
            </w:r>
          </w:p>
        </w:tc>
      </w:tr>
      <w:tr>
        <w:tc>
          <w:tcPr/>
          <w:p>
            <w:pPr>
              <w:pStyle w:val="Compact"/>
            </w:pPr>
          </w:p>
        </w:tc>
        <w:tc>
          <w:tcPr/>
          <w:p>
            <w:pPr>
              <w:pStyle w:val="Compact"/>
              <w:jc w:val="left"/>
            </w:pPr>
            <w:r>
              <w:t xml:space="preserve">F1</w:t>
            </w:r>
          </w:p>
        </w:tc>
        <w:tc>
          <w:tcPr/>
          <w:p>
            <w:pPr>
              <w:pStyle w:val="Compact"/>
              <w:jc w:val="right"/>
            </w:pPr>
            <w:r>
              <w:t xml:space="preserve">−0.078</w:t>
            </w:r>
          </w:p>
        </w:tc>
        <w:tc>
          <w:tcPr/>
          <w:p>
            <w:pPr>
              <w:pStyle w:val="Compact"/>
              <w:jc w:val="right"/>
            </w:pPr>
            <w:r>
              <w:t xml:space="preserve">[−0.148, −0.008]</w:t>
            </w:r>
          </w:p>
        </w:tc>
        <w:tc>
          <w:tcPr/>
          <w:p>
            <w:pPr>
              <w:pStyle w:val="Compact"/>
              <w:jc w:val="right"/>
            </w:pPr>
            <w:r>
              <w:t xml:space="preserve">0.772</w:t>
            </w:r>
          </w:p>
        </w:tc>
        <w:tc>
          <w:tcPr/>
          <w:p>
            <w:pPr>
              <w:pStyle w:val="Compact"/>
              <w:jc w:val="right"/>
            </w:pPr>
            <w:r>
              <w:t xml:space="preserve">0.979</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[−0.077, 0.048]</w:t>
            </w:r>
          </w:p>
        </w:tc>
        <w:tc>
          <w:tcPr/>
          <w:p>
            <w:pPr>
              <w:pStyle w:val="Compact"/>
              <w:jc w:val="right"/>
            </w:pPr>
            <w:r>
              <w:t xml:space="preserve">1.000</w:t>
            </w:r>
          </w:p>
        </w:tc>
        <w:tc>
          <w:tcPr/>
          <w:p>
            <w:pPr>
              <w:pStyle w:val="Compact"/>
              <w:jc w:val="right"/>
            </w:pPr>
            <w:r>
              <w:t xml:space="preserve">0.692</w:t>
            </w:r>
          </w:p>
        </w:tc>
      </w:tr>
      <w:tr>
        <w:tc>
          <w:tcPr/>
          <w:p>
            <w:pPr>
              <w:pStyle w:val="Compact"/>
            </w:pPr>
          </w:p>
        </w:tc>
        <w:tc>
          <w:tcPr/>
          <w:p>
            <w:pPr>
              <w:pStyle w:val="Compact"/>
              <w:jc w:val="left"/>
            </w:pPr>
            <w:r>
              <w:t xml:space="preserve">Item rep.</w:t>
            </w:r>
          </w:p>
        </w:tc>
        <w:tc>
          <w:tcPr/>
          <w:p>
            <w:pPr>
              <w:pStyle w:val="Compact"/>
              <w:jc w:val="right"/>
            </w:pPr>
            <w:r>
              <w:t xml:space="preserve">−0.007</w:t>
            </w:r>
          </w:p>
        </w:tc>
        <w:tc>
          <w:tcPr/>
          <w:p>
            <w:pPr>
              <w:pStyle w:val="Compact"/>
              <w:jc w:val="right"/>
            </w:pPr>
            <w:r>
              <w:t xml:space="preserve">[−1.913, 2.065]</w:t>
            </w:r>
          </w:p>
        </w:tc>
        <w:tc>
          <w:tcPr/>
          <w:p>
            <w:pPr>
              <w:pStyle w:val="Compact"/>
              <w:jc w:val="right"/>
            </w:pPr>
            <w:r>
              <w:t xml:space="preserve">0.083</w:t>
            </w:r>
          </w:p>
        </w:tc>
        <w:tc>
          <w:tcPr/>
          <w:p>
            <w:pPr>
              <w:pStyle w:val="Compact"/>
              <w:jc w:val="right"/>
            </w:pPr>
            <w:r>
              <w:t xml:space="preserve">0.507</w:t>
            </w:r>
          </w:p>
        </w:tc>
      </w:tr>
      <w:tr>
        <w:tc>
          <w:tcPr/>
          <w:p>
            <w:pPr>
              <w:pStyle w:val="Compact"/>
            </w:pPr>
          </w:p>
        </w:tc>
        <w:tc>
          <w:tcPr/>
          <w:p>
            <w:pPr>
              <w:pStyle w:val="Compact"/>
              <w:jc w:val="left"/>
            </w:pPr>
            <w:r>
              <w:t xml:space="preserve">Language(Spanish):Place(bilabial)</w:t>
            </w:r>
          </w:p>
        </w:tc>
        <w:tc>
          <w:tcPr/>
          <w:p>
            <w:pPr>
              <w:pStyle w:val="Compact"/>
              <w:jc w:val="right"/>
            </w:pPr>
            <w:r>
              <w:t xml:space="preserve">0.087</w:t>
            </w:r>
          </w:p>
        </w:tc>
        <w:tc>
          <w:tcPr/>
          <w:p>
            <w:pPr>
              <w:pStyle w:val="Compact"/>
              <w:jc w:val="right"/>
            </w:pPr>
            <w:r>
              <w:t xml:space="preserve">[−0.363, 0.556]</w:t>
            </w:r>
          </w:p>
        </w:tc>
        <w:tc>
          <w:tcPr/>
          <w:p>
            <w:pPr>
              <w:pStyle w:val="Compact"/>
              <w:jc w:val="right"/>
            </w:pPr>
            <w:r>
              <w:t xml:space="preserve">0.335</w:t>
            </w:r>
          </w:p>
        </w:tc>
        <w:tc>
          <w:tcPr/>
          <w:p>
            <w:pPr>
              <w:pStyle w:val="Compact"/>
              <w:jc w:val="right"/>
            </w:pPr>
            <w:r>
              <w:t xml:space="preserve">0.658</w:t>
            </w:r>
          </w:p>
        </w:tc>
      </w:tr>
      <w:tr>
        <w:tc>
          <w:tcPr/>
          <w:p>
            <w:pPr>
              <w:pStyle w:val="Compact"/>
            </w:pPr>
          </w:p>
        </w:tc>
        <w:tc>
          <w:tcPr/>
          <w:p>
            <w:pPr>
              <w:pStyle w:val="Compact"/>
              <w:jc w:val="left"/>
            </w:pPr>
            <w:r>
              <w:t xml:space="preserve">Language(Spanish):Place(velar)</w:t>
            </w:r>
          </w:p>
        </w:tc>
        <w:tc>
          <w:tcPr/>
          <w:p>
            <w:pPr>
              <w:pStyle w:val="Compact"/>
              <w:jc w:val="right"/>
            </w:pPr>
            <w:r>
              <w:t xml:space="preserve">0.288</w:t>
            </w:r>
          </w:p>
        </w:tc>
        <w:tc>
          <w:tcPr/>
          <w:p>
            <w:pPr>
              <w:pStyle w:val="Compact"/>
              <w:jc w:val="right"/>
            </w:pPr>
            <w:r>
              <w:t xml:space="preserve">[−0.232, 0.739]</w:t>
            </w:r>
          </w:p>
        </w:tc>
        <w:tc>
          <w:tcPr/>
          <w:p>
            <w:pPr>
              <w:pStyle w:val="Compact"/>
              <w:jc w:val="right"/>
            </w:pPr>
            <w:r>
              <w:t xml:space="preserve">0.161</w:t>
            </w:r>
          </w:p>
        </w:tc>
        <w:tc>
          <w:tcPr/>
          <w:p>
            <w:pPr>
              <w:pStyle w:val="Compact"/>
              <w:jc w:val="right"/>
            </w:pPr>
            <w:r>
              <w:t xml:space="preserve">0.888</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1.228</w:t>
            </w:r>
          </w:p>
        </w:tc>
        <w:tc>
          <w:tcPr/>
          <w:p>
            <w:pPr>
              <w:pStyle w:val="Compact"/>
              <w:jc w:val="right"/>
            </w:pPr>
            <w:r>
              <w:t xml:space="preserve">[−0.856, 3.128]</w:t>
            </w:r>
          </w:p>
        </w:tc>
        <w:tc>
          <w:tcPr/>
          <w:p>
            <w:pPr>
              <w:pStyle w:val="Compact"/>
              <w:jc w:val="right"/>
            </w:pPr>
            <w:r>
              <w:t xml:space="preserve">0.037</w:t>
            </w:r>
          </w:p>
        </w:tc>
        <w:tc>
          <w:tcPr/>
          <w:p>
            <w:pPr>
              <w:pStyle w:val="Compact"/>
              <w:jc w:val="right"/>
            </w:pPr>
            <w:r>
              <w:t xml:space="preserve">0.881</w:t>
            </w:r>
          </w:p>
        </w:tc>
      </w:tr>
      <w:tr>
        <w:tc>
          <w:tcPr/>
          <w:p>
            <w:pPr>
              <w:pStyle w:val="Compact"/>
            </w:pPr>
          </w:p>
        </w:tc>
        <w:tc>
          <w:tcPr/>
          <w:p>
            <w:pPr>
              <w:pStyle w:val="Compact"/>
              <w:jc w:val="left"/>
            </w:pPr>
            <w:r>
              <w:t xml:space="preserve">Language</w:t>
            </w:r>
          </w:p>
        </w:tc>
        <w:tc>
          <w:tcPr/>
          <w:p>
            <w:pPr>
              <w:pStyle w:val="Compact"/>
              <w:jc w:val="right"/>
            </w:pPr>
            <w:r>
              <w:t xml:space="preserve">−1.169</w:t>
            </w:r>
          </w:p>
        </w:tc>
        <w:tc>
          <w:tcPr/>
          <w:p>
            <w:pPr>
              <w:pStyle w:val="Compact"/>
              <w:jc w:val="right"/>
            </w:pPr>
            <w:r>
              <w:t xml:space="preserve">[−1.448, −0.871]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Bilabial</w:t>
            </w:r>
          </w:p>
        </w:tc>
        <w:tc>
          <w:tcPr/>
          <w:p>
            <w:pPr>
              <w:pStyle w:val="Compact"/>
              <w:jc w:val="right"/>
            </w:pPr>
            <w:r>
              <w:t xml:space="preserve">−1.919</w:t>
            </w:r>
          </w:p>
        </w:tc>
        <w:tc>
          <w:tcPr/>
          <w:p>
            <w:pPr>
              <w:pStyle w:val="Compact"/>
              <w:jc w:val="right"/>
            </w:pPr>
            <w:r>
              <w:t xml:space="preserve">[−2.199, −1.645]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Velar</w:t>
            </w:r>
          </w:p>
        </w:tc>
        <w:tc>
          <w:tcPr/>
          <w:p>
            <w:pPr>
              <w:pStyle w:val="Compact"/>
              <w:jc w:val="right"/>
            </w:pPr>
            <w:r>
              <w:t xml:space="preserve">−0.571</w:t>
            </w:r>
          </w:p>
        </w:tc>
        <w:tc>
          <w:tcPr/>
          <w:p>
            <w:pPr>
              <w:pStyle w:val="Compact"/>
              <w:jc w:val="right"/>
            </w:pPr>
            <w:r>
              <w:t xml:space="preserve">[−0.910, −0.212]</w:t>
            </w:r>
          </w:p>
        </w:tc>
        <w:tc>
          <w:tcPr/>
          <w:p>
            <w:pPr>
              <w:pStyle w:val="Compact"/>
              <w:jc w:val="right"/>
            </w:pPr>
            <w:r>
              <w:t xml:space="preserve">0.000</w:t>
            </w:r>
          </w:p>
        </w:tc>
        <w:tc>
          <w:tcPr/>
          <w:p>
            <w:pPr>
              <w:pStyle w:val="Compact"/>
              <w:jc w:val="right"/>
            </w:pPr>
            <w:r>
              <w:t xml:space="preserve">0.997</w:t>
            </w:r>
          </w:p>
        </w:tc>
      </w:tr>
      <w:tr>
        <w:tc>
          <w:tcPr/>
          <w:p>
            <w:pPr>
              <w:pStyle w:val="Compact"/>
            </w:pPr>
          </w:p>
        </w:tc>
        <w:tc>
          <w:tcPr/>
          <w:p>
            <w:pPr>
              <w:pStyle w:val="Compact"/>
              <w:jc w:val="left"/>
            </w:pPr>
            <w:r>
              <w:t xml:space="preserve">F1</w:t>
            </w:r>
          </w:p>
        </w:tc>
        <w:tc>
          <w:tcPr/>
          <w:p>
            <w:pPr>
              <w:pStyle w:val="Compact"/>
              <w:jc w:val="right"/>
            </w:pPr>
            <w:r>
              <w:t xml:space="preserve">−0.006</w:t>
            </w:r>
          </w:p>
        </w:tc>
        <w:tc>
          <w:tcPr/>
          <w:p>
            <w:pPr>
              <w:pStyle w:val="Compact"/>
              <w:jc w:val="right"/>
            </w:pPr>
            <w:r>
              <w:t xml:space="preserve">[−0.071, 0.055]</w:t>
            </w:r>
          </w:p>
        </w:tc>
        <w:tc>
          <w:tcPr/>
          <w:p>
            <w:pPr>
              <w:pStyle w:val="Compact"/>
              <w:jc w:val="right"/>
            </w:pPr>
            <w:r>
              <w:t xml:space="preserve">1.000</w:t>
            </w:r>
          </w:p>
        </w:tc>
        <w:tc>
          <w:tcPr/>
          <w:p>
            <w:pPr>
              <w:pStyle w:val="Compact"/>
              <w:jc w:val="right"/>
            </w:pPr>
            <w:r>
              <w:t xml:space="preserve">0.572</w:t>
            </w:r>
          </w:p>
        </w:tc>
      </w:tr>
      <w:tr>
        <w:tc>
          <w:tcPr/>
          <w:p>
            <w:pPr>
              <w:pStyle w:val="Compact"/>
            </w:pPr>
          </w:p>
        </w:tc>
        <w:tc>
          <w:tcPr/>
          <w:p>
            <w:pPr>
              <w:pStyle w:val="Compact"/>
              <w:jc w:val="left"/>
            </w:pPr>
            <w:r>
              <w:t xml:space="preserve">F2</w:t>
            </w:r>
          </w:p>
        </w:tc>
        <w:tc>
          <w:tcPr/>
          <w:p>
            <w:pPr>
              <w:pStyle w:val="Compact"/>
              <w:jc w:val="right"/>
            </w:pPr>
            <w:r>
              <w:t xml:space="preserve">0.025</w:t>
            </w:r>
          </w:p>
        </w:tc>
        <w:tc>
          <w:tcPr/>
          <w:p>
            <w:pPr>
              <w:pStyle w:val="Compact"/>
              <w:jc w:val="right"/>
            </w:pPr>
            <w:r>
              <w:t xml:space="preserve">[−0.022, 0.076]</w:t>
            </w:r>
          </w:p>
        </w:tc>
        <w:tc>
          <w:tcPr/>
          <w:p>
            <w:pPr>
              <w:pStyle w:val="Compact"/>
              <w:jc w:val="right"/>
            </w:pPr>
            <w:r>
              <w:t xml:space="preserve">1.000</w:t>
            </w:r>
          </w:p>
        </w:tc>
        <w:tc>
          <w:tcPr/>
          <w:p>
            <w:pPr>
              <w:pStyle w:val="Compact"/>
              <w:jc w:val="right"/>
            </w:pPr>
            <w:r>
              <w:t xml:space="preserve">0.853</w:t>
            </w:r>
          </w:p>
        </w:tc>
      </w:tr>
      <w:tr>
        <w:tc>
          <w:tcPr/>
          <w:p>
            <w:pPr>
              <w:pStyle w:val="Compact"/>
            </w:pPr>
          </w:p>
        </w:tc>
        <w:tc>
          <w:tcPr/>
          <w:p>
            <w:pPr>
              <w:pStyle w:val="Compact"/>
              <w:jc w:val="left"/>
            </w:pPr>
            <w:r>
              <w:t xml:space="preserve">Item rep.</w:t>
            </w:r>
          </w:p>
        </w:tc>
        <w:tc>
          <w:tcPr/>
          <w:p>
            <w:pPr>
              <w:pStyle w:val="Compact"/>
              <w:jc w:val="right"/>
            </w:pPr>
            <w:r>
              <w:t xml:space="preserve">−0.024</w:t>
            </w:r>
          </w:p>
        </w:tc>
        <w:tc>
          <w:tcPr/>
          <w:p>
            <w:pPr>
              <w:pStyle w:val="Compact"/>
              <w:jc w:val="right"/>
            </w:pPr>
            <w:r>
              <w:t xml:space="preserve">[−2.003, 1.928]</w:t>
            </w:r>
          </w:p>
        </w:tc>
        <w:tc>
          <w:tcPr/>
          <w:p>
            <w:pPr>
              <w:pStyle w:val="Compact"/>
              <w:jc w:val="right"/>
            </w:pPr>
            <w:r>
              <w:t xml:space="preserve">0.086</w:t>
            </w:r>
          </w:p>
        </w:tc>
        <w:tc>
          <w:tcPr/>
          <w:p>
            <w:pPr>
              <w:pStyle w:val="Compact"/>
              <w:jc w:val="right"/>
            </w:pPr>
            <w:r>
              <w:t xml:space="preserve">0.512</w:t>
            </w:r>
          </w:p>
        </w:tc>
      </w:tr>
      <w:tr>
        <w:tc>
          <w:tcPr/>
          <w:p>
            <w:pPr>
              <w:pStyle w:val="Compact"/>
            </w:pPr>
          </w:p>
        </w:tc>
        <w:tc>
          <w:tcPr/>
          <w:p>
            <w:pPr>
              <w:pStyle w:val="Compact"/>
              <w:jc w:val="left"/>
            </w:pPr>
            <w:r>
              <w:t xml:space="preserve">Language(Spanish):Place(bilabial)</w:t>
            </w:r>
          </w:p>
        </w:tc>
        <w:tc>
          <w:tcPr/>
          <w:p>
            <w:pPr>
              <w:pStyle w:val="Compact"/>
              <w:jc w:val="right"/>
            </w:pPr>
            <w:r>
              <w:t xml:space="preserve">1.130</w:t>
            </w:r>
          </w:p>
        </w:tc>
        <w:tc>
          <w:tcPr/>
          <w:p>
            <w:pPr>
              <w:pStyle w:val="Compact"/>
              <w:jc w:val="right"/>
            </w:pPr>
            <w:r>
              <w:t xml:space="preserve">[0.862, 1.381]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Language(Spanish):Place(velar)</w:t>
            </w:r>
          </w:p>
        </w:tc>
        <w:tc>
          <w:tcPr/>
          <w:p>
            <w:pPr>
              <w:pStyle w:val="Compact"/>
              <w:jc w:val="right"/>
            </w:pPr>
            <w:r>
              <w:t xml:space="preserve">0.273</w:t>
            </w:r>
          </w:p>
        </w:tc>
        <w:tc>
          <w:tcPr/>
          <w:p>
            <w:pPr>
              <w:pStyle w:val="Compact"/>
              <w:jc w:val="right"/>
            </w:pPr>
            <w:r>
              <w:t xml:space="preserve">[−0.131, 0.660]</w:t>
            </w:r>
          </w:p>
        </w:tc>
        <w:tc>
          <w:tcPr/>
          <w:p>
            <w:pPr>
              <w:pStyle w:val="Compact"/>
              <w:jc w:val="right"/>
            </w:pPr>
            <w:r>
              <w:t xml:space="preserve">0.165</w:t>
            </w:r>
          </w:p>
        </w:tc>
        <w:tc>
          <w:tcPr/>
          <w:p>
            <w:pPr>
              <w:pStyle w:val="Compact"/>
              <w:jc w:val="right"/>
            </w:pPr>
            <w:r>
              <w:t xml:space="preserve">0.907</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−0.986</w:t>
            </w:r>
          </w:p>
        </w:tc>
        <w:tc>
          <w:tcPr/>
          <w:p>
            <w:pPr>
              <w:pStyle w:val="Compact"/>
              <w:jc w:val="right"/>
            </w:pPr>
            <w:r>
              <w:t xml:space="preserve">[−2.862, 1.002]</w:t>
            </w:r>
          </w:p>
        </w:tc>
        <w:tc>
          <w:tcPr/>
          <w:p>
            <w:pPr>
              <w:pStyle w:val="Compact"/>
              <w:jc w:val="right"/>
            </w:pPr>
            <w:r>
              <w:t xml:space="preserve">0.050</w:t>
            </w:r>
          </w:p>
        </w:tc>
        <w:tc>
          <w:tcPr/>
          <w:p>
            <w:pPr>
              <w:pStyle w:val="Compact"/>
              <w:jc w:val="right"/>
            </w:pPr>
            <w:r>
              <w:t xml:space="preserve">0.837</w:t>
            </w:r>
          </w:p>
        </w:tc>
      </w:tr>
      <w:tr>
        <w:tc>
          <w:tcPr/>
          <w:p>
            <w:pPr>
              <w:pStyle w:val="Compact"/>
            </w:pPr>
          </w:p>
        </w:tc>
        <w:tc>
          <w:tcPr/>
          <w:p>
            <w:pPr>
              <w:pStyle w:val="Compact"/>
              <w:jc w:val="left"/>
            </w:pPr>
            <w:r>
              <w:t xml:space="preserve">Language</w:t>
            </w:r>
          </w:p>
        </w:tc>
        <w:tc>
          <w:tcPr/>
          <w:p>
            <w:pPr>
              <w:pStyle w:val="Compact"/>
              <w:jc w:val="right"/>
            </w:pPr>
            <w:r>
              <w:t xml:space="preserve">1.028</w:t>
            </w:r>
          </w:p>
        </w:tc>
        <w:tc>
          <w:tcPr/>
          <w:p>
            <w:pPr>
              <w:pStyle w:val="Compact"/>
              <w:jc w:val="right"/>
            </w:pPr>
            <w:r>
              <w:t xml:space="preserve">[0.791, 1.259]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Bilabial</w:t>
            </w:r>
          </w:p>
        </w:tc>
        <w:tc>
          <w:tcPr/>
          <w:p>
            <w:pPr>
              <w:pStyle w:val="Compact"/>
              <w:jc w:val="right"/>
            </w:pPr>
            <w:r>
              <w:t xml:space="preserve">1.775</w:t>
            </w:r>
          </w:p>
        </w:tc>
        <w:tc>
          <w:tcPr/>
          <w:p>
            <w:pPr>
              <w:pStyle w:val="Compact"/>
              <w:jc w:val="right"/>
            </w:pPr>
            <w:r>
              <w:t xml:space="preserve">[1.419, 2.120]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Velar</w:t>
            </w:r>
          </w:p>
        </w:tc>
        <w:tc>
          <w:tcPr/>
          <w:p>
            <w:pPr>
              <w:pStyle w:val="Compact"/>
              <w:jc w:val="right"/>
            </w:pPr>
            <w:r>
              <w:t xml:space="preserve">0.342</w:t>
            </w:r>
          </w:p>
        </w:tc>
        <w:tc>
          <w:tcPr/>
          <w:p>
            <w:pPr>
              <w:pStyle w:val="Compact"/>
              <w:jc w:val="right"/>
            </w:pPr>
            <w:r>
              <w:t xml:space="preserve">[0.136, 0.562]</w:t>
            </w:r>
          </w:p>
        </w:tc>
        <w:tc>
          <w:tcPr/>
          <w:p>
            <w:pPr>
              <w:pStyle w:val="Compact"/>
              <w:jc w:val="right"/>
            </w:pPr>
            <w:r>
              <w:t xml:space="preserve">0.000</w:t>
            </w:r>
          </w:p>
        </w:tc>
        <w:tc>
          <w:tcPr/>
          <w:p>
            <w:pPr>
              <w:pStyle w:val="Compact"/>
              <w:jc w:val="right"/>
            </w:pPr>
            <w:r>
              <w:t xml:space="preserve">0.998</w:t>
            </w:r>
          </w:p>
        </w:tc>
      </w:tr>
      <w:tr>
        <w:tc>
          <w:tcPr/>
          <w:p>
            <w:pPr>
              <w:pStyle w:val="Compact"/>
            </w:pPr>
          </w:p>
        </w:tc>
        <w:tc>
          <w:tcPr/>
          <w:p>
            <w:pPr>
              <w:pStyle w:val="Compact"/>
              <w:jc w:val="left"/>
            </w:pPr>
            <w:r>
              <w:t xml:space="preserve">F1</w:t>
            </w:r>
          </w:p>
        </w:tc>
        <w:tc>
          <w:tcPr/>
          <w:p>
            <w:pPr>
              <w:pStyle w:val="Compact"/>
              <w:jc w:val="right"/>
            </w:pPr>
            <w:r>
              <w:t xml:space="preserve">0.021</w:t>
            </w:r>
          </w:p>
        </w:tc>
        <w:tc>
          <w:tcPr/>
          <w:p>
            <w:pPr>
              <w:pStyle w:val="Compact"/>
              <w:jc w:val="right"/>
            </w:pPr>
            <w:r>
              <w:t xml:space="preserve">[−0.025, 0.066]</w:t>
            </w:r>
          </w:p>
        </w:tc>
        <w:tc>
          <w:tcPr/>
          <w:p>
            <w:pPr>
              <w:pStyle w:val="Compact"/>
              <w:jc w:val="right"/>
            </w:pPr>
            <w:r>
              <w:t xml:space="preserve">1.000</w:t>
            </w:r>
          </w:p>
        </w:tc>
        <w:tc>
          <w:tcPr/>
          <w:p>
            <w:pPr>
              <w:pStyle w:val="Compact"/>
              <w:jc w:val="right"/>
            </w:pPr>
            <w:r>
              <w:t xml:space="preserve">0.812</w:t>
            </w:r>
          </w:p>
        </w:tc>
      </w:tr>
      <w:tr>
        <w:tc>
          <w:tcPr/>
          <w:p>
            <w:pPr>
              <w:pStyle w:val="Compact"/>
            </w:pPr>
          </w:p>
        </w:tc>
        <w:tc>
          <w:tcPr/>
          <w:p>
            <w:pPr>
              <w:pStyle w:val="Compact"/>
              <w:jc w:val="left"/>
            </w:pPr>
            <w:r>
              <w:t xml:space="preserve">F2</w:t>
            </w:r>
          </w:p>
        </w:tc>
        <w:tc>
          <w:tcPr/>
          <w:p>
            <w:pPr>
              <w:pStyle w:val="Compact"/>
              <w:jc w:val="right"/>
            </w:pPr>
            <w:r>
              <w:t xml:space="preserve">−0.047</w:t>
            </w:r>
          </w:p>
        </w:tc>
        <w:tc>
          <w:tcPr/>
          <w:p>
            <w:pPr>
              <w:pStyle w:val="Compact"/>
              <w:jc w:val="right"/>
            </w:pPr>
            <w:r>
              <w:t xml:space="preserve">[−0.094, 0.004]</w:t>
            </w:r>
          </w:p>
        </w:tc>
        <w:tc>
          <w:tcPr/>
          <w:p>
            <w:pPr>
              <w:pStyle w:val="Compact"/>
              <w:jc w:val="right"/>
            </w:pPr>
            <w:r>
              <w:t xml:space="preserve">1.000</w:t>
            </w:r>
          </w:p>
        </w:tc>
        <w:tc>
          <w:tcPr/>
          <w:p>
            <w:pPr>
              <w:pStyle w:val="Compact"/>
              <w:jc w:val="right"/>
            </w:pPr>
            <w:r>
              <w:t xml:space="preserve">0.968</w:t>
            </w:r>
          </w:p>
        </w:tc>
      </w:tr>
      <w:tr>
        <w:tc>
          <w:tcPr/>
          <w:p>
            <w:pPr>
              <w:pStyle w:val="Compact"/>
            </w:pPr>
          </w:p>
        </w:tc>
        <w:tc>
          <w:tcPr/>
          <w:p>
            <w:pPr>
              <w:pStyle w:val="Compact"/>
              <w:jc w:val="left"/>
            </w:pPr>
            <w:r>
              <w:t xml:space="preserve">Item rep.</w:t>
            </w:r>
          </w:p>
        </w:tc>
        <w:tc>
          <w:tcPr/>
          <w:p>
            <w:pPr>
              <w:pStyle w:val="Compact"/>
              <w:jc w:val="right"/>
            </w:pPr>
            <w:r>
              <w:t xml:space="preserve">0.011</w:t>
            </w:r>
          </w:p>
        </w:tc>
        <w:tc>
          <w:tcPr/>
          <w:p>
            <w:pPr>
              <w:pStyle w:val="Compact"/>
              <w:jc w:val="right"/>
            </w:pPr>
            <w:r>
              <w:t xml:space="preserve">[−1.908, 1.936]</w:t>
            </w:r>
          </w:p>
        </w:tc>
        <w:tc>
          <w:tcPr/>
          <w:p>
            <w:pPr>
              <w:pStyle w:val="Compact"/>
              <w:jc w:val="right"/>
            </w:pPr>
            <w:r>
              <w:t xml:space="preserve">0.084</w:t>
            </w:r>
          </w:p>
        </w:tc>
        <w:tc>
          <w:tcPr/>
          <w:p>
            <w:pPr>
              <w:pStyle w:val="Compact"/>
              <w:jc w:val="right"/>
            </w:pPr>
            <w:r>
              <w:t xml:space="preserve">0.512</w:t>
            </w:r>
          </w:p>
        </w:tc>
      </w:tr>
      <w:tr>
        <w:tc>
          <w:tcPr/>
          <w:p>
            <w:pPr>
              <w:pStyle w:val="Compact"/>
            </w:pPr>
          </w:p>
        </w:tc>
        <w:tc>
          <w:tcPr/>
          <w:p>
            <w:pPr>
              <w:pStyle w:val="Compact"/>
              <w:jc w:val="left"/>
            </w:pPr>
            <w:r>
              <w:t xml:space="preserve">Language(Spanish):Place(bilabial)</w:t>
            </w:r>
          </w:p>
        </w:tc>
        <w:tc>
          <w:tcPr/>
          <w:p>
            <w:pPr>
              <w:pStyle w:val="Compact"/>
              <w:jc w:val="right"/>
            </w:pPr>
            <w:r>
              <w:t xml:space="preserve">−0.997</w:t>
            </w:r>
          </w:p>
        </w:tc>
        <w:tc>
          <w:tcPr/>
          <w:p>
            <w:pPr>
              <w:pStyle w:val="Compact"/>
              <w:jc w:val="right"/>
            </w:pPr>
            <w:r>
              <w:t xml:space="preserve">[−1.239, −0.761]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Language(Spanish):Place(velar)</w:t>
            </w:r>
          </w:p>
        </w:tc>
        <w:tc>
          <w:tcPr/>
          <w:p>
            <w:pPr>
              <w:pStyle w:val="Compact"/>
              <w:jc w:val="right"/>
            </w:pPr>
            <w:r>
              <w:t xml:space="preserve">−0.552</w:t>
            </w:r>
          </w:p>
        </w:tc>
        <w:tc>
          <w:tcPr/>
          <w:p>
            <w:pPr>
              <w:pStyle w:val="Compact"/>
              <w:jc w:val="right"/>
            </w:pPr>
            <w:r>
              <w:t xml:space="preserve">[−0.790, −0.346]</w:t>
            </w:r>
          </w:p>
        </w:tc>
        <w:tc>
          <w:tcPr/>
          <w:p>
            <w:pPr>
              <w:pStyle w:val="Compact"/>
              <w:jc w:val="right"/>
            </w:pPr>
            <w:r>
              <w:t xml:space="preserve">0.000</w:t>
            </w:r>
          </w:p>
        </w:tc>
        <w:tc>
          <w:tcPr/>
          <w:p>
            <w:pPr>
              <w:pStyle w:val="Compact"/>
              <w:jc w:val="right"/>
            </w:pPr>
            <w:r>
              <w:t xml:space="preserve">1.000</w:t>
            </w:r>
          </w:p>
        </w:tc>
      </w:tr>
    </w:tbl>
    <w:bookmarkEnd w:id="130"/>
    <w:p>
      <w:pPr>
        <w:pStyle w:val="BodyText"/>
      </w:pPr>
    </w:p>
    <w:p>
      <w:pPr>
        <w:pStyle w:val="BodyText"/>
      </w:pPr>
      <w:hyperlink w:anchor="tbl-poa-post-hoc-all">
        <w:r>
          <w:rPr>
            <w:rStyle w:val="Hyperlink"/>
          </w:rPr>
          <w:t xml:space="preserve">Table 9</w:t>
        </w:r>
      </w:hyperlink>
      <w:r>
        <w:t xml:space="preserve"> </w:t>
      </w:r>
      <w:r>
        <w:t xml:space="preserve">presents the post-hoc analyses of between-language place comparisons, that is, bilabials vs. coronals.</w:t>
      </w:r>
      <w:r>
        <w:t xml:space="preserve"> </w:t>
      </w:r>
      <w:r>
        <w:t xml:space="preserve">This table presents the same information available in the forest plot in</w:t>
      </w:r>
      <w:r>
        <w:t xml:space="preserve"> </w:t>
      </w:r>
      <w:hyperlink w:anchor="fig-poa-post-hoc-all">
        <w:r>
          <w:rPr>
            <w:rStyle w:val="Hyperlink"/>
          </w:rPr>
          <w:t xml:space="preserve">Figure 8</w:t>
        </w:r>
      </w:hyperlink>
      <w:r>
        <w:t xml:space="preserve">.</w:t>
      </w:r>
    </w:p>
    <w:bookmarkStart w:id="131" w:name="tbl-poa-post-hoc-all"/>
    <w:p>
      <w:pPr>
        <w:pStyle w:val="TableCaption"/>
      </w:pPr>
      <w:r>
        <w:t xml:space="preserve">Table 9: Post-hoc within-language comparisons for bilabial, coronal and velar voiceless stops. Each estimate represents the posterior mean difference and 95% HDI of the posterior of the Spanish values subtracted from the posterior of the English values.</w:t>
      </w:r>
    </w:p>
    <w:tbl>
      <w:tblPr>
        <w:tblStyle w:val="Table"/>
        <w:tblW w:type="pct" w:w="5000"/>
        <w:tblLook w:firstRow="1" w:lastRow="0" w:firstColumn="0" w:lastColumn="0" w:noHBand="0" w:noVBand="0" w:val="0020"/>
        <w:tblCaption w:val="Table 9: Post-hoc within-language comparisons for bilabial, coronal and velar voiceless stops. Each estimate represents the posterior mean difference and 95% HDI of the posterior of the Spanish values subtracted from the posterior of the English values."/>
      </w:tblPr>
      <w:tblGrid>
        <w:gridCol w:w="1018"/>
        <w:gridCol w:w="792"/>
        <w:gridCol w:w="1470"/>
        <w:gridCol w:w="3281"/>
        <w:gridCol w:w="678"/>
        <w:gridCol w:w="678"/>
      </w:tblGrid>
      <w:tr>
        <w:trPr>
          <w:tblHeader w:val="true"/>
        </w:trPr>
        <w:tc>
          <w:tcPr/>
          <w:p>
            <w:pPr>
              <w:pStyle w:val="Compact"/>
              <w:jc w:val="left"/>
            </w:pPr>
            <w:r>
              <w:t xml:space="preserve">Place</w:t>
            </w:r>
          </w:p>
        </w:tc>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Bilabial</w:t>
            </w:r>
          </w:p>
        </w:tc>
        <w:tc>
          <w:tcPr/>
          <w:p>
            <w:pPr>
              <w:pStyle w:val="Compact"/>
              <w:jc w:val="left"/>
            </w:pPr>
            <w:r>
              <w:t xml:space="preserve">VOT</w:t>
            </w:r>
          </w:p>
        </w:tc>
        <w:tc>
          <w:tcPr/>
          <w:p>
            <w:pPr>
              <w:pStyle w:val="Compact"/>
              <w:jc w:val="right"/>
            </w:pPr>
            <w:r>
              <w:t xml:space="preserve">1.699</w:t>
            </w:r>
          </w:p>
        </w:tc>
        <w:tc>
          <w:tcPr/>
          <w:p>
            <w:pPr>
              <w:pStyle w:val="Compact"/>
              <w:jc w:val="right"/>
            </w:pPr>
            <w:r>
              <w:t xml:space="preserve">[1.452, 1.954]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COG</w:t>
            </w:r>
          </w:p>
        </w:tc>
        <w:tc>
          <w:tcPr/>
          <w:p>
            <w:pPr>
              <w:pStyle w:val="Compact"/>
              <w:jc w:val="right"/>
            </w:pPr>
            <w:r>
              <w:t xml:space="preserve">−0.026</w:t>
            </w:r>
          </w:p>
        </w:tc>
        <w:tc>
          <w:tcPr/>
          <w:p>
            <w:pPr>
              <w:pStyle w:val="Compact"/>
              <w:jc w:val="right"/>
            </w:pPr>
            <w:r>
              <w:t xml:space="preserve">[−0.398, 0.302]</w:t>
            </w:r>
          </w:p>
        </w:tc>
        <w:tc>
          <w:tcPr/>
          <w:p>
            <w:pPr>
              <w:pStyle w:val="Compact"/>
              <w:jc w:val="right"/>
            </w:pPr>
            <w:r>
              <w:t xml:space="preserve">0.489</w:t>
            </w:r>
          </w:p>
        </w:tc>
        <w:tc>
          <w:tcPr/>
          <w:p>
            <w:pPr>
              <w:pStyle w:val="Compact"/>
              <w:jc w:val="right"/>
            </w:pPr>
            <w:r>
              <w:t xml:space="preserve">0.567</w:t>
            </w:r>
          </w:p>
        </w:tc>
      </w:tr>
      <w:tr>
        <w:tc>
          <w:tcPr/>
          <w:p>
            <w:pPr>
              <w:pStyle w:val="Compact"/>
            </w:pPr>
          </w:p>
        </w:tc>
        <w:tc>
          <w:tcPr/>
          <w:p>
            <w:pPr>
              <w:pStyle w:val="Compact"/>
              <w:jc w:val="left"/>
            </w:pPr>
            <w:r>
              <w:t xml:space="preserve">RI</w:t>
            </w:r>
          </w:p>
        </w:tc>
        <w:tc>
          <w:tcPr/>
          <w:p>
            <w:pPr>
              <w:pStyle w:val="Compact"/>
              <w:jc w:val="right"/>
            </w:pPr>
            <w:r>
              <w:t xml:space="preserve">0.295</w:t>
            </w:r>
          </w:p>
        </w:tc>
        <w:tc>
          <w:tcPr/>
          <w:p>
            <w:pPr>
              <w:pStyle w:val="Compact"/>
              <w:jc w:val="right"/>
            </w:pPr>
            <w:r>
              <w:t xml:space="preserve">[−0.255, 0.941]</w:t>
            </w:r>
          </w:p>
        </w:tc>
        <w:tc>
          <w:tcPr/>
          <w:p>
            <w:pPr>
              <w:pStyle w:val="Compact"/>
              <w:jc w:val="right"/>
            </w:pPr>
            <w:r>
              <w:t xml:space="preserve">0.170</w:t>
            </w:r>
          </w:p>
        </w:tc>
        <w:tc>
          <w:tcPr/>
          <w:p>
            <w:pPr>
              <w:pStyle w:val="Compact"/>
              <w:jc w:val="right"/>
            </w:pPr>
            <w:r>
              <w:t xml:space="preserve">0.847</w:t>
            </w:r>
          </w:p>
        </w:tc>
      </w:tr>
      <w:tr>
        <w:tc>
          <w:tcPr/>
          <w:p>
            <w:pPr>
              <w:pStyle w:val="Compact"/>
            </w:pPr>
          </w:p>
        </w:tc>
        <w:tc>
          <w:tcPr/>
          <w:p>
            <w:pPr>
              <w:pStyle w:val="Compact"/>
              <w:jc w:val="left"/>
            </w:pPr>
            <w:r>
              <w:t xml:space="preserve">SD</w:t>
            </w:r>
          </w:p>
        </w:tc>
        <w:tc>
          <w:tcPr/>
          <w:p>
            <w:pPr>
              <w:pStyle w:val="Compact"/>
              <w:jc w:val="right"/>
            </w:pPr>
            <w:r>
              <w:t xml:space="preserve">0.039</w:t>
            </w:r>
          </w:p>
        </w:tc>
        <w:tc>
          <w:tcPr/>
          <w:p>
            <w:pPr>
              <w:pStyle w:val="Compact"/>
              <w:jc w:val="right"/>
            </w:pPr>
            <w:r>
              <w:t xml:space="preserve">[−0.279, 0.363]</w:t>
            </w:r>
          </w:p>
        </w:tc>
        <w:tc>
          <w:tcPr/>
          <w:p>
            <w:pPr>
              <w:pStyle w:val="Compact"/>
              <w:jc w:val="right"/>
            </w:pPr>
            <w:r>
              <w:t xml:space="preserve">0.495</w:t>
            </w:r>
          </w:p>
        </w:tc>
        <w:tc>
          <w:tcPr/>
          <w:p>
            <w:pPr>
              <w:pStyle w:val="Compact"/>
              <w:jc w:val="right"/>
            </w:pPr>
            <w:r>
              <w:t xml:space="preserve">0.604</w:t>
            </w:r>
          </w:p>
        </w:tc>
      </w:tr>
      <w:tr>
        <w:tc>
          <w:tcPr/>
          <w:p>
            <w:pPr>
              <w:pStyle w:val="Compact"/>
            </w:pPr>
          </w:p>
        </w:tc>
        <w:tc>
          <w:tcPr/>
          <w:p>
            <w:pPr>
              <w:pStyle w:val="Compact"/>
              <w:jc w:val="left"/>
            </w:pPr>
            <w:r>
              <w:t xml:space="preserve">SK</w:t>
            </w:r>
          </w:p>
        </w:tc>
        <w:tc>
          <w:tcPr/>
          <w:p>
            <w:pPr>
              <w:pStyle w:val="Compact"/>
              <w:jc w:val="right"/>
            </w:pPr>
            <w:r>
              <w:t xml:space="preserve">−0.031</w:t>
            </w:r>
          </w:p>
        </w:tc>
        <w:tc>
          <w:tcPr/>
          <w:p>
            <w:pPr>
              <w:pStyle w:val="Compact"/>
              <w:jc w:val="right"/>
            </w:pPr>
            <w:r>
              <w:t xml:space="preserve">[−0.304, 0.23]</w:t>
            </w:r>
          </w:p>
        </w:tc>
        <w:tc>
          <w:tcPr/>
          <w:p>
            <w:pPr>
              <w:pStyle w:val="Compact"/>
              <w:jc w:val="right"/>
            </w:pPr>
            <w:r>
              <w:t xml:space="preserve">0.578</w:t>
            </w:r>
          </w:p>
        </w:tc>
        <w:tc>
          <w:tcPr/>
          <w:p>
            <w:pPr>
              <w:pStyle w:val="Compact"/>
              <w:jc w:val="right"/>
            </w:pPr>
            <w:r>
              <w:t xml:space="preserve">0.600</w:t>
            </w:r>
          </w:p>
        </w:tc>
      </w:tr>
      <w:tr>
        <w:tc>
          <w:tcPr/>
          <w:p>
            <w:pPr>
              <w:pStyle w:val="Compact"/>
            </w:pPr>
          </w:p>
        </w:tc>
        <w:tc>
          <w:tcPr/>
          <w:p>
            <w:pPr>
              <w:pStyle w:val="Compact"/>
              <w:jc w:val="left"/>
            </w:pPr>
            <w:r>
              <w:t xml:space="preserve">KT</w:t>
            </w:r>
          </w:p>
        </w:tc>
        <w:tc>
          <w:tcPr/>
          <w:p>
            <w:pPr>
              <w:pStyle w:val="Compact"/>
              <w:jc w:val="right"/>
            </w:pPr>
            <w:r>
              <w:t xml:space="preserve">−0.066</w:t>
            </w:r>
          </w:p>
        </w:tc>
        <w:tc>
          <w:tcPr/>
          <w:p>
            <w:pPr>
              <w:pStyle w:val="Compact"/>
              <w:jc w:val="right"/>
            </w:pPr>
            <w:r>
              <w:t xml:space="preserve">[−0.293, 0.143]</w:t>
            </w:r>
          </w:p>
        </w:tc>
        <w:tc>
          <w:tcPr/>
          <w:p>
            <w:pPr>
              <w:pStyle w:val="Compact"/>
              <w:jc w:val="right"/>
            </w:pPr>
            <w:r>
              <w:t xml:space="preserve">0.587</w:t>
            </w:r>
          </w:p>
        </w:tc>
        <w:tc>
          <w:tcPr/>
          <w:p>
            <w:pPr>
              <w:pStyle w:val="Compact"/>
              <w:jc w:val="right"/>
            </w:pPr>
            <w:r>
              <w:t xml:space="preserve">0.734</w:t>
            </w:r>
          </w:p>
        </w:tc>
      </w:tr>
      <w:tr>
        <w:tc>
          <w:tcPr/>
          <w:p>
            <w:pPr>
              <w:pStyle w:val="Compact"/>
              <w:jc w:val="left"/>
            </w:pPr>
            <w:r>
              <w:t xml:space="preserve">Coronal</w:t>
            </w:r>
          </w:p>
        </w:tc>
        <w:tc>
          <w:tcPr/>
          <w:p>
            <w:pPr>
              <w:pStyle w:val="Compact"/>
              <w:jc w:val="left"/>
            </w:pPr>
            <w:r>
              <w:t xml:space="preserve">VOT</w:t>
            </w:r>
          </w:p>
        </w:tc>
        <w:tc>
          <w:tcPr/>
          <w:p>
            <w:pPr>
              <w:pStyle w:val="Compact"/>
              <w:jc w:val="right"/>
            </w:pPr>
            <w:r>
              <w:t xml:space="preserve">1.971</w:t>
            </w:r>
          </w:p>
        </w:tc>
        <w:tc>
          <w:tcPr/>
          <w:p>
            <w:pPr>
              <w:pStyle w:val="Compact"/>
              <w:jc w:val="right"/>
            </w:pPr>
            <w:r>
              <w:t xml:space="preserve">[1.72, 2.203]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COG</w:t>
            </w:r>
          </w:p>
        </w:tc>
        <w:tc>
          <w:tcPr/>
          <w:p>
            <w:pPr>
              <w:pStyle w:val="Compact"/>
              <w:jc w:val="right"/>
            </w:pPr>
            <w:r>
              <w:t xml:space="preserve">1.137</w:t>
            </w:r>
          </w:p>
        </w:tc>
        <w:tc>
          <w:tcPr/>
          <w:p>
            <w:pPr>
              <w:pStyle w:val="Compact"/>
              <w:jc w:val="right"/>
            </w:pPr>
            <w:r>
              <w:t xml:space="preserve">[0.847, 1.396]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0.383</w:t>
            </w:r>
          </w:p>
        </w:tc>
        <w:tc>
          <w:tcPr/>
          <w:p>
            <w:pPr>
              <w:pStyle w:val="Compact"/>
              <w:jc w:val="right"/>
            </w:pPr>
            <w:r>
              <w:t xml:space="preserve">[−0.11, 0.828]</w:t>
            </w:r>
          </w:p>
        </w:tc>
        <w:tc>
          <w:tcPr/>
          <w:p>
            <w:pPr>
              <w:pStyle w:val="Compact"/>
              <w:jc w:val="right"/>
            </w:pPr>
            <w:r>
              <w:t xml:space="preserve">0.082</w:t>
            </w:r>
          </w:p>
        </w:tc>
        <w:tc>
          <w:tcPr/>
          <w:p>
            <w:pPr>
              <w:pStyle w:val="Compact"/>
              <w:jc w:val="right"/>
            </w:pPr>
            <w:r>
              <w:t xml:space="preserve">0.949</w:t>
            </w:r>
          </w:p>
        </w:tc>
      </w:tr>
      <w:tr>
        <w:tc>
          <w:tcPr/>
          <w:p>
            <w:pPr>
              <w:pStyle w:val="Compact"/>
            </w:pPr>
          </w:p>
        </w:tc>
        <w:tc>
          <w:tcPr/>
          <w:p>
            <w:pPr>
              <w:pStyle w:val="Compact"/>
              <w:jc w:val="left"/>
            </w:pPr>
            <w:r>
              <w:t xml:space="preserve">SD</w:t>
            </w:r>
          </w:p>
        </w:tc>
        <w:tc>
          <w:tcPr/>
          <w:p>
            <w:pPr>
              <w:pStyle w:val="Compact"/>
              <w:jc w:val="right"/>
            </w:pPr>
            <w:r>
              <w:t xml:space="preserve">1.168</w:t>
            </w:r>
          </w:p>
        </w:tc>
        <w:tc>
          <w:tcPr/>
          <w:p>
            <w:pPr>
              <w:pStyle w:val="Compact"/>
              <w:jc w:val="right"/>
            </w:pPr>
            <w:r>
              <w:t xml:space="preserve">[0.862, 1.438]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−1.027</w:t>
            </w:r>
          </w:p>
        </w:tc>
        <w:tc>
          <w:tcPr/>
          <w:p>
            <w:pPr>
              <w:pStyle w:val="Compact"/>
              <w:jc w:val="right"/>
            </w:pPr>
            <w:r>
              <w:t xml:space="preserve">[−1.263, −0.791]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−0.967</w:t>
            </w:r>
          </w:p>
        </w:tc>
        <w:tc>
          <w:tcPr/>
          <w:p>
            <w:pPr>
              <w:pStyle w:val="Compact"/>
              <w:jc w:val="right"/>
            </w:pPr>
            <w:r>
              <w:t xml:space="preserve">[−1.125, −0.808]</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Velar</w:t>
            </w:r>
          </w:p>
        </w:tc>
        <w:tc>
          <w:tcPr/>
          <w:p>
            <w:pPr>
              <w:pStyle w:val="Compact"/>
              <w:jc w:val="left"/>
            </w:pPr>
            <w:r>
              <w:t xml:space="preserve">VOT</w:t>
            </w:r>
          </w:p>
        </w:tc>
        <w:tc>
          <w:tcPr/>
          <w:p>
            <w:pPr>
              <w:pStyle w:val="Compact"/>
              <w:jc w:val="right"/>
            </w:pPr>
            <w:r>
              <w:t xml:space="preserve">1.605</w:t>
            </w:r>
          </w:p>
        </w:tc>
        <w:tc>
          <w:tcPr/>
          <w:p>
            <w:pPr>
              <w:pStyle w:val="Compact"/>
              <w:jc w:val="right"/>
            </w:pPr>
            <w:r>
              <w:t xml:space="preserve">[1.352, 1.841]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COG</w:t>
            </w:r>
          </w:p>
        </w:tc>
        <w:tc>
          <w:tcPr/>
          <w:p>
            <w:pPr>
              <w:pStyle w:val="Compact"/>
              <w:jc w:val="right"/>
            </w:pPr>
            <w:r>
              <w:t xml:space="preserve">0.293</w:t>
            </w:r>
          </w:p>
        </w:tc>
        <w:tc>
          <w:tcPr/>
          <w:p>
            <w:pPr>
              <w:pStyle w:val="Compact"/>
              <w:jc w:val="right"/>
            </w:pPr>
            <w:r>
              <w:t xml:space="preserve">[−0.058, 0.653]</w:t>
            </w:r>
          </w:p>
        </w:tc>
        <w:tc>
          <w:tcPr/>
          <w:p>
            <w:pPr>
              <w:pStyle w:val="Compact"/>
              <w:jc w:val="right"/>
            </w:pPr>
            <w:r>
              <w:t xml:space="preserve">0.111</w:t>
            </w:r>
          </w:p>
        </w:tc>
        <w:tc>
          <w:tcPr/>
          <w:p>
            <w:pPr>
              <w:pStyle w:val="Compact"/>
              <w:jc w:val="right"/>
            </w:pPr>
            <w:r>
              <w:t xml:space="preserve">0.954</w:t>
            </w:r>
          </w:p>
        </w:tc>
      </w:tr>
      <w:tr>
        <w:tc>
          <w:tcPr/>
          <w:p>
            <w:pPr>
              <w:pStyle w:val="Compact"/>
            </w:pPr>
          </w:p>
        </w:tc>
        <w:tc>
          <w:tcPr/>
          <w:p>
            <w:pPr>
              <w:pStyle w:val="Compact"/>
              <w:jc w:val="left"/>
            </w:pPr>
            <w:r>
              <w:t xml:space="preserve">RI</w:t>
            </w:r>
          </w:p>
        </w:tc>
        <w:tc>
          <w:tcPr/>
          <w:p>
            <w:pPr>
              <w:pStyle w:val="Compact"/>
              <w:jc w:val="right"/>
            </w:pPr>
            <w:r>
              <w:t xml:space="preserve">0.093</w:t>
            </w:r>
          </w:p>
        </w:tc>
        <w:tc>
          <w:tcPr/>
          <w:p>
            <w:pPr>
              <w:pStyle w:val="Compact"/>
              <w:jc w:val="right"/>
            </w:pPr>
            <w:r>
              <w:t xml:space="preserve">[−0.513, 0.718]</w:t>
            </w:r>
          </w:p>
        </w:tc>
        <w:tc>
          <w:tcPr/>
          <w:p>
            <w:pPr>
              <w:pStyle w:val="Compact"/>
              <w:jc w:val="right"/>
            </w:pPr>
            <w:r>
              <w:t xml:space="preserve">0.278</w:t>
            </w:r>
          </w:p>
        </w:tc>
        <w:tc>
          <w:tcPr/>
          <w:p>
            <w:pPr>
              <w:pStyle w:val="Compact"/>
              <w:jc w:val="right"/>
            </w:pPr>
            <w:r>
              <w:t xml:space="preserve">0.626</w:t>
            </w:r>
          </w:p>
        </w:tc>
      </w:tr>
      <w:tr>
        <w:tc>
          <w:tcPr/>
          <w:p>
            <w:pPr>
              <w:pStyle w:val="Compact"/>
            </w:pPr>
          </w:p>
        </w:tc>
        <w:tc>
          <w:tcPr/>
          <w:p>
            <w:pPr>
              <w:pStyle w:val="Compact"/>
              <w:jc w:val="left"/>
            </w:pPr>
            <w:r>
              <w:t xml:space="preserve">SD</w:t>
            </w:r>
          </w:p>
        </w:tc>
        <w:tc>
          <w:tcPr/>
          <w:p>
            <w:pPr>
              <w:pStyle w:val="Compact"/>
              <w:jc w:val="right"/>
            </w:pPr>
            <w:r>
              <w:t xml:space="preserve">0.897</w:t>
            </w:r>
          </w:p>
        </w:tc>
        <w:tc>
          <w:tcPr/>
          <w:p>
            <w:pPr>
              <w:pStyle w:val="Compact"/>
              <w:jc w:val="right"/>
            </w:pPr>
            <w:r>
              <w:t xml:space="preserve">[0.459, 1.331]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−0.476</w:t>
            </w:r>
          </w:p>
        </w:tc>
        <w:tc>
          <w:tcPr/>
          <w:p>
            <w:pPr>
              <w:pStyle w:val="Compact"/>
              <w:jc w:val="right"/>
            </w:pPr>
            <w:r>
              <w:t xml:space="preserve">[−0.704, −0.208]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−0.696</w:t>
            </w:r>
          </w:p>
        </w:tc>
        <w:tc>
          <w:tcPr/>
          <w:p>
            <w:pPr>
              <w:pStyle w:val="Compact"/>
              <w:jc w:val="right"/>
            </w:pPr>
            <w:r>
              <w:t xml:space="preserve">[−0.91, −0.497]</w:t>
            </w:r>
          </w:p>
        </w:tc>
        <w:tc>
          <w:tcPr/>
          <w:p>
            <w:pPr>
              <w:pStyle w:val="Compact"/>
              <w:jc w:val="right"/>
            </w:pPr>
            <w:r>
              <w:t xml:space="preserve">0.000</w:t>
            </w:r>
          </w:p>
        </w:tc>
        <w:tc>
          <w:tcPr/>
          <w:p>
            <w:pPr>
              <w:pStyle w:val="Compact"/>
              <w:jc w:val="right"/>
            </w:pPr>
            <w:r>
              <w:t xml:space="preserve">1.000</w:t>
            </w:r>
          </w:p>
        </w:tc>
      </w:tr>
    </w:tbl>
    <w:bookmarkEnd w:id="131"/>
    <w:p>
      <w:r>
        <w:br w:type="page"/>
      </w:r>
    </w:p>
    <w:bookmarkEnd w:id="132"/>
    <w:bookmarkStart w:id="135" w:name="sec-bda"/>
    <w:p>
      <w:pPr>
        <w:pStyle w:val="Heading2"/>
      </w:pPr>
      <w:r>
        <w:t xml:space="preserve">Appendix E: Bayesian data analysis</w:t>
      </w:r>
    </w:p>
    <w:p>
      <w:pPr>
        <w:pStyle w:val="FirstParagraph"/>
      </w:pPr>
      <w:r>
        <w:t xml:space="preserve">This study employs Bayesian Data Analysis for quantitative inferential statistics.</w:t>
      </w:r>
      <w:r>
        <w:t xml:space="preserve"> </w:t>
      </w:r>
      <w:r>
        <w:t xml:space="preserve">Specifically, this implies that we use Bayesian</w:t>
      </w:r>
      <w:r>
        <w:t xml:space="preserve"> </w:t>
      </w:r>
      <w:r>
        <w:rPr>
          <w:iCs/>
          <w:i/>
        </w:rPr>
        <w:t xml:space="preserve">credible intervals</w:t>
      </w:r>
      <w:r>
        <w:t xml:space="preserve">—and other metrics—to draw statistical inferences.</w:t>
      </w:r>
      <w:r>
        <w:t xml:space="preserve"> </w:t>
      </w:r>
      <w:r>
        <w:t xml:space="preserve">A Bayesian model calculates a posterior distribution, i.e., a distribution of plausible parameter values, given the data, a data-generating model, and any prior assumptions we have about those parameter values.</w:t>
      </w:r>
      <w:r>
        <w:t xml:space="preserve"> </w:t>
      </w:r>
      <w:r>
        <w:t xml:space="preserve">Posterior distributions are computationally costly.</w:t>
      </w:r>
      <w:r>
        <w:t xml:space="preserve"> </w:t>
      </w:r>
      <w:r>
        <w:t xml:space="preserve">For this reason, we use the Hamiltonian Markov Chain Monte Carlo algorithm to obtain a sample that includes thousands of values from the posterior distribution.</w:t>
      </w:r>
      <w:r>
        <w:t xml:space="preserve"> </w:t>
      </w:r>
      <w:r>
        <w:t xml:space="preserve">In practical terms, what this means is that we do not calculate a single point estimate for an effect β, but rather we draw a sample of 4,000 plausible values for β.</w:t>
      </w:r>
      <w:r>
        <w:t xml:space="preserve"> </w:t>
      </w:r>
      <w:r>
        <w:t xml:space="preserve">This allows us to quantify our uncertainty regarding β by summarizing the distribution of those values.</w:t>
      </w:r>
      <w:r>
        <w:t xml:space="preserve"> </w:t>
      </w:r>
      <w:r>
        <w:t xml:space="preserve">We will use 4 statistics to describe the posterior distribution: (1) the posterior mean, (2) the highest density credible interval (HDI), (3) the proportion of the HDI that falls within a Region of Practical Equivalence (ROPE), and (4) the Maximum Probability of Effect (MPE).</w:t>
      </w:r>
      <w:r>
        <w:t xml:space="preserve"> </w:t>
      </w:r>
      <w:r>
        <w:t xml:space="preserve">The posterior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 and calculates the proportion of the HDI that falls within this interval.</w:t>
      </w:r>
      <w:r>
        <w:rPr>
          <w:rStyle w:val="FootnoteReference"/>
        </w:rPr>
        <w:footnoteReference w:id="133"/>
      </w:r>
      <w:r>
        <w:t xml:space="preserve"> </w:t>
      </w:r>
      <w:r>
        <w:t xml:space="preserve">The MPE calculates the proportion of the posterior distribution that is of the median’s sign (or the probability that the effect is positive or negative).</w:t>
      </w:r>
    </w:p>
    <w:p>
      <w:pPr>
        <w:pStyle w:val="BodyText"/>
      </w:pPr>
      <w:bookmarkStart w:id="134" w:name="eq-rope"/>
      <m:oMathPara>
        <m:oMathParaPr>
          <m:jc m:val="center"/>
        </m:oMathParaPr>
        <m:oMath>
          <m:r>
            <m:t>e</m:t>
          </m:r>
          <m:r>
            <m:t>s</m:t>
          </m:r>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r>
            <m:t>  </m:t>
          </m:r>
          <m:d>
            <m:dPr>
              <m:begChr m:val="("/>
              <m:endChr m:val=")"/>
              <m:sepChr m:val=""/>
              <m:grow/>
            </m:dPr>
            <m:e>
              <m:r>
                <m:t>1</m:t>
              </m:r>
            </m:e>
          </m:d>
        </m:oMath>
      </m:oMathPara>
      <w:bookmarkEnd w:id="134"/>
    </w:p>
    <w:p>
      <w:pPr>
        <w:pStyle w:val="FirstParagraph"/>
      </w:pPr>
      <w:r>
        <w:t xml:space="preserve">If, for instance, a hypothesis states that β &gt; 0, we judge there to be</w:t>
      </w:r>
      <w:r>
        <w:t xml:space="preserve"> </w:t>
      </w:r>
      <w:r>
        <w:rPr>
          <w:iCs/>
          <w:i/>
        </w:rPr>
        <w:t xml:space="preserve">compelling evidence</w:t>
      </w:r>
      <w:r>
        <w:t xml:space="preserve"> </w:t>
      </w:r>
      <w:r>
        <w:t xml:space="preserve">for this hypothesis if the mean point estimate is a positive number, if the 95% credible interval of β does not contain 0 and is outside the ROPE by a reasonably clear margin, and the posterior</w:t>
      </w:r>
      <w:r>
        <w:t xml:space="preserve"> </w:t>
      </w:r>
      <w:r>
        <w:rPr>
          <w:iCs/>
          <w:i/>
        </w:rPr>
        <w:t xml:space="preserve">P</w:t>
      </w:r>
      <w:r>
        <w:t xml:space="preserve">(β &gt; 0) is close to one.</w:t>
      </w:r>
      <w:r>
        <w:t xml:space="preserve"> </w:t>
      </w:r>
      <w:r>
        <w:t xml:space="preserve">Together these four statistics allow us to quantify our uncertainty and provide an intuitive interpretation of any given effect.</w:t>
      </w:r>
      <w:r>
        <w:t xml:space="preserve"> </w:t>
      </w:r>
      <w:r>
        <w:t xml:space="preserve">Consider a case in which the posterior mean of β is 100 and the 95% credible interval is [40, 160].</w:t>
      </w:r>
      <w:r>
        <w:t xml:space="preserve"> </w:t>
      </w:r>
      <w:r>
        <w:t xml:space="preserve">The interval tells us that we can be 95% certain the</w:t>
      </w:r>
      <w:r>
        <w:t xml:space="preserve"> </w:t>
      </w:r>
      <w:r>
        <w:rPr>
          <w:iCs/>
          <w:i/>
        </w:rPr>
        <w:t xml:space="preserve">true</w:t>
      </w:r>
      <w:r>
        <w:t xml:space="preserve"> </w:t>
      </w:r>
      <w:r>
        <w:t xml:space="preserve">value of β 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 positive.</w:t>
      </w:r>
      <w:r>
        <w:t xml:space="preserve"> </w:t>
      </w:r>
      <w:r>
        <w:t xml:space="preserve">The lower interval value of 40 tells us that 95% of the plausible values are greater than 40.</w:t>
      </w:r>
      <w:r>
        <w:t xml:space="preserve"> </w:t>
      </w:r>
      <w:r>
        <w:t xml:space="preserve">We also note that the interval covers a wide range of values, thus we also conclude that we are not very certain about the size of the effect.</w:t>
      </w:r>
      <w:r>
        <w:t xml:space="preserve"> </w:t>
      </w:r>
      <w:r>
        <w:t xml:space="preserve">This type of interpretation is not possible under a frequentist paradigm.</w:t>
      </w:r>
    </w:p>
    <w:p>
      <w:r>
        <w:br w:type="page"/>
      </w:r>
    </w:p>
    <w:bookmarkEnd w:id="135"/>
    <w:bookmarkStart w:id="138" w:name="appendix-f-reproducibility-information"/>
    <w:p>
      <w:pPr>
        <w:pStyle w:val="Heading2"/>
      </w:pPr>
      <w:r>
        <w:t xml:space="preserve">Appendix F: Reproducibility information</w:t>
      </w:r>
    </w:p>
    <w:bookmarkStart w:id="136" w:name="about-this-document"/>
    <w:p>
      <w:pPr>
        <w:pStyle w:val="Heading3"/>
      </w:pPr>
      <w:r>
        <w:t xml:space="preserve">About this document</w:t>
      </w:r>
    </w:p>
    <w:p>
      <w:pPr>
        <w:pStyle w:val="FirstParagraph"/>
      </w:pPr>
      <w:r>
        <w:t xml:space="preserve">This document was written in Markdown using</w:t>
      </w:r>
      <w:r>
        <w:t xml:space="preserve"> </w:t>
      </w:r>
      <w:r>
        <w:rPr>
          <w:rStyle w:val="VerbatimChar"/>
        </w:rPr>
        <w:t xml:space="preserve">quarto</w:t>
      </w:r>
      <w:r>
        <w:t xml:space="preserve">.</w:t>
      </w:r>
    </w:p>
    <w:bookmarkEnd w:id="136"/>
    <w:bookmarkStart w:id="137" w:name="session-info"/>
    <w:p>
      <w:pPr>
        <w:pStyle w:val="Heading3"/>
      </w:pPr>
      <w:r>
        <w:t xml:space="preserve">Session info</w:t>
      </w:r>
    </w:p>
    <w:p>
      <w:pPr>
        <w:pStyle w:val="SourceCode"/>
      </w:pPr>
      <w:r>
        <w:rPr>
          <w:rStyle w:val="VerbatimChar"/>
        </w:rPr>
        <w:t xml:space="preserve">&gt;   setting  value</w:t>
      </w:r>
      <w:r>
        <w:br/>
      </w:r>
      <w:r>
        <w:rPr>
          <w:rStyle w:val="VerbatimChar"/>
        </w:rPr>
        <w:t xml:space="preserve">&gt;   version  R version 4.2.1 (2022-06-23)</w:t>
      </w:r>
      <w:r>
        <w:br/>
      </w:r>
      <w:r>
        <w:rPr>
          <w:rStyle w:val="VerbatimChar"/>
        </w:rPr>
        <w:t xml:space="preserve">&gt;   os       macOS Big Sur ...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America/New_York</w:t>
      </w:r>
      <w:r>
        <w:br/>
      </w:r>
      <w:r>
        <w:rPr>
          <w:rStyle w:val="VerbatimChar"/>
        </w:rPr>
        <w:t xml:space="preserve">&gt;   date     2022-09-12</w:t>
      </w:r>
      <w:r>
        <w:br/>
      </w:r>
      <w:r>
        <w:rPr>
          <w:rStyle w:val="VerbatimChar"/>
        </w:rPr>
        <w:t xml:space="preserve">&gt;   pandoc   2.18 @ /Applications/RStudio.app/Contents/MacOS/quarto/bin/tools/ (via rmarkdown)</w:t>
      </w:r>
    </w:p>
    <w:p>
      <w:pPr>
        <w:pStyle w:val="SourceCode"/>
      </w:pPr>
      <w:r>
        <w:rPr>
          <w:rStyle w:val="VerbatimChar"/>
        </w:rPr>
        <w:t xml:space="preserve">&gt;                 loadedversion       date</w:t>
      </w:r>
      <w:r>
        <w:br/>
      </w:r>
      <w:r>
        <w:rPr>
          <w:rStyle w:val="VerbatimChar"/>
        </w:rPr>
        <w:t xml:space="preserve">&gt;  academicWriteR         0.4.1 2022-09-05</w:t>
      </w:r>
      <w:r>
        <w:br/>
      </w:r>
      <w:r>
        <w:rPr>
          <w:rStyle w:val="VerbatimChar"/>
        </w:rPr>
        <w:t xml:space="preserve">&gt;  bayesplot              1.9.0 2022-03-10</w:t>
      </w:r>
      <w:r>
        <w:br/>
      </w:r>
      <w:r>
        <w:rPr>
          <w:rStyle w:val="VerbatimChar"/>
        </w:rPr>
        <w:t xml:space="preserve">&gt;  bayestestR            0.12.1 2022-05-02</w:t>
      </w:r>
      <w:r>
        <w:br/>
      </w:r>
      <w:r>
        <w:rPr>
          <w:rStyle w:val="VerbatimChar"/>
        </w:rPr>
        <w:t xml:space="preserve">&gt;  brms                  2.17.0 2022-04-13</w:t>
      </w:r>
      <w:r>
        <w:br/>
      </w:r>
      <w:r>
        <w:rPr>
          <w:rStyle w:val="VerbatimChar"/>
        </w:rPr>
        <w:t xml:space="preserve">&gt;  broom                  1.0.0 2022-07-01</w:t>
      </w:r>
      <w:r>
        <w:br/>
      </w:r>
      <w:r>
        <w:rPr>
          <w:rStyle w:val="VerbatimChar"/>
        </w:rPr>
        <w:t xml:space="preserve">&gt;  dplyr                  1.0.9 2022-04-28</w:t>
      </w:r>
      <w:r>
        <w:br/>
      </w:r>
      <w:r>
        <w:rPr>
          <w:rStyle w:val="VerbatimChar"/>
        </w:rPr>
        <w:t xml:space="preserve">&gt;  emmeans              1.8.1-1 2022-09-08</w:t>
      </w:r>
      <w:r>
        <w:br/>
      </w:r>
      <w:r>
        <w:rPr>
          <w:rStyle w:val="VerbatimChar"/>
        </w:rPr>
        <w:t xml:space="preserve">&gt;  flextable              0.7.3 2022-08-09</w:t>
      </w:r>
      <w:r>
        <w:br/>
      </w:r>
      <w:r>
        <w:rPr>
          <w:rStyle w:val="VerbatimChar"/>
        </w:rPr>
        <w:t xml:space="preserve">&gt;  forcats                0.5.2 2022-08-19</w:t>
      </w:r>
      <w:r>
        <w:br/>
      </w:r>
      <w:r>
        <w:rPr>
          <w:rStyle w:val="VerbatimChar"/>
        </w:rPr>
        <w:t xml:space="preserve">&gt;  future                1.27.0 2022-07-22</w:t>
      </w:r>
      <w:r>
        <w:br/>
      </w:r>
      <w:r>
        <w:rPr>
          <w:rStyle w:val="VerbatimChar"/>
        </w:rPr>
        <w:t xml:space="preserve">&gt;  ggbeeswarm             0.6.0 2017-08-07</w:t>
      </w:r>
      <w:r>
        <w:br/>
      </w:r>
      <w:r>
        <w:rPr>
          <w:rStyle w:val="VerbatimChar"/>
        </w:rPr>
        <w:t xml:space="preserve">&gt;  ggExtra               0.10.0 2022-03-23</w:t>
      </w:r>
      <w:r>
        <w:br/>
      </w:r>
      <w:r>
        <w:rPr>
          <w:rStyle w:val="VerbatimChar"/>
        </w:rPr>
        <w:t xml:space="preserve">&gt;  ggplot2                3.3.6 2022-05-03</w:t>
      </w:r>
      <w:r>
        <w:br/>
      </w:r>
      <w:r>
        <w:rPr>
          <w:rStyle w:val="VerbatimChar"/>
        </w:rPr>
        <w:t xml:space="preserve">&gt;  ggstance               0.3.5 2020-12-17</w:t>
      </w:r>
      <w:r>
        <w:br/>
      </w:r>
      <w:r>
        <w:rPr>
          <w:rStyle w:val="VerbatimChar"/>
        </w:rPr>
        <w:t xml:space="preserve">&gt;  glue                   1.6.2 2022-02-24</w:t>
      </w:r>
      <w:r>
        <w:br/>
      </w:r>
      <w:r>
        <w:rPr>
          <w:rStyle w:val="VerbatimChar"/>
        </w:rPr>
        <w:t xml:space="preserve">&gt;  here                   1.0.1 2020-12-13</w:t>
      </w:r>
      <w:r>
        <w:br/>
      </w:r>
      <w:r>
        <w:rPr>
          <w:rStyle w:val="VerbatimChar"/>
        </w:rPr>
        <w:t xml:space="preserve">&gt;  knitr                   1.40 2022-08-24</w:t>
      </w:r>
      <w:r>
        <w:br/>
      </w:r>
      <w:r>
        <w:rPr>
          <w:rStyle w:val="VerbatimChar"/>
        </w:rPr>
        <w:t xml:space="preserve">&gt;  modelr                 0.1.9 2022-08-19</w:t>
      </w:r>
      <w:r>
        <w:br/>
      </w:r>
      <w:r>
        <w:rPr>
          <w:rStyle w:val="VerbatimChar"/>
        </w:rPr>
        <w:t xml:space="preserve">&gt;  purrr                  0.3.4 2020-04-17</w:t>
      </w:r>
      <w:r>
        <w:br/>
      </w:r>
      <w:r>
        <w:rPr>
          <w:rStyle w:val="VerbatimChar"/>
        </w:rPr>
        <w:t xml:space="preserve">&gt;  Rcpp                   1.0.9 2022-07-08</w:t>
      </w:r>
      <w:r>
        <w:br/>
      </w:r>
      <w:r>
        <w:rPr>
          <w:rStyle w:val="VerbatimChar"/>
        </w:rPr>
        <w:t xml:space="preserve">&gt;  readr                  2.1.2 2022-01-30</w:t>
      </w:r>
      <w:r>
        <w:br/>
      </w:r>
      <w:r>
        <w:rPr>
          <w:rStyle w:val="VerbatimChar"/>
        </w:rPr>
        <w:t xml:space="preserve">&gt;  stringr                1.4.1 2022-08-20</w:t>
      </w:r>
      <w:r>
        <w:br/>
      </w:r>
      <w:r>
        <w:rPr>
          <w:rStyle w:val="VerbatimChar"/>
        </w:rPr>
        <w:t xml:space="preserve">&gt;  tidybayes              3.0.2 2022-01-05</w:t>
      </w:r>
      <w:r>
        <w:br/>
      </w:r>
      <w:r>
        <w:rPr>
          <w:rStyle w:val="VerbatimChar"/>
        </w:rPr>
        <w:t xml:space="preserve">&gt;  tidyr                  1.2.0 2022-02-01</w:t>
      </w:r>
    </w:p>
    <w:bookmarkEnd w:id="137"/>
    <w:bookmarkEnd w:id="138"/>
    <w:bookmarkEnd w:id="139"/>
    <w:sectPr w:rsidR="000A191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Latin Modern Math">
    <w:altName w:val="Calibri"/>
    <w:panose1 w:val="020B0604020202020204"/>
    <w:charset w:val="4D"/>
    <w:family w:val="auto"/>
    <w:notTrueType/>
    <w:pitch w:val="variable"/>
    <w:sig w:usb0="A00000EF" w:usb1="4201F9EE" w:usb2="02000000" w:usb3="00000000" w:csb0="000000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Bayesian Data Analysis (BDA) is an alternative to frequentist statistical analysis. See Appendix E for a brief overview, as well as</w:t>
      </w:r>
      <w:r>
        <w:t xml:space="preserve"> </w:t>
      </w:r>
      <w:r>
        <w:t xml:space="preserve">Schoot &amp; Depaoli (2014)</w:t>
      </w:r>
      <w:r>
        <w:t xml:space="preserve"> </w:t>
      </w:r>
      <w:r>
        <w:t xml:space="preserve">and</w:t>
      </w:r>
      <w:r>
        <w:t xml:space="preserve"> </w:t>
      </w:r>
      <w:r>
        <w:t xml:space="preserve">Vasishth, Nicenboim, Beckman, Li, &amp; Kong (2018)</w:t>
      </w:r>
      <w:r>
        <w:t xml:space="preserve"> </w:t>
      </w:r>
      <w:r>
        <w:t xml:space="preserve">for tutorials and in depth explanations related to BDA in the psychological and speech sciences.</w:t>
      </w:r>
    </w:p>
  </w:footnote>
  <w:footnote w:id="133">
    <w:p>
      <w:pPr>
        <w:pStyle w:val="FootnoteText"/>
      </w:pPr>
      <w:r>
        <w:rPr>
          <w:rStyle w:val="FootnoteReference"/>
        </w:rPr>
        <w:footnoteRef/>
      </w:r>
      <w:r>
        <w:t xml:space="preserve"> </w:t>
      </w:r>
      <w:r>
        <w:t xml:space="preserve">We utilize a ROPE of ±1 for standardized values. For non-standardized values</w:t>
      </w:r>
      <w:r>
        <w:t xml:space="preserve"> </w:t>
      </w:r>
      <w:r>
        <w:t xml:space="preserve">Kruschke (2018)</w:t>
      </w:r>
      <w:r>
        <w:t xml:space="preserve"> </w:t>
      </w:r>
      <w:r>
        <w:t xml:space="preserve">recommends using the formula in</w:t>
      </w:r>
      <w:r>
        <w:t xml:space="preserve"> </w:t>
      </w:r>
      <w:hyperlink w:anchor="eq-rope">
        <w:r>
          <w:rPr>
            <w:rStyle w:val="Hyperlink"/>
          </w:rPr>
          <w:t xml:space="preserve">Equation 1</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1C626F"/>
    <w:pPr>
      <w:ind w:firstLine="0"/>
    </w:pPr>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EE4E0C"/>
    <w:pPr>
      <w:keepNext/>
      <w:keepLines/>
      <w:spacing w:after="0" w:line="480" w:lineRule="auto"/>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EE4E0C"/>
    <w:pPr>
      <w:keepNext/>
      <w:keepLines/>
      <w:spacing w:after="0" w:line="480" w:lineRule="auto"/>
      <w:jc w:val="center"/>
    </w:pPr>
    <w:rPr>
      <w:rFonts w:ascii="Times New Roman" w:hAnsi="Times New Roman"/>
    </w:rPr>
  </w:style>
  <w:style w:styleId="Date" w:type="paragraph">
    <w:name w:val="Date"/>
    <w:next w:val="BodyText"/>
    <w:qFormat/>
    <w:rsid w:val="00EE4E0C"/>
    <w:pPr>
      <w:keepNext/>
      <w:keepLines/>
      <w:spacing w:after="0" w:line="480" w:lineRule="auto"/>
      <w:jc w:val="center"/>
    </w:pPr>
    <w:rPr>
      <w:rFonts w:ascii="Times New Roman" w:hAnsi="Times New Roman"/>
    </w:rPr>
  </w:style>
  <w:style w:customStyle="1" w:styleId="Abstract" w:type="paragraph">
    <w:name w:val="Abstract"/>
    <w:basedOn w:val="Normal"/>
    <w:next w:val="BodyText"/>
    <w:qFormat/>
    <w:rsid w:val="00EE4E0C"/>
    <w:pPr>
      <w:keepNext/>
      <w:keepLines/>
      <w:spacing w:after="240"/>
      <w:ind w:left="720" w:right="720"/>
    </w:pPr>
    <w:rPr>
      <w:rFonts w:ascii="Times New Roman" w:hAnsi="Times New Roman"/>
      <w:sz w:val="20"/>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912EAA"/>
    <w:pPr>
      <w:spacing w:after="30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df" /><Relationship Type="http://schemas.openxmlformats.org/officeDocument/2006/relationships/image" Id="rId120" Target="media/rId120.pdf" /><Relationship Type="http://schemas.openxmlformats.org/officeDocument/2006/relationships/image" Id="rId116" Target="media/rId116.pdf" /><Relationship Type="http://schemas.openxmlformats.org/officeDocument/2006/relationships/image" Id="rId48" Target="media/rId48.pdf" /><Relationship Type="http://schemas.openxmlformats.org/officeDocument/2006/relationships/image" Id="rId44" Target="media/rId44.pdf" /><Relationship Type="http://schemas.openxmlformats.org/officeDocument/2006/relationships/image" Id="rId31" Target="media/rId31.pdf" /><Relationship Type="http://schemas.openxmlformats.org/officeDocument/2006/relationships/image" Id="rId104" Target="media/rId104.pdf" /><Relationship Type="http://schemas.openxmlformats.org/officeDocument/2006/relationships/image" Id="rId100" Target="media/rId100.pdf" /><Relationship Type="http://schemas.openxmlformats.org/officeDocument/2006/relationships/image" Id="rId109" Target="media/rId109.pdf" /><Relationship Type="http://schemas.openxmlformats.org/officeDocument/2006/relationships/image" Id="rId35" Target="media/rId35.pdf" /><Relationship Type="http://schemas.openxmlformats.org/officeDocument/2006/relationships/image" Id="rId53" Target="media/rId53.pdf" /><Relationship Type="http://schemas.openxmlformats.org/officeDocument/2006/relationships/image" Id="rId61" Target="media/rId61.pdf" /><Relationship Type="http://schemas.openxmlformats.org/officeDocument/2006/relationships/image" Id="rId57" Target="media/rId57.pdf" /><Relationship Type="http://schemas.openxmlformats.org/officeDocument/2006/relationships/image" Id="rId89" Target="media/rId89.pdf" /><Relationship Type="http://schemas.openxmlformats.org/officeDocument/2006/relationships/image" Id="rId93" Target="media/rId93.pdf" /><Relationship Type="http://schemas.openxmlformats.org/officeDocument/2006/relationships/hyperlink" Id="rId71" Target="http://www.praat.org/" TargetMode="External" /><Relationship Type="http://schemas.openxmlformats.org/officeDocument/2006/relationships/hyperlink" Id="rId73" Target="https://doi.org/10.18637/jss.v080.i01" TargetMode="External" /><Relationship Type="http://schemas.openxmlformats.org/officeDocument/2006/relationships/hyperlink" Id="rId75" Target="https://doi.org/10.32614/RJ-2018-017" TargetMode="External" /><Relationship Type="http://schemas.openxmlformats.org/officeDocument/2006/relationships/hyperlink" Id="rId79" Target="https://doi.org/10.3390/e19100555" TargetMode="External" /><Relationship Type="http://schemas.openxmlformats.org/officeDocument/2006/relationships/hyperlink" Id="rId8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1" Target="http://www.praat.org/" TargetMode="External" /><Relationship Type="http://schemas.openxmlformats.org/officeDocument/2006/relationships/hyperlink" Id="rId73" Target="https://doi.org/10.18637/jss.v080.i01" TargetMode="External" /><Relationship Type="http://schemas.openxmlformats.org/officeDocument/2006/relationships/hyperlink" Id="rId75" Target="https://doi.org/10.32614/RJ-2018-017" TargetMode="External" /><Relationship Type="http://schemas.openxmlformats.org/officeDocument/2006/relationships/hyperlink" Id="rId79" Target="https://doi.org/10.3390/e19100555" TargetMode="External" /><Relationship Type="http://schemas.openxmlformats.org/officeDocument/2006/relationships/hyperlink" Id="rId8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Coronal stop production in bilinguals</dc:title>
  <dc:creator>Miquel Simonet, Joseph V. Casillas, &amp; Alexander Aldrich</dc:creator>
  <cp:category>article</cp:category>
  <dc:description>test</dc:description>
  <dc:subject>linguistics</dc:subject>
  <cp:keywords/>
  <dcterms:created xsi:type="dcterms:W3CDTF">2022-09-12T05:16:59Z</dcterms:created>
  <dcterms:modified xsi:type="dcterms:W3CDTF">2022-09-12T05:16:59Z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sl">
    <vt:lpwstr>../../refs/apa-6th-edition.csl</vt:lpwstr>
  </property>
  <property fmtid="{D5CDD505-2E9C-101B-9397-08002B2CF9AE}" pid="8" name="editor_options">
    <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toc-title">
    <vt:lpwstr>Table of contents</vt:lpwstr>
  </property>
</Properties>
</file>