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42.pdf" ContentType="application/pdf"/>
  <Override PartName="/word/media/rId29.pdf" ContentType="application/pdf"/>
  <Override PartName="/word/media/rId72.pdf" ContentType="application/pdf"/>
  <Override PartName="/word/media/rId33.pdf" ContentType="application/pdf"/>
  <Override PartName="/word/media/rId47.pdf" ContentType="application/pdf"/>
  <Override PartName="/word/media/rId51.pdf" ContentType="application/pdf"/>
  <Override PartName="/word/media/rId61.pdf" ContentType="application/pdf"/>
  <Override PartName="/word/media/rId65.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&amp;</w:t>
      </w:r>
      <w:r>
        <w:t xml:space="preserve"> </w:t>
      </w:r>
      <w:r>
        <w:t xml:space="preserve">Alexander</w:t>
      </w:r>
      <w:r>
        <w:t xml:space="preserve"> </w:t>
      </w:r>
      <w:r>
        <w:t xml:space="preserve">Aldrich</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8"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Spanish-English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p>
      <w:pPr>
        <w:pStyle w:val="BodyText"/>
      </w:pPr>
      <w:r>
        <w:t xml:space="preserve">The bilingual group completed the Bilingual Language Profile</w:t>
      </w:r>
      <w:r>
        <w:t xml:space="preserve"> </w:t>
      </w:r>
      <w:r>
        <w:t xml:space="preserve">(BLP, Gertken, Amengual, &amp; Birdsong, 2014)</w:t>
      </w:r>
      <w:r>
        <w:t xml:space="preserve"> </w:t>
      </w:r>
      <w:r>
        <w:t xml:space="preserve">in order to assess language dominance.</w:t>
      </w:r>
      <w:r>
        <w:t xml:space="preserve"> </w:t>
      </w:r>
      <w:r>
        <w:t xml:space="preserve">The BLP calculates a weighted average of language dominance based on the individual history, use, proficiency, and attitudes of the bilinguals with regard to their languages.</w:t>
      </w:r>
      <w:r>
        <w:t xml:space="preserve"> </w:t>
      </w:r>
      <w:r>
        <w:t xml:space="preserve">The measure ranges from −218 to 218 with values near the extremes implying dominance in one of the languages.</w:t>
      </w:r>
      <w:r>
        <w:t xml:space="preserve"> </w:t>
      </w:r>
      <w:r>
        <w:t xml:space="preserve">Values close to 0 are taken as an indication of balanced bilingualism.</w:t>
      </w:r>
      <w:r>
        <w:t xml:space="preserve"> </w:t>
      </w:r>
      <w:r>
        <w:t xml:space="preserve">In the present study, Spanish was arbitrarily assigned to positive values.</w:t>
      </w:r>
      <w:r>
        <w:t xml:space="preserve"> </w:t>
      </w:r>
      <w:r>
        <w:t xml:space="preserve">Figure XXX plots language dominance (Panel A) and language use and proficiency data (Panel B) derived from the BLP.</w:t>
      </w:r>
      <w:r>
        <w:t xml:space="preserve"> </w:t>
      </w:r>
      <w:r>
        <w:t xml:space="preserve">The bilingual group had a mean dominance score of X (SD = X), suggesting rather balanced bilingualism (Panel A).</w:t>
      </w:r>
      <w:r>
        <w:t xml:space="preserve"> </w:t>
      </w:r>
      <w:r>
        <w:t xml:space="preserve">Participants that reported using Spanish more often also tended to report being more proficient in that language; the converse was also true for English (Panel B).</w:t>
      </w:r>
    </w:p>
    <w:bookmarkEnd w:id="22"/>
    <w:bookmarkStart w:id="23" w:name="materials"/>
    <w:p>
      <w:pPr>
        <w:pStyle w:val="Heading2"/>
      </w:pPr>
      <w:r>
        <w:t xml:space="preserve">Materials</w:t>
      </w:r>
    </w:p>
    <w:p>
      <w:pPr>
        <w:pStyle w:val="FirstParagraph"/>
      </w:pPr>
      <w:r>
        <w:t xml:space="preserve">INCLUDE INFO FROM ALDRICH’s STUDY</w:t>
      </w:r>
      <w:r>
        <w:br/>
      </w:r>
      <w:r>
        <w:t xml:space="preserve">There were 52 target words (English: k = 28; Spanish: k = 24) that contained voiced and voiceless coronal stops in word initial position.</w:t>
      </w:r>
      <w:r>
        <w:t xml:space="preserve"> </w:t>
      </w:r>
      <w:r>
        <w:t xml:space="preserve">For each language, 12 targets began with /d/ and 12 began with /t/, equally divided between stressed and unstressed syllables (see supplementary materials).</w:t>
      </w:r>
      <w:r>
        <w:t xml:space="preserve"> </w:t>
      </w:r>
      <w:r>
        <w:t xml:space="preserve">All stops were followed by a low vowel (/a/ for Spanish and /æ, ɑ/ for English).</w:t>
      </w:r>
    </w:p>
    <w:p>
      <w:pPr>
        <w:pStyle w:val="BodyText"/>
      </w:pPr>
      <w:r>
        <w:t xml:space="preserve">The participants completed a delayed repetition task in which they heard the target words presented in a carrier phrase (</w:t>
      </w:r>
      <w:r>
        <w:t xml:space="preserve">“</w:t>
      </w:r>
      <w:r>
        <w:rPr>
          <w:iCs/>
          <w:i/>
        </w:rPr>
        <w:t xml:space="preserve">x is the word</w:t>
      </w:r>
      <w:r>
        <w:t xml:space="preserve">”</w:t>
      </w:r>
      <w:r>
        <w:t xml:space="preserve"> </w:t>
      </w:r>
      <w:r>
        <w:t xml:space="preserve">or the Spanish equivalent</w:t>
      </w:r>
      <w:r>
        <w:t xml:space="preserve"> </w:t>
      </w:r>
      <w:r>
        <w:t xml:space="preserve">“</w:t>
      </w:r>
      <w:r>
        <w:rPr>
          <w:iCs/>
          <w:i/>
        </w:rPr>
        <w:t xml:space="preserve">x es la palabra</w:t>
      </w:r>
      <w:r>
        <w:t xml:space="preserve">”</w:t>
      </w:r>
      <w:r>
        <w:t xml:space="preserve">).</w:t>
      </w:r>
      <w:r>
        <w:t xml:space="preserve"> </w:t>
      </w:r>
      <w:r>
        <w:t xml:space="preserve">The auditory stimuli were recordings of 6 male native speakers: 3 native English speakers and 3 native Spanish speakers.</w:t>
      </w:r>
      <w:r>
        <w:t xml:space="preserve"> </w:t>
      </w:r>
      <w:r>
        <w:t xml:space="preserve">These recordings served as the auditory stimuli repeated outloud by the participants in the delayed repetition task.</w:t>
      </w:r>
      <w:r>
        <w:t xml:space="preserve"> </w:t>
      </w:r>
      <w:r>
        <w:t xml:space="preserve">Words not containing coronal stops were considered distractors (k = 20).</w:t>
      </w:r>
      <w:r>
        <w:t xml:space="preserve"> </w:t>
      </w:r>
      <w:r>
        <w:t xml:space="preserve">Praat</w:t>
      </w:r>
      <w:r>
        <w:t xml:space="preserve"> </w:t>
      </w:r>
      <w:r>
        <w:t xml:space="preserve">Boersma &amp; Weenink (2022)</w:t>
      </w:r>
      <w:r>
        <w:t xml:space="preserve"> </w:t>
      </w:r>
      <w:r>
        <w:t xml:space="preserve">was used to present the sentences randomly in auditory form and the speakers were asked to listen to the entire sentence and then repeat it outloud at their own pace.</w:t>
      </w:r>
    </w:p>
    <w:p>
      <w:pPr>
        <w:pStyle w:val="BodyText"/>
      </w:pPr>
      <w:r>
        <w:t xml:space="preserve">The monolingual English speakers and bilinguals were recorded in a sound attenuated booth.</w:t>
      </w:r>
      <w:r>
        <w:t xml:space="preserve"> </w:t>
      </w:r>
      <w:r>
        <w:t xml:space="preserve">The monolingual Spanish speakers were recorded in a quiet classroom on the campus of the</w:t>
      </w:r>
      <w:r>
        <w:t xml:space="preserve"> </w:t>
      </w:r>
      <w:r>
        <w:rPr>
          <w:iCs/>
          <w:i/>
        </w:rPr>
        <w:t xml:space="preserve">Universitat de les Illes Balears</w:t>
      </w:r>
      <w:r>
        <w:t xml:space="preserve"> </w:t>
      </w:r>
      <w:r>
        <w:t xml:space="preserve">in Majorca, Spain.</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 in a single session with all English and Spanish items presented in a single, randomized block.</w:t>
      </w:r>
      <w:r>
        <w:t xml:space="preserve"> </w:t>
      </w:r>
      <w:r>
        <w:t xml:space="preserve">The full dataset included 3519 tokens (24 target words per language × 3 repetitions).</w:t>
      </w:r>
      <w:r>
        <w:t xml:space="preserve"> </w:t>
      </w:r>
      <w:r>
        <w:t xml:space="preserve">Three items (3%) were discarded due to mispronunciations or extraneous noise.</w:t>
      </w:r>
      <w:r>
        <w:t xml:space="preserve"> </w:t>
      </w:r>
      <w:r>
        <w:t xml:space="preserve"> </w:t>
      </w:r>
      <w:r>
        <w:t xml:space="preserve">A Shure SM10A dynamic head-mounted microphone with a Sound Devices MM-1 microphone pre-amplifier captured the acoustic signal and it was saved to a Marantz PMD660 digital speech recorder.</w:t>
      </w:r>
      <w:r>
        <w:t xml:space="preserve"> </w:t>
      </w:r>
      <w:r>
        <w:t xml:space="preserve">The signal was digitized at 44.1 kHz and 16-bit quantization.</w:t>
      </w:r>
    </w:p>
    <w:bookmarkEnd w:id="23"/>
    <w:bookmarkStart w:id="24" w:name="metrics"/>
    <w:p>
      <w:pPr>
        <w:pStyle w:val="Heading2"/>
      </w:pPr>
      <w:r>
        <w:t xml:space="preserve">Metrics</w:t>
      </w:r>
    </w:p>
    <w:p>
      <w:pPr>
        <w:pStyle w:val="FirstParagraph"/>
      </w:pPr>
      <w:r>
        <w:t xml:space="preserve">The audio files were low-pass filtered at 11.025 kHz.</w:t>
      </w:r>
      <w:r>
        <w:t xml:space="preserve"> </w:t>
      </w:r>
      <w:r>
        <w:t xml:space="preserve">Synchronized waveform and spectrographic displays were used to mark the onset of modal voicing and of the stop burst, as well as the offset of the first vowel.</w:t>
      </w:r>
      <w:r>
        <w:t xml:space="preserve"> </w:t>
      </w:r>
      <w:r>
        <w:t xml:space="preserve">The onset of voicing was operationalized as the upwards zero-crossing of the first periodic pattern in the oscillogram and the offset of the vowel was marked at the downwards zero-crossing of the final periodic pattern.</w:t>
      </w:r>
      <w:r>
        <w:t xml:space="preserve"> </w:t>
      </w:r>
      <w:r>
        <w:t xml:space="preserve">VOT was calculated as the difference (in ms) between the onset of modal voicing and the onset of the burst.</w:t>
      </w:r>
      <w:r>
        <w:t xml:space="preserve"> </w:t>
      </w:r>
      <w:r>
        <w:t xml:space="preserve">Spectral moment measures were calculated from a 6 ms window beginning at the onset of the burst.</w:t>
      </w:r>
      <w:r>
        <w:t xml:space="preserve"> </w:t>
      </w:r>
      <w:r>
        <w:t xml:space="preserve">Specifically, we extracted relative center of gravity, standard deviation, skewness, kurtosis, as well as F1 and F2 of the following vowel and relative intensity.</w:t>
      </w:r>
    </w:p>
    <w:bookmarkEnd w:id="24"/>
    <w:bookmarkStart w:id="25" w:name="procedure"/>
    <w:p>
      <w:pPr>
        <w:pStyle w:val="Heading2"/>
      </w:pPr>
      <w:r>
        <w:t xml:space="preserve">Procedure</w:t>
      </w:r>
    </w:p>
    <w:p>
      <w:pPr>
        <w:pStyle w:val="FirstParagraph"/>
      </w:pPr>
      <w:r>
        <w:t xml:space="preserve">Decide if we will present 3 separate experiments with 3 different methods sections.</w:t>
      </w:r>
    </w:p>
    <w:bookmarkEnd w:id="25"/>
    <w:bookmarkStart w:id="27"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Bürkner, 2018, version 2.16.3)</w:t>
      </w:r>
      <w:r>
        <w:t xml:space="preserve">.</w:t>
      </w:r>
      <w:r>
        <w:t xml:space="preserve"> </w:t>
      </w:r>
      <w:r>
        <w:t xml:space="preserve">Bayesian Data Analysis (BDA) is an alternative to frequentist statistical analysis.</w:t>
      </w:r>
      <w:r>
        <w:rPr>
          <w:rStyle w:val="FootnoteReference"/>
        </w:rPr>
        <w:footnoteReference w:id="26"/>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7"/>
    <w:bookmarkEnd w:id="28"/>
    <w:bookmarkStart w:id="56"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7"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hyperlink w:anchor="fig-monolinguals">
        <w:r>
          <w:rPr>
            <w:rStyle w:val="Hyperlink"/>
          </w:rPr>
          <w:t xml:space="preserve">Figure 1</w:t>
        </w:r>
      </w:hyperlink>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bookmarkStart w:id="32" w:name="fig-monolinguals"/>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30" name="Picture"/>
            <a:graphic>
              <a:graphicData uri="http://schemas.openxmlformats.org/drawingml/2006/picture">
                <pic:pic>
                  <pic:nvPicPr>
                    <pic:cNvPr descr="/Users/casillas/academia/research/in_progress/spanish_english_coronals/figs/mono_all_metrics.pdf" id="31" name="Picture"/>
                    <pic:cNvPicPr>
                      <a:picLocks noChangeArrowheads="1" noChangeAspect="1"/>
                    </pic:cNvPicPr>
                  </pic:nvPicPr>
                  <pic:blipFill>
                    <a:blip r:embed="rId29"/>
                    <a:stretch>
                      <a:fillRect/>
                    </a:stretch>
                  </pic:blipFill>
                  <pic:spPr bwMode="auto">
                    <a:xfrm>
                      <a:off x="0" y="0"/>
                      <a:ext cx="5943600" cy="3962400"/>
                    </a:xfrm>
                    <a:prstGeom prst="rect">
                      <a:avLst/>
                    </a:prstGeom>
                    <a:noFill/>
                    <a:ln w="9525">
                      <a:noFill/>
                      <a:headEnd/>
                      <a:tailEnd/>
                    </a:ln>
                  </pic:spPr>
                </pic:pic>
              </a:graphicData>
            </a:graphic>
          </wp:inline>
        </w:drawing>
      </w:r>
      <w:bookmarkEnd w:id="32"/>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w:t>
      </w:r>
      <w:r>
        <w:t xml:space="preserve"> </w:t>
      </w:r>
      <w:hyperlink w:anchor="fig-monolinguals">
        <w:r>
          <w:rPr>
            <w:rStyle w:val="Hyperlink"/>
          </w:rPr>
          <w:t xml:space="preserve">Figure 1</w:t>
        </w:r>
      </w:hyperlink>
      <w:r>
        <w:t xml:space="preserve">.</w:t>
      </w:r>
      <w:r>
        <w:t xml:space="preserve"> </w:t>
      </w:r>
      <w:r>
        <w:t xml:space="preserve">The complete model summary and the short-lag stop comparison are available in</w:t>
      </w:r>
      <w:r>
        <w:t xml:space="preserve"> </w:t>
      </w:r>
      <w:hyperlink w:anchor="tbl-mono">
        <w:r>
          <w:rPr>
            <w:rStyle w:val="Hyperlink"/>
          </w:rPr>
          <w:t xml:space="preserve">Table 2</w:t>
        </w:r>
      </w:hyperlink>
      <w:r>
        <w:t xml:space="preserve"> </w:t>
      </w:r>
      <w:r>
        <w:t xml:space="preserve">and</w:t>
      </w:r>
      <w:r>
        <w:t xml:space="preserve"> </w:t>
      </w:r>
      <w:hyperlink w:anchor="fig-monolinguals-d-t">
        <w:r>
          <w:rPr>
            <w:rStyle w:val="Hyperlink"/>
          </w:rPr>
          <w:t xml:space="preserve">Figure 9</w:t>
        </w:r>
      </w:hyperlink>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w:t>
      </w:r>
      <w:r>
        <w:t xml:space="preserve"> </w:t>
      </w:r>
      <w:hyperlink w:anchor="fig-monolinguals">
        <w:r>
          <w:rPr>
            <w:rStyle w:val="Hyperlink"/>
          </w:rPr>
          <w:t xml:space="preserve">Figure 1</w:t>
        </w:r>
      </w:hyperlink>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w:t>
      </w:r>
      <w:r>
        <w:t xml:space="preserve"> </w:t>
      </w:r>
      <w:hyperlink w:anchor="fig-monolinguals">
        <w:r>
          <w:rPr>
            <w:rStyle w:val="Hyperlink"/>
          </w:rPr>
          <w:t xml:space="preserve">Figure 1</w:t>
        </w:r>
      </w:hyperlink>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w:t>
      </w:r>
      <w:r>
        <w:t xml:space="preserve"> </w:t>
      </w:r>
      <w:hyperlink w:anchor="fig-monolinguals">
        <w:r>
          <w:rPr>
            <w:rStyle w:val="Hyperlink"/>
          </w:rPr>
          <w:t xml:space="preserve">Figure 1</w:t>
        </w:r>
      </w:hyperlink>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w:t>
      </w:r>
      <w:r>
        <w:t xml:space="preserve"> </w:t>
      </w:r>
      <w:hyperlink w:anchor="fig-monolinguals">
        <w:r>
          <w:rPr>
            <w:rStyle w:val="Hyperlink"/>
          </w:rPr>
          <w:t xml:space="preserve">Figure 1</w:t>
        </w:r>
      </w:hyperlink>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w:t>
      </w:r>
      <w:r>
        <w:t xml:space="preserve"> </w:t>
      </w:r>
      <w:hyperlink w:anchor="fig-monolinguals">
        <w:r>
          <w:rPr>
            <w:rStyle w:val="Hyperlink"/>
          </w:rPr>
          <w:t xml:space="preserve">Figure 1</w:t>
        </w:r>
      </w:hyperlink>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bookmarkStart w:id="36" w:name="fig-monolinguals-summary"/>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34" name="Picture"/>
            <a:graphic>
              <a:graphicData uri="http://schemas.openxmlformats.org/drawingml/2006/picture">
                <pic:pic>
                  <pic:nvPicPr>
                    <pic:cNvPr descr="/Users/casillas/academia/research/in_progress/spanish_english_coronals/figs/mono_summary.pdf" id="35" name="Picture"/>
                    <pic:cNvPicPr>
                      <a:picLocks noChangeArrowheads="1" noChangeAspect="1"/>
                    </pic:cNvPicPr>
                  </pic:nvPicPr>
                  <pic:blipFill>
                    <a:blip r:embed="rId33"/>
                    <a:stretch>
                      <a:fillRect/>
                    </a:stretch>
                  </pic:blipFill>
                  <pic:spPr bwMode="auto">
                    <a:xfrm>
                      <a:off x="0" y="0"/>
                      <a:ext cx="5943600" cy="3760611"/>
                    </a:xfrm>
                    <a:prstGeom prst="rect">
                      <a:avLst/>
                    </a:prstGeom>
                    <a:noFill/>
                    <a:ln w="9525">
                      <a:noFill/>
                      <a:headEnd/>
                      <a:tailEnd/>
                    </a:ln>
                  </pic:spPr>
                </pic:pic>
              </a:graphicData>
            </a:graphic>
          </wp:inline>
        </w:drawing>
      </w:r>
      <w:bookmarkEnd w:id="36"/>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The analyses of the monolingual coronal stops are summarized in the forest plot in</w:t>
      </w:r>
      <w:r>
        <w:t xml:space="preserve"> </w:t>
      </w:r>
      <w:hyperlink w:anchor="fig-monolinguals-summary">
        <w:r>
          <w:rPr>
            <w:rStyle w:val="Hyperlink"/>
          </w:rPr>
          <w:t xml:space="preserve">Figure 2</w:t>
        </w:r>
      </w:hyperlink>
      <w:r>
        <w:t xml:space="preserve"> </w:t>
      </w:r>
      <w:r>
        <w:t xml:space="preserve">and</w:t>
      </w:r>
      <w:r>
        <w:t xml:space="preserve"> </w:t>
      </w:r>
      <w:hyperlink w:anchor="tbl-mono">
        <w:r>
          <w:rPr>
            <w:rStyle w:val="Hyperlink"/>
          </w:rPr>
          <w:t xml:space="preserve">Table 2</w:t>
        </w:r>
      </w:hyperlink>
      <w:r>
        <w:t xml:space="preserve"> </w:t>
      </w:r>
      <w:r>
        <w:t xml:space="preserve">of the supplementary materials.</w:t>
      </w:r>
      <w:r>
        <w:t xml:space="preserve"> </w:t>
      </w:r>
      <w:r>
        <w:t xml:space="preserve">Unsurprisingly, VOT was realized in a language-specific manner.</w:t>
      </w:r>
      <w:r>
        <w:t xml:space="preserve"> </w:t>
      </w:r>
      <w:r>
        <w:t xml:space="preserve">Spanish voiced and voiceless stops were produced with lead-VOT and short-lag VOT, respectively; English voiced and voiceless stops were produced with short-lag VOT and long-lag VOT, respectively.</w:t>
      </w:r>
      <w:r>
        <w:t xml:space="preserve"> </w:t>
      </w:r>
      <w:r>
        <w:t xml:space="preserve">Relative intensity did not distinguish between voicing contrasts in either language.</w:t>
      </w:r>
      <w:r>
        <w:t xml:space="preserve"> </w:t>
      </w:r>
      <w:r>
        <w:t xml:space="preserve">Spectral moments, on the other hand, were particularly useful for Spanish coronals, with skewness and kurtosis patterning similarly, as well as COG and standard deviation.</w:t>
      </w:r>
    </w:p>
    <w:bookmarkEnd w:id="37"/>
    <w:bookmarkStart w:id="46" w:name="experiment-2-bilinguals"/>
    <w:p>
      <w:pPr>
        <w:pStyle w:val="Heading2"/>
      </w:pPr>
      <w:r>
        <w:t xml:space="preserve">Experiment 2: Bilinguals</w:t>
      </w:r>
    </w:p>
    <w:p>
      <w:pPr>
        <w:pStyle w:val="FirstParagraph"/>
      </w:pPr>
      <w:r>
        <w:t xml:space="preserve">Model info here.</w:t>
      </w:r>
    </w:p>
    <w:p>
      <w:pPr>
        <w:pStyle w:val="CaptionedFigure"/>
      </w:pPr>
      <w:bookmarkStart w:id="41" w:name="fig-bilinguals"/>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39" name="Picture"/>
            <a:graphic>
              <a:graphicData uri="http://schemas.openxmlformats.org/drawingml/2006/picture">
                <pic:pic>
                  <pic:nvPicPr>
                    <pic:cNvPr descr="/Users/casillas/academia/research/in_progress/spanish_english_coronals/figs/bi_all_metrics.pdf" id="4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bookmarkEnd w:id="41"/>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bookmarkStart w:id="45" w:name="fig-bilinguals-summary"/>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43" name="Picture"/>
            <a:graphic>
              <a:graphicData uri="http://schemas.openxmlformats.org/drawingml/2006/picture">
                <pic:pic>
                  <pic:nvPicPr>
                    <pic:cNvPr descr="/Users/casillas/academia/research/in_progress/spanish_english_coronals/figs/bi_summary.pdf" id="44" name="Picture"/>
                    <pic:cNvPicPr>
                      <a:picLocks noChangeArrowheads="1" noChangeAspect="1"/>
                    </pic:cNvPicPr>
                  </pic:nvPicPr>
                  <pic:blipFill>
                    <a:blip r:embed="rId42"/>
                    <a:stretch>
                      <a:fillRect/>
                    </a:stretch>
                  </pic:blipFill>
                  <pic:spPr bwMode="auto">
                    <a:xfrm>
                      <a:off x="0" y="0"/>
                      <a:ext cx="5943600" cy="3760611"/>
                    </a:xfrm>
                    <a:prstGeom prst="rect">
                      <a:avLst/>
                    </a:prstGeom>
                    <a:noFill/>
                    <a:ln w="9525">
                      <a:noFill/>
                      <a:headEnd/>
                      <a:tailEnd/>
                    </a:ln>
                  </pic:spPr>
                </pic:pic>
              </a:graphicData>
            </a:graphic>
          </wp:inline>
        </w:drawing>
      </w:r>
      <w:bookmarkEnd w:id="45"/>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p>
      <w:pPr>
        <w:pStyle w:val="BodyText"/>
      </w:pPr>
      <w:r>
        <w:rPr>
          <w:bCs/>
          <w:b/>
        </w:rPr>
        <w:t xml:space="preserve">Interim discussion.</w:t>
      </w:r>
    </w:p>
    <w:p>
      <w:pPr>
        <w:pStyle w:val="BodyText"/>
      </w:pPr>
      <w:hyperlink w:anchor="fig-bilinguals-summary">
        <w:r>
          <w:rPr>
            <w:rStyle w:val="Hyperlink"/>
          </w:rPr>
          <w:t xml:space="preserve">Figure 4</w:t>
        </w:r>
      </w:hyperlink>
      <w:r>
        <w:t xml:space="preserve"> </w:t>
      </w:r>
      <w:r>
        <w:t xml:space="preserve">General summary and patterns.</w:t>
      </w:r>
    </w:p>
    <w:bookmarkEnd w:id="46"/>
    <w:bookmarkStart w:id="55" w:name="experiment-3-bilingual-poa-data"/>
    <w:p>
      <w:pPr>
        <w:pStyle w:val="Heading2"/>
      </w:pPr>
      <w:r>
        <w:t xml:space="preserve">Experiment 3: Bilingual POA data</w:t>
      </w:r>
    </w:p>
    <w:p>
      <w:pPr>
        <w:pStyle w:val="FirstParagraph"/>
      </w:pPr>
      <w:r>
        <w:t xml:space="preserve">Model info here.</w:t>
      </w:r>
    </w:p>
    <w:p>
      <w:pPr>
        <w:pStyle w:val="CaptionedFigure"/>
      </w:pPr>
      <w:bookmarkStart w:id="50" w:name="fig-poa-bilinguals"/>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48" name="Picture"/>
            <a:graphic>
              <a:graphicData uri="http://schemas.openxmlformats.org/drawingml/2006/picture">
                <pic:pic>
                  <pic:nvPicPr>
                    <pic:cNvPr descr="/Users/casillas/academia/research/in_progress/spanish_english_coronals/figs/poa_all_metrics.pdf" id="49" name="Picture"/>
                    <pic:cNvPicPr>
                      <a:picLocks noChangeArrowheads="1" noChangeAspect="1"/>
                    </pic:cNvPicPr>
                  </pic:nvPicPr>
                  <pic:blipFill>
                    <a:blip r:embed="rId47"/>
                    <a:stretch>
                      <a:fillRect/>
                    </a:stretch>
                  </pic:blipFill>
                  <pic:spPr bwMode="auto">
                    <a:xfrm>
                      <a:off x="0" y="0"/>
                      <a:ext cx="5943600" cy="3962400"/>
                    </a:xfrm>
                    <a:prstGeom prst="rect">
                      <a:avLst/>
                    </a:prstGeom>
                    <a:noFill/>
                    <a:ln w="9525">
                      <a:noFill/>
                      <a:headEnd/>
                      <a:tailEnd/>
                    </a:ln>
                  </pic:spPr>
                </pic:pic>
              </a:graphicData>
            </a:graphic>
          </wp:inline>
        </w:drawing>
      </w:r>
      <w:bookmarkEnd w:id="50"/>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bookmarkStart w:id="54" w:name="fig-poa-bilinguals-summary"/>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52" name="Picture"/>
            <a:graphic>
              <a:graphicData uri="http://schemas.openxmlformats.org/drawingml/2006/picture">
                <pic:pic>
                  <pic:nvPicPr>
                    <pic:cNvPr descr="/Users/casillas/academia/research/in_progress/spanish_english_coronals/figs/poa_summary.pdf" id="53" name="Picture"/>
                    <pic:cNvPicPr>
                      <a:picLocks noChangeArrowheads="1" noChangeAspect="1"/>
                    </pic:cNvPicPr>
                  </pic:nvPicPr>
                  <pic:blipFill>
                    <a:blip r:embed="rId51"/>
                    <a:stretch>
                      <a:fillRect/>
                    </a:stretch>
                  </pic:blipFill>
                  <pic:spPr bwMode="auto">
                    <a:xfrm>
                      <a:off x="0" y="0"/>
                      <a:ext cx="5943600" cy="3760611"/>
                    </a:xfrm>
                    <a:prstGeom prst="rect">
                      <a:avLst/>
                    </a:prstGeom>
                    <a:noFill/>
                    <a:ln w="9525">
                      <a:noFill/>
                      <a:headEnd/>
                      <a:tailEnd/>
                    </a:ln>
                  </pic:spPr>
                </pic:pic>
              </a:graphicData>
            </a:graphic>
          </wp:inline>
        </w:drawing>
      </w:r>
      <w:bookmarkEnd w:id="54"/>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hyperlink w:anchor="fig-poa-bilinguals-summary">
        <w:r>
          <w:rPr>
            <w:rStyle w:val="Hyperlink"/>
          </w:rPr>
          <w:t xml:space="preserve">Figure 6</w:t>
        </w:r>
      </w:hyperlink>
    </w:p>
    <w:p>
      <w:pPr>
        <w:pStyle w:val="BodyText"/>
      </w:pPr>
      <w:r>
        <w:t xml:space="preserve">General summary and patterns.</w:t>
      </w:r>
    </w:p>
    <w:bookmarkEnd w:id="55"/>
    <w:bookmarkEnd w:id="56"/>
    <w:bookmarkStart w:id="59" w:name="discussion"/>
    <w:p>
      <w:pPr>
        <w:pStyle w:val="Heading1"/>
      </w:pPr>
      <w:r>
        <w:t xml:space="preserve">Discussion</w:t>
      </w:r>
    </w:p>
    <w:bookmarkStart w:id="57" w:name="summary-of-findings"/>
    <w:p>
      <w:pPr>
        <w:pStyle w:val="Heading2"/>
      </w:pPr>
      <w:r>
        <w:t xml:space="preserve">Summary of findings</w:t>
      </w:r>
    </w:p>
    <w:bookmarkEnd w:id="57"/>
    <w:bookmarkStart w:id="58" w:name="interpretation-and-implications"/>
    <w:p>
      <w:pPr>
        <w:pStyle w:val="Heading2"/>
      </w:pPr>
      <w:r>
        <w:t xml:space="preserve">Interpretation and implications</w:t>
      </w:r>
    </w:p>
    <w:bookmarkEnd w:id="58"/>
    <w:bookmarkEnd w:id="59"/>
    <w:bookmarkStart w:id="60" w:name="conclusion"/>
    <w:p>
      <w:pPr>
        <w:pStyle w:val="Heading1"/>
      </w:pPr>
      <w:r>
        <w:t xml:space="preserve">Conclusion</w:t>
      </w:r>
    </w:p>
    <w:p>
      <w:r>
        <w:br w:type="page"/>
      </w:r>
    </w:p>
    <w:bookmarkEnd w:id="60"/>
    <w:bookmarkStart w:id="87" w:name="supplementary-materials"/>
    <w:p>
      <w:pPr>
        <w:pStyle w:val="Heading1"/>
      </w:pPr>
      <w:r>
        <w:t xml:space="preserve">Supplementary materials</w:t>
      </w:r>
    </w:p>
    <w:bookmarkStart w:id="70" w:name="appendix-a-vowels"/>
    <w:p>
      <w:pPr>
        <w:pStyle w:val="Heading2"/>
      </w:pPr>
      <w:r>
        <w:t xml:space="preserve">Appendix A: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hyperlink w:anchor="fig-monolingual-vowels">
        <w:r>
          <w:rPr>
            <w:rStyle w:val="Hyperlink"/>
          </w:rPr>
          <w:t xml:space="preserve">Figure 7</w:t>
        </w:r>
      </w:hyperlink>
      <w:r>
        <w:t xml:space="preserve"> </w:t>
      </w:r>
      <w:r>
        <w:t xml:space="preserve">plots the F1 × F2 data and</w:t>
      </w:r>
      <w:r>
        <w:t xml:space="preserve"> </w:t>
      </w:r>
      <w:hyperlink w:anchor="fig-monolingual-vowels-summary">
        <w:r>
          <w:rPr>
            <w:rStyle w:val="Hyperlink"/>
          </w:rPr>
          <w:t xml:space="preserve">Figure 8</w:t>
        </w:r>
      </w:hyperlink>
      <w:r>
        <w:t xml:space="preserve"> </w:t>
      </w:r>
      <w:r>
        <w:t xml:space="preserve">plots the model summary.</w:t>
      </w:r>
      <w:r>
        <w:t xml:space="preserve"> </w:t>
      </w:r>
      <w:r>
        <w:t xml:space="preserve">A complete summary of the F1 and F2 models is available in</w:t>
      </w:r>
      <w:r>
        <w:t xml:space="preserve"> </w:t>
      </w:r>
      <w:hyperlink w:anchor="tbl-vowels">
        <w:r>
          <w:rPr>
            <w:rStyle w:val="Hyperlink"/>
          </w:rPr>
          <w:t xml:space="preserve">Table 1</w:t>
        </w:r>
      </w:hyperlink>
      <w:r>
        <w:t xml:space="preserve">.</w:t>
      </w:r>
    </w:p>
    <w:p>
      <w:pPr>
        <w:pStyle w:val="CaptionedFigure"/>
      </w:pPr>
      <w:bookmarkStart w:id="64" w:name="fig-monolingual-vowels"/>
      <w:r>
        <w:drawing>
          <wp:inline>
            <wp:extent cx="5943600" cy="3302000"/>
            <wp:effectExtent b="0" l="0" r="0" t="0"/>
            <wp:docPr descr="Figure 7: F1 × F2 of /a/ from monolingual speakers as a function of language (English, Spanish). Transparent points represent raw data. Solid points indicate posterior means ±95% and 80% credible intervals." title="" id="62" name="Picture"/>
            <a:graphic>
              <a:graphicData uri="http://schemas.openxmlformats.org/drawingml/2006/picture">
                <pic:pic>
                  <pic:nvPicPr>
                    <pic:cNvPr descr="/Users/casillas/academia/research/in_progress/spanish_english_coronals/figs/vowel_all_metrics_marginal.pdf" id="63" name="Picture"/>
                    <pic:cNvPicPr>
                      <a:picLocks noChangeArrowheads="1" noChangeAspect="1"/>
                    </pic:cNvPicPr>
                  </pic:nvPicPr>
                  <pic:blipFill>
                    <a:blip r:embed="rId61"/>
                    <a:stretch>
                      <a:fillRect/>
                    </a:stretch>
                  </pic:blipFill>
                  <pic:spPr bwMode="auto">
                    <a:xfrm>
                      <a:off x="0" y="0"/>
                      <a:ext cx="5943600" cy="3302000"/>
                    </a:xfrm>
                    <a:prstGeom prst="rect">
                      <a:avLst/>
                    </a:prstGeom>
                    <a:noFill/>
                    <a:ln w="9525">
                      <a:noFill/>
                      <a:headEnd/>
                      <a:tailEnd/>
                    </a:ln>
                  </pic:spPr>
                </pic:pic>
              </a:graphicData>
            </a:graphic>
          </wp:inline>
        </w:drawing>
      </w:r>
      <w:bookmarkEnd w:id="64"/>
    </w:p>
    <w:p>
      <w:pPr>
        <w:pStyle w:val="ImageCaption"/>
      </w:pPr>
      <w:r>
        <w:t xml:space="preserve">Figure 7: F1 × F2 of /a/ from monolingual speakers as a function of language (English, Spanish). Transparent points represent raw data. Solid points indicate posterior means ±95% and 80% credible intervals.</w:t>
      </w:r>
    </w:p>
    <w:p>
      <w:pPr>
        <w:pStyle w:val="CaptionedFigure"/>
      </w:pPr>
      <w:bookmarkStart w:id="68" w:name="fig-monolingual-vowels-summary"/>
      <w:r>
        <w:drawing>
          <wp:inline>
            <wp:extent cx="5943600" cy="1981200"/>
            <wp:effectExtent b="0" l="0" r="0" t="0"/>
            <wp:docPr descr="Figure 8: Posterior medians ±95% and 66% credible intervals for F1 and F2 from monolingual speaker data." title="" id="66" name="Picture"/>
            <a:graphic>
              <a:graphicData uri="http://schemas.openxmlformats.org/drawingml/2006/picture">
                <pic:pic>
                  <pic:nvPicPr>
                    <pic:cNvPr descr="/Users/casillas/academia/research/in_progress/spanish_english_coronals/figs/vowel_summary.pdf" id="67" name="Picture"/>
                    <pic:cNvPicPr>
                      <a:picLocks noChangeArrowheads="1" noChangeAspect="1"/>
                    </pic:cNvPicPr>
                  </pic:nvPicPr>
                  <pic:blipFill>
                    <a:blip r:embed="rId65"/>
                    <a:stretch>
                      <a:fillRect/>
                    </a:stretch>
                  </pic:blipFill>
                  <pic:spPr bwMode="auto">
                    <a:xfrm>
                      <a:off x="0" y="0"/>
                      <a:ext cx="5943600" cy="1981200"/>
                    </a:xfrm>
                    <a:prstGeom prst="rect">
                      <a:avLst/>
                    </a:prstGeom>
                    <a:noFill/>
                    <a:ln w="9525">
                      <a:noFill/>
                      <a:headEnd/>
                      <a:tailEnd/>
                    </a:ln>
                  </pic:spPr>
                </pic:pic>
              </a:graphicData>
            </a:graphic>
          </wp:inline>
        </w:drawing>
      </w:r>
      <w:bookmarkEnd w:id="68"/>
    </w:p>
    <w:p>
      <w:pPr>
        <w:pStyle w:val="ImageCaption"/>
      </w:pPr>
      <w:r>
        <w:t xml:space="preserve">Figure 8: Posterior medians ±95% and 66% credible intervals for F1 and F2 from monolingual speaker data.</w:t>
      </w:r>
    </w:p>
    <w:bookmarkStart w:id="69" w:name="tbl-vowels"/>
    <w:p>
      <w:pPr>
        <w:pStyle w:val="TableCaption"/>
      </w:pPr>
      <w:r>
        <w:t xml:space="preserve">Table 1: Model summary for F1 and F2 as a function of language (English, Spanish), phoneme (/d/, /t/), and item repetition for monolingual data. The percentage of the HDI contained within the ROPE is based on an effect size of ±0.1.</w:t>
      </w:r>
    </w:p>
    <w:tbl>
      <w:tblPr>
        <w:tblStyle w:val="Table"/>
        <w:tblW w:type="pct" w:w="500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780"/>
        <w:gridCol w:w="1896"/>
        <w:gridCol w:w="1450"/>
        <w:gridCol w:w="2454"/>
        <w:gridCol w:w="669"/>
        <w:gridCol w:w="66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bookmarkEnd w:id="69"/>
    <w:p>
      <w:r>
        <w:br w:type="page"/>
      </w:r>
    </w:p>
    <w:bookmarkEnd w:id="70"/>
    <w:bookmarkStart w:id="76" w:name="X9d89289f7d393a6c064f99c1ab4969909ac065f"/>
    <w:p>
      <w:pPr>
        <w:pStyle w:val="Heading2"/>
      </w:pPr>
      <w:r>
        <w:t xml:space="preserve">Appendix B: Supplementary analyses (monolinguals)</w:t>
      </w:r>
    </w:p>
    <w:bookmarkStart w:id="71" w:name="tbl-mono"/>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±0.1.</w:t>
      </w:r>
    </w:p>
    <w:tbl>
      <w:tblPr>
        <w:tblStyle w:val="Table"/>
        <w:tblW w:type="pct" w:w="500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0.1."/>
      </w:tblPr>
      <w:tblGrid>
        <w:gridCol w:w="739"/>
        <w:gridCol w:w="1478"/>
        <w:gridCol w:w="1372"/>
        <w:gridCol w:w="3062"/>
        <w:gridCol w:w="633"/>
        <w:gridCol w:w="633"/>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bookmarkEnd w:id="71"/>
    <w:p>
      <w:pPr>
        <w:pStyle w:val="CaptionedFigure"/>
      </w:pPr>
      <w:bookmarkStart w:id="75" w:name="fig-monolinguals-d-t"/>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73" name="Picture"/>
            <a:graphic>
              <a:graphicData uri="http://schemas.openxmlformats.org/drawingml/2006/picture">
                <pic:pic>
                  <pic:nvPicPr>
                    <pic:cNvPr descr="/Users/casillas/academia/research/in_progress/spanish_english_coronals/figs/mono_post_hoc_dt.pdf" id="74" name="Picture"/>
                    <pic:cNvPicPr>
                      <a:picLocks noChangeArrowheads="1" noChangeAspect="1"/>
                    </pic:cNvPicPr>
                  </pic:nvPicPr>
                  <pic:blipFill>
                    <a:blip r:embed="rId72"/>
                    <a:stretch>
                      <a:fillRect/>
                    </a:stretch>
                  </pic:blipFill>
                  <pic:spPr bwMode="auto">
                    <a:xfrm>
                      <a:off x="0" y="0"/>
                      <a:ext cx="5943600" cy="2971800"/>
                    </a:xfrm>
                    <a:prstGeom prst="rect">
                      <a:avLst/>
                    </a:prstGeom>
                    <a:noFill/>
                    <a:ln w="9525">
                      <a:noFill/>
                      <a:headEnd/>
                      <a:tailEnd/>
                    </a:ln>
                  </pic:spPr>
                </pic:pic>
              </a:graphicData>
            </a:graphic>
          </wp:inline>
        </w:drawing>
      </w:r>
      <w:bookmarkEnd w:id="75"/>
    </w:p>
    <w:p>
      <w:pPr>
        <w:pStyle w:val="ImageCaption"/>
      </w:pPr>
      <w:r>
        <w:t xml:space="preserve">Figure 9: Posterior distribution comparing the short-lag stops, English /d/ and Spanish /t/. The white point represents the posterior mean ± 95% HDI and the grey region represents the ROPE (± 0.1).</w:t>
      </w:r>
    </w:p>
    <w:p>
      <w:r>
        <w:br w:type="page"/>
      </w:r>
    </w:p>
    <w:bookmarkEnd w:id="76"/>
    <w:bookmarkStart w:id="78" w:name="X4637e385458377b68173ba687d51d758dfad53e"/>
    <w:p>
      <w:pPr>
        <w:pStyle w:val="Heading2"/>
      </w:pPr>
      <w:r>
        <w:t xml:space="preserve">Appendix C: supplementary analyses (bilinguals)</w:t>
      </w:r>
    </w:p>
    <w:bookmarkStart w:id="77" w:name="tbl-bi"/>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±0.1.</w:t>
      </w:r>
    </w:p>
    <w:tbl>
      <w:tblPr>
        <w:tblStyle w:val="Table"/>
        <w:tblW w:type="pct" w:w="500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0.1."/>
      </w:tblPr>
      <w:tblGrid>
        <w:gridCol w:w="710"/>
        <w:gridCol w:w="1726"/>
        <w:gridCol w:w="1320"/>
        <w:gridCol w:w="2944"/>
        <w:gridCol w:w="609"/>
        <w:gridCol w:w="609"/>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bookmarkEnd w:id="77"/>
    <w:p>
      <w:r>
        <w:br w:type="page"/>
      </w:r>
    </w:p>
    <w:bookmarkEnd w:id="78"/>
    <w:bookmarkStart w:id="80" w:name="X4ed28ac254a459bc2dacf748b6fbff35fa34930"/>
    <w:p>
      <w:pPr>
        <w:pStyle w:val="Heading2"/>
      </w:pPr>
      <w:r>
        <w:t xml:space="preserve">Appendix D: Supplementary analyses (place of articulation)</w:t>
      </w:r>
    </w:p>
    <w:bookmarkStart w:id="79" w:name="tbl-bi-poa"/>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±0.1.</w:t>
      </w:r>
    </w:p>
    <w:tbl>
      <w:tblPr>
        <w:tblStyle w:val="Table"/>
        <w:tblW w:type="pct" w:w="500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0.1."/>
      </w:tblPr>
      <w:tblGrid>
        <w:gridCol w:w="729"/>
        <w:gridCol w:w="1563"/>
        <w:gridCol w:w="1354"/>
        <w:gridCol w:w="3022"/>
        <w:gridCol w:w="625"/>
        <w:gridCol w:w="625"/>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79"/>
    <w:p>
      <w:r>
        <w:br w:type="page"/>
      </w:r>
    </w:p>
    <w:bookmarkEnd w:id="80"/>
    <w:bookmarkStart w:id="83" w:name="appendix-e-bayesian-data-analysis"/>
    <w:p>
      <w:pPr>
        <w:pStyle w:val="Heading2"/>
      </w:pPr>
      <w:r>
        <w:t xml:space="preserve">Appendix E: Bayesian data analysis</w:t>
      </w:r>
    </w:p>
    <w:p>
      <w:pPr>
        <w:pStyle w:val="FirstParagraph"/>
      </w:pPr>
      <w:r>
        <w:t xml:space="preserve">This study employs Bayesian Data Analysis for quantitative inferential 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includes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81"/>
      </w:r>
      <w:r>
        <w:t xml:space="preserve"> </w:t>
      </w:r>
      <w:r>
        <w:t xml:space="preserve">The MPE calculates the proportion of the posterior distribution that is of the median’s sign (or the probability that the effect is positive or negative).</w:t>
      </w:r>
    </w:p>
    <w:p>
      <w:pPr>
        <w:pStyle w:val="BodyText"/>
      </w:pPr>
      <w:bookmarkStart w:id="82" w:name="eq-rope"/>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bookmarkEnd w:id="82"/>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p>
      <w:r>
        <w:br w:type="page"/>
      </w:r>
    </w:p>
    <w:bookmarkEnd w:id="83"/>
    <w:bookmarkStart w:id="86" w:name="appendix-f-reproducibility-information"/>
    <w:p>
      <w:pPr>
        <w:pStyle w:val="Heading2"/>
      </w:pPr>
      <w:r>
        <w:t xml:space="preserve">Appendix F: Reproducibility information</w:t>
      </w:r>
    </w:p>
    <w:bookmarkStart w:id="84" w:name="about-this-document"/>
    <w:p>
      <w:pPr>
        <w:pStyle w:val="Heading3"/>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84"/>
    <w:bookmarkStart w:id="85" w:name="session-info"/>
    <w:p>
      <w:pPr>
        <w:pStyle w:val="Heading3"/>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2022-04-06</w:t>
      </w:r>
      <w:r>
        <w:br/>
      </w:r>
      <w:r>
        <w:rPr>
          <w:rStyle w:val="VerbatimChar"/>
        </w:rPr>
        <w:t xml:space="preserve">&gt;   pandoc   2.17.1.1 @ /Applications/RStudio.app/Contents/MacOS/quarto/bin/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85"/>
    <w:bookmarkEnd w:id="86"/>
    <w:bookmarkEnd w:id="87"/>
    <w:bookmarkStart w:id="107" w:name="references"/>
    <w:p>
      <w:pPr>
        <w:pStyle w:val="Heading1"/>
      </w:pPr>
      <w:r>
        <w:t xml:space="preserve">References</w:t>
      </w:r>
    </w:p>
    <w:bookmarkStart w:id="106" w:name="refs"/>
    <w:bookmarkStart w:id="89"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88">
        <w:r>
          <w:rPr>
            <w:rStyle w:val="Hyperlink"/>
          </w:rPr>
          <w:t xml:space="preserve">https://github.com/crsh/papaja</w:t>
        </w:r>
      </w:hyperlink>
    </w:p>
    <w:bookmarkEnd w:id="89"/>
    <w:bookmarkStart w:id="91" w:name="ref-praat"/>
    <w:p>
      <w:pPr>
        <w:pStyle w:val="Bibliography"/>
      </w:pPr>
      <w:r>
        <w:t xml:space="preserve">Boersma, P., &amp; Weenink, D. (2022).</w:t>
      </w:r>
      <w:r>
        <w:t xml:space="preserve"> </w:t>
      </w:r>
      <w:r>
        <w:rPr>
          <w:iCs/>
          <w:i/>
        </w:rPr>
        <w:t xml:space="preserve">Praat: Doing phonetics by computer [computer program]</w:t>
      </w:r>
      <w:r>
        <w:t xml:space="preserve">. Retrieved from</w:t>
      </w:r>
      <w:r>
        <w:t xml:space="preserve"> </w:t>
      </w:r>
      <w:hyperlink r:id="rId90">
        <w:r>
          <w:rPr>
            <w:rStyle w:val="Hyperlink"/>
          </w:rPr>
          <w:t xml:space="preserve">http://www.praat.org/</w:t>
        </w:r>
      </w:hyperlink>
    </w:p>
    <w:bookmarkEnd w:id="91"/>
    <w:bookmarkStart w:id="9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92">
        <w:r>
          <w:rPr>
            <w:rStyle w:val="Hyperlink"/>
          </w:rPr>
          <w:t xml:space="preserve">https://doi.org/10.18637/jss.v080.i01</w:t>
        </w:r>
      </w:hyperlink>
    </w:p>
    <w:bookmarkEnd w:id="93"/>
    <w:bookmarkStart w:id="9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94">
        <w:r>
          <w:rPr>
            <w:rStyle w:val="Hyperlink"/>
          </w:rPr>
          <w:t xml:space="preserve">https://doi.org/10.32614/RJ-2018-017</w:t>
        </w:r>
      </w:hyperlink>
    </w:p>
    <w:bookmarkEnd w:id="95"/>
    <w:bookmarkStart w:id="9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96"/>
    <w:bookmarkStart w:id="9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97"/>
    <w:bookmarkStart w:id="9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98">
        <w:r>
          <w:rPr>
            <w:rStyle w:val="Hyperlink"/>
          </w:rPr>
          <w:t xml:space="preserve">https://doi.org/10.3390/e19100555</w:t>
        </w:r>
      </w:hyperlink>
    </w:p>
    <w:bookmarkEnd w:id="99"/>
    <w:bookmarkStart w:id="100" w:name="ref-Gertken:2014wj"/>
    <w:p>
      <w:pPr>
        <w:pStyle w:val="Bibliography"/>
      </w:pPr>
      <w:r>
        <w:t xml:space="preserve">Gertken, L. M., Amengual, M., &amp; Birdsong, D. (2014).</w:t>
      </w:r>
      <w:r>
        <w:t xml:space="preserve"> </w:t>
      </w:r>
      <w:r>
        <w:rPr>
          <w:iCs/>
          <w:i/>
        </w:rPr>
        <w:t xml:space="preserve">Assessing Language Dominance with the Bilingual Language Profile</w:t>
      </w:r>
      <w:r>
        <w:t xml:space="preserve"> </w:t>
      </w:r>
      <w:r>
        <w:t xml:space="preserve">(P. Leclercq, A. Edmonds, &amp; H. Hilton, Eds.). Bristol: Multilingual Matters.</w:t>
      </w:r>
    </w:p>
    <w:bookmarkEnd w:id="100"/>
    <w:bookmarkStart w:id="101"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101"/>
    <w:bookmarkStart w:id="103"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02">
        <w:r>
          <w:rPr>
            <w:rStyle w:val="Hyperlink"/>
          </w:rPr>
          <w:t xml:space="preserve">https://www.R-project.org/</w:t>
        </w:r>
      </w:hyperlink>
    </w:p>
    <w:bookmarkEnd w:id="103"/>
    <w:bookmarkStart w:id="104"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104"/>
    <w:bookmarkStart w:id="105"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105"/>
    <w:bookmarkEnd w:id="106"/>
    <w:bookmarkEnd w:id="107"/>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81">
    <w:p>
      <w:pPr>
        <w:pStyle w:val="FootnoteText"/>
      </w:pPr>
      <w:r>
        <w:rPr>
          <w:rStyle w:val="FootnoteReference"/>
        </w:rPr>
        <w:footnoteRef/>
      </w:r>
      <w:r>
        <w:t xml:space="preserve"> </w:t>
      </w:r>
      <w:r>
        <w:t xml:space="preserve">We utilize a ROPE of ±1 for standardized values.</w:t>
      </w:r>
      <w:r>
        <w:t xml:space="preserve"> </w:t>
      </w:r>
      <w:r>
        <w:t xml:space="preserve">For non-standardized values</w:t>
      </w:r>
      <w:r>
        <w:t xml:space="preserve"> </w:t>
      </w:r>
      <w:r>
        <w:t xml:space="preserve">Kruschke (2018)</w:t>
      </w:r>
      <w:r>
        <w:t xml:space="preserve"> </w:t>
      </w:r>
      <w:r>
        <w:t xml:space="preserve">recommends using the formula in</w:t>
      </w:r>
      <w:r>
        <w:t xml:space="preserve"> </w:t>
      </w:r>
      <w:hyperlink w:anchor="eq-rope">
        <w:r>
          <w:rPr>
            <w:rStyle w:val="Hyperlink"/>
          </w:rPr>
          <w:t xml:space="preserve">Equation 1</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42" Target="media/rId42.pdf" /><Relationship Type="http://schemas.openxmlformats.org/officeDocument/2006/relationships/image" Id="rId29" Target="media/rId29.pdf" /><Relationship Type="http://schemas.openxmlformats.org/officeDocument/2006/relationships/image" Id="rId72" Target="media/rId72.pdf" /><Relationship Type="http://schemas.openxmlformats.org/officeDocument/2006/relationships/image" Id="rId33" Target="media/rId33.pdf" /><Relationship Type="http://schemas.openxmlformats.org/officeDocument/2006/relationships/image" Id="rId47" Target="media/rId47.pdf" /><Relationship Type="http://schemas.openxmlformats.org/officeDocument/2006/relationships/image" Id="rId51" Target="media/rId51.pdf" /><Relationship Type="http://schemas.openxmlformats.org/officeDocument/2006/relationships/image" Id="rId61" Target="media/rId61.pdf" /><Relationship Type="http://schemas.openxmlformats.org/officeDocument/2006/relationships/image" Id="rId65" Target="media/rId65.pdf" /><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90" Target="http://www.praat.org/" TargetMode="External" /><Relationship Type="http://schemas.openxmlformats.org/officeDocument/2006/relationships/hyperlink" Id="rId92" Target="https://doi.org/10.18637/jss.v080.i01" TargetMode="External" /><Relationship Type="http://schemas.openxmlformats.org/officeDocument/2006/relationships/hyperlink" Id="rId94" Target="https://doi.org/10.32614/RJ-2018-017" TargetMode="External" /><Relationship Type="http://schemas.openxmlformats.org/officeDocument/2006/relationships/hyperlink" Id="rId98" Target="https://doi.org/10.3390/e19100555" TargetMode="External" /><Relationship Type="http://schemas.openxmlformats.org/officeDocument/2006/relationships/hyperlink" Id="rId88" Target="https://github.com/crsh/papaja" TargetMode="External" /><Relationship Type="http://schemas.openxmlformats.org/officeDocument/2006/relationships/hyperlink" Id="rId10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&amp; Alexander Aldrich</dc:creator>
  <cp:category>article</cp:category>
  <dc:description>test</dc:description>
  <dc:subject>linguistics</dc:subject>
  <cp:keywords/>
  <dcterms:created xsi:type="dcterms:W3CDTF">2022-04-07T02:57:38Z</dcterms:created>
  <dcterms:modified xsi:type="dcterms:W3CDTF">2022-04-07T02:57:38Z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../../refs/apa-6th-edition.csl</vt:lpwstr>
  </property>
  <property fmtid="{D5CDD505-2E9C-101B-9397-08002B2CF9AE}" pid="4" name="editor_options">
    <vt:lpwstr/>
  </property>
  <property fmtid="{D5CDD505-2E9C-101B-9397-08002B2CF9AE}" pid="5" name="execute">
    <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dent">
    <vt:lpwstr>True</vt:lpwstr>
  </property>
  <property fmtid="{D5CDD505-2E9C-101B-9397-08002B2CF9AE}" pid="11" name="toc-title">
    <vt:lpwstr>Table of contents</vt:lpwstr>
  </property>
</Properties>
</file>