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32.pdf" ContentType="application/pdf"/>
  <Override PartName="/word/media/rId28.pdf" ContentType="application/pdf"/>
  <Override PartName="/word/media/rId43.pdf" ContentType="application/pdf"/>
  <Override PartName="/word/media/rId29.pdf" ContentType="application/pdf"/>
  <Override PartName="/word/media/rId34.pdf" ContentType="application/pdf"/>
  <Override PartName="/word/media/rId35.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Alexander</w:t>
      </w:r>
      <w:r>
        <w:t xml:space="preserve"> </w:t>
      </w:r>
      <w:r>
        <w:t xml:space="preserve">Aldrich</w:t>
      </w:r>
    </w:p>
    <w:bookmarkStart w:id="20" w:name="introduction"/>
    <w:p>
      <w:pPr>
        <w:pStyle w:val="Heading1"/>
      </w:pPr>
      <w:r>
        <w:rPr>
          <w:rStyle w:val="SectionNumber"/>
        </w:rPr>
        <w:t xml:space="preserve">1</w:t>
      </w:r>
      <w:r>
        <w:tab/>
      </w:r>
      <w:r>
        <w:t xml:space="preserve">Introduction</w:t>
      </w:r>
    </w:p>
    <w:bookmarkEnd w:id="20"/>
    <w:bookmarkStart w:id="21" w:name="background-and-motivation"/>
    <w:p>
      <w:pPr>
        <w:pStyle w:val="Heading1"/>
      </w:pPr>
      <w:r>
        <w:rPr>
          <w:rStyle w:val="SectionNumber"/>
        </w:rPr>
        <w:t xml:space="preserve">2</w:t>
      </w:r>
      <w:r>
        <w:tab/>
      </w:r>
      <w:r>
        <w:t xml:space="preserve">Background and motivation</w:t>
      </w:r>
    </w:p>
    <w:bookmarkEnd w:id="21"/>
    <w:bookmarkStart w:id="27" w:name="method"/>
    <w:p>
      <w:pPr>
        <w:pStyle w:val="Heading1"/>
      </w:pPr>
      <w:r>
        <w:rPr>
          <w:rStyle w:val="SectionNumber"/>
        </w:rPr>
        <w:t xml:space="preserve">3</w:t>
      </w:r>
      <w:r>
        <w:tab/>
      </w:r>
      <w:r>
        <w:t xml:space="preserve">Method</w:t>
      </w:r>
    </w:p>
    <w:bookmarkStart w:id="22" w:name="participants"/>
    <w:p>
      <w:pPr>
        <w:pStyle w:val="Heading2"/>
      </w:pPr>
      <w:r>
        <w:rPr>
          <w:rStyle w:val="SectionNumber"/>
        </w:rPr>
        <w:t xml:space="preserve">3.1</w:t>
      </w:r>
      <w:r>
        <w:tab/>
      </w: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2"/>
    <w:bookmarkStart w:id="23" w:name="metrics"/>
    <w:p>
      <w:pPr>
        <w:pStyle w:val="Heading2"/>
      </w:pPr>
      <w:r>
        <w:rPr>
          <w:rStyle w:val="SectionNumber"/>
        </w:rPr>
        <w:t xml:space="preserve">3.2</w:t>
      </w:r>
      <w:r>
        <w:tab/>
      </w:r>
      <w:r>
        <w:t xml:space="preserve">Metrics</w:t>
      </w:r>
    </w:p>
    <w:p>
      <w:pPr>
        <w:pStyle w:val="FirstParagraph"/>
      </w:pPr>
      <w:r>
        <w:t xml:space="preserve">F1/F2, voice onset time, relative intensity, center of gravity, standard deviation, skewness, kurtosis</w:t>
      </w:r>
    </w:p>
    <w:bookmarkEnd w:id="23"/>
    <w:bookmarkStart w:id="24" w:name="procedure"/>
    <w:p>
      <w:pPr>
        <w:pStyle w:val="Heading2"/>
      </w:pPr>
      <w:r>
        <w:rPr>
          <w:rStyle w:val="SectionNumber"/>
        </w:rPr>
        <w:t xml:space="preserve">3.3</w:t>
      </w:r>
      <w:r>
        <w:tab/>
      </w:r>
      <w:r>
        <w:t xml:space="preserve">Procedure</w:t>
      </w:r>
    </w:p>
    <w:p>
      <w:pPr>
        <w:pStyle w:val="FirstParagraph"/>
      </w:pPr>
      <w:r>
        <w:t xml:space="preserve">Decide if we will present 3 separate experiments with 3 different methods sections.</w:t>
      </w:r>
    </w:p>
    <w:bookmarkEnd w:id="24"/>
    <w:bookmarkStart w:id="26" w:name="statistical-analyses"/>
    <w:p>
      <w:pPr>
        <w:pStyle w:val="Heading2"/>
      </w:pPr>
      <w:r>
        <w:rPr>
          <w:rStyle w:val="SectionNumber"/>
        </w:rPr>
        <w:t xml:space="preserve">3.4</w:t>
      </w:r>
      <w:r>
        <w:tab/>
      </w: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ootnoteReference"/>
        </w:rPr>
        <w:footnoteReference w:id="25"/>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6"/>
    <w:bookmarkEnd w:id="27"/>
    <w:bookmarkStart w:id="37" w:name="results"/>
    <w:p>
      <w:pPr>
        <w:pStyle w:val="Heading1"/>
      </w:pPr>
      <w:r>
        <w:rPr>
          <w:rStyle w:val="SectionNumber"/>
        </w:rPr>
        <w:t xml:space="preserve">4</w:t>
      </w:r>
      <w:r>
        <w:tab/>
      </w: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0" w:name="experiment-1-monolinguals"/>
    <w:p>
      <w:pPr>
        <w:pStyle w:val="Heading2"/>
      </w:pPr>
      <w:r>
        <w:rPr>
          <w:rStyle w:val="SectionNumber"/>
        </w:rPr>
        <w:t xml:space="preserve">4.1</w:t>
      </w:r>
      <w:r>
        <w:tab/>
      </w: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4.1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43600" cy="3962400"/>
            <wp:effectExtent b="0" l="0" r="0" t="0"/>
            <wp:docPr descr="Figure 4.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 Figure</w:t>
      </w:r>
      <w:r>
        <w:t xml:space="preserve"> </w:t>
      </w:r>
      <w:r>
        <w:t xml:space="preserve">4.1</w:t>
      </w:r>
      <w:r>
        <w:t xml:space="preserve">.</w:t>
      </w:r>
      <w:r>
        <w:t xml:space="preserve"> </w:t>
      </w:r>
      <w:r>
        <w:t xml:space="preserve">The complete model summary and the short-lag stop comparison are available in Table</w:t>
      </w:r>
      <w:r>
        <w:t xml:space="preserve"> </w:t>
      </w:r>
      <w:r>
        <w:t xml:space="preserve">6.2</w:t>
      </w:r>
      <w:r>
        <w:t xml:space="preserve"> </w:t>
      </w:r>
      <w:r>
        <w:t xml:space="preserve">and Figure</w:t>
      </w:r>
      <w:r>
        <w:t xml:space="preserve"> </w:t>
      </w:r>
      <w:r>
        <w:t xml:space="preserve">6.3</w:t>
      </w:r>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 Figure</w:t>
      </w:r>
      <w:r>
        <w:t xml:space="preserve"> </w:t>
      </w:r>
      <w:r>
        <w:t xml:space="preserve">4.1</w:t>
      </w:r>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 Figure</w:t>
      </w:r>
      <w:r>
        <w:t xml:space="preserve"> </w:t>
      </w:r>
      <w:r>
        <w:t xml:space="preserve">4.1</w:t>
      </w:r>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 Figure</w:t>
      </w:r>
      <w:r>
        <w:t xml:space="preserve"> </w:t>
      </w:r>
      <w:r>
        <w:t xml:space="preserve">4.1</w:t>
      </w:r>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 Figure</w:t>
      </w:r>
      <w:r>
        <w:t xml:space="preserve"> </w:t>
      </w:r>
      <w:r>
        <w:t xml:space="preserve">4.1</w:t>
      </w:r>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 Figure</w:t>
      </w:r>
      <w:r>
        <w:t xml:space="preserve"> </w:t>
      </w:r>
      <w:r>
        <w:t xml:space="preserve">4.1</w:t>
      </w:r>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r>
        <w:drawing>
          <wp:inline>
            <wp:extent cx="5943600" cy="3760611"/>
            <wp:effectExtent b="0" l="0" r="0" t="0"/>
            <wp:docPr descr="Figure 4.2: Posterior medians ±95% and 66% credible intervals for VOT and burst metrics of monolingual coronal stops. Individual point shapes and colors represent the six metrics analyzed. In this analysis, ‘group’ indicates between-language comparisons of different speaker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29"/>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4.2: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General summary and patterns.</w:t>
      </w:r>
      <w:r>
        <w:t xml:space="preserve"> </w:t>
      </w:r>
      <w:r>
        <w:t xml:space="preserve">VOT no surprise</w:t>
      </w:r>
      <w:r>
        <w:t xml:space="preserve"> </w:t>
      </w:r>
      <w:r>
        <w:t xml:space="preserve">RI does nothing</w:t>
      </w:r>
      <w:r>
        <w:t xml:space="preserve"> </w:t>
      </w:r>
      <w:r>
        <w:t xml:space="preserve">spectral moments relevant in spanish, nothing in english</w:t>
      </w:r>
      <w:r>
        <w:t xml:space="preserve"> </w:t>
      </w:r>
      <w:r>
        <w:t xml:space="preserve">Skewness and kurtosis pattern similarly, as do COG and standard deviation.</w:t>
      </w:r>
    </w:p>
    <w:bookmarkEnd w:id="30"/>
    <w:bookmarkStart w:id="33" w:name="experiment-2-bilinguals"/>
    <w:p>
      <w:pPr>
        <w:pStyle w:val="Heading2"/>
      </w:pPr>
      <w:r>
        <w:rPr>
          <w:rStyle w:val="SectionNumber"/>
        </w:rPr>
        <w:t xml:space="preserve">4.2</w:t>
      </w:r>
      <w:r>
        <w:tab/>
      </w:r>
      <w:r>
        <w:t xml:space="preserve">Experiment 2: Bilinguals</w:t>
      </w:r>
    </w:p>
    <w:p>
      <w:pPr>
        <w:pStyle w:val="FirstParagraph"/>
      </w:pPr>
      <w:r>
        <w:t xml:space="preserve">Model info here.</w:t>
      </w:r>
    </w:p>
    <w:p>
      <w:pPr>
        <w:pStyle w:val="CaptionedFigure"/>
      </w:pPr>
      <w:r>
        <w:drawing>
          <wp:inline>
            <wp:extent cx="5943600" cy="3962400"/>
            <wp:effectExtent b="0" l="0" r="0" t="0"/>
            <wp:docPr descr="Figure 4.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r>
        <w:drawing>
          <wp:inline>
            <wp:extent cx="5943600" cy="3760611"/>
            <wp:effectExtent b="0" l="0" r="0" t="0"/>
            <wp:docPr descr="Figure 4.4: Posterior medians ±95% and 66% credible intervals for VOT and burst metrics of bilingual coronal stops. Individual point shapes and colors represent the six metrics analyzed. In this analysis, ‘Language’ refers to a within-participant comparison between English and Spanish."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2"/>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4.4: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33"/>
    <w:bookmarkStart w:id="36" w:name="experiment-3-bilingual-poa-data"/>
    <w:p>
      <w:pPr>
        <w:pStyle w:val="Heading2"/>
      </w:pPr>
      <w:r>
        <w:rPr>
          <w:rStyle w:val="SectionNumber"/>
        </w:rPr>
        <w:t xml:space="preserve">4.3</w:t>
      </w:r>
      <w:r>
        <w:tab/>
      </w:r>
      <w:r>
        <w:t xml:space="preserve">Experiment 3: Bilingual POA data</w:t>
      </w:r>
    </w:p>
    <w:p>
      <w:pPr>
        <w:pStyle w:val="FirstParagraph"/>
      </w:pPr>
      <w:r>
        <w:t xml:space="preserve">Model info here.</w:t>
      </w:r>
    </w:p>
    <w:p>
      <w:pPr>
        <w:pStyle w:val="CaptionedFigure"/>
      </w:pPr>
      <w:r>
        <w:drawing>
          <wp:inline>
            <wp:extent cx="5943600" cy="3962400"/>
            <wp:effectExtent b="0" l="0" r="0" t="0"/>
            <wp:docPr descr="Figure 4.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r>
        <w:drawing>
          <wp:inline>
            <wp:extent cx="5943600" cy="3760611"/>
            <wp:effectExtent b="0" l="0" r="0" t="0"/>
            <wp:docPr descr="Figure 4.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4.6: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r>
        <w:t xml:space="preserve">Figure</w:t>
      </w:r>
      <w:r>
        <w:t xml:space="preserve"> </w:t>
      </w:r>
      <w:r>
        <w:t xml:space="preserve">4.6</w:t>
      </w:r>
    </w:p>
    <w:bookmarkEnd w:id="36"/>
    <w:bookmarkEnd w:id="37"/>
    <w:bookmarkStart w:id="40" w:name="discussion"/>
    <w:p>
      <w:pPr>
        <w:pStyle w:val="Heading1"/>
      </w:pPr>
      <w:r>
        <w:rPr>
          <w:rStyle w:val="SectionNumber"/>
        </w:rPr>
        <w:t xml:space="preserve">5</w:t>
      </w:r>
      <w:r>
        <w:tab/>
      </w:r>
      <w:r>
        <w:t xml:space="preserve">Discussion</w:t>
      </w:r>
    </w:p>
    <w:bookmarkStart w:id="38" w:name="summary-of-findings"/>
    <w:p>
      <w:pPr>
        <w:pStyle w:val="Heading2"/>
      </w:pPr>
      <w:r>
        <w:rPr>
          <w:rStyle w:val="SectionNumber"/>
        </w:rPr>
        <w:t xml:space="preserve">5.1</w:t>
      </w:r>
      <w:r>
        <w:tab/>
      </w:r>
      <w:r>
        <w:t xml:space="preserve">Summary of findings</w:t>
      </w:r>
    </w:p>
    <w:bookmarkEnd w:id="38"/>
    <w:bookmarkStart w:id="39" w:name="interpretation-and-implications"/>
    <w:p>
      <w:pPr>
        <w:pStyle w:val="Heading2"/>
      </w:pPr>
      <w:r>
        <w:rPr>
          <w:rStyle w:val="SectionNumber"/>
        </w:rPr>
        <w:t xml:space="preserve">5.2</w:t>
      </w:r>
      <w:r>
        <w:tab/>
      </w:r>
      <w:r>
        <w:t xml:space="preserve">Interpretation and implications</w:t>
      </w:r>
    </w:p>
    <w:bookmarkEnd w:id="39"/>
    <w:bookmarkEnd w:id="40"/>
    <w:bookmarkStart w:id="49" w:name="conclusion"/>
    <w:p>
      <w:pPr>
        <w:pStyle w:val="Heading1"/>
      </w:pPr>
      <w:r>
        <w:rPr>
          <w:rStyle w:val="SectionNumber"/>
        </w:rPr>
        <w:t xml:space="preserve">6</w:t>
      </w:r>
      <w:r>
        <w:tab/>
      </w:r>
      <w:r>
        <w:t xml:space="preserve">Conclusion</w:t>
      </w:r>
    </w:p>
    <w:p>
      <w:r>
        <w:br w:type="page"/>
      </w:r>
    </w:p>
    <w:bookmarkStart w:id="44" w:name="experiment-0-vowels"/>
    <w:p>
      <w:pPr>
        <w:pStyle w:val="Heading2"/>
      </w:pPr>
      <w:r>
        <w:rPr>
          <w:rStyle w:val="SectionNumber"/>
        </w:rPr>
        <w:t xml:space="preserve">6.1</w:t>
      </w:r>
      <w:r>
        <w:tab/>
      </w:r>
      <w:r>
        <w:t xml:space="preserve">Experiment 0: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r>
        <w:t xml:space="preserve">Figure </w:t>
      </w:r>
      <w:r>
        <w:t xml:space="preserve">6.1</w:t>
      </w:r>
      <w:r>
        <w:t xml:space="preserve"> </w:t>
      </w:r>
      <w:r>
        <w:t xml:space="preserve">plots the F1 × F2 data and Figure </w:t>
      </w:r>
      <w:r>
        <w:t xml:space="preserve">6.2</w:t>
      </w:r>
      <w:r>
        <w:t xml:space="preserve"> </w:t>
      </w:r>
      <w:r>
        <w:t xml:space="preserve">plots the model summary.</w:t>
      </w:r>
      <w:r>
        <w:t xml:space="preserve"> </w:t>
      </w:r>
      <w:r>
        <w:t xml:space="preserve">A complete summary of the F1 and F2 models is available in Table</w:t>
      </w:r>
      <w:r>
        <w:t xml:space="preserve"> </w:t>
      </w:r>
      <w:r>
        <w:t xml:space="preserve">6.1</w:t>
      </w:r>
      <w:r>
        <w:t xml:space="preserve">.</w:t>
      </w:r>
    </w:p>
    <w:p>
      <w:pPr>
        <w:pStyle w:val="CaptionedFigure"/>
      </w:pPr>
      <w:r>
        <w:drawing>
          <wp:inline>
            <wp:extent cx="5943600" cy="3302000"/>
            <wp:effectExtent b="0" l="0" r="0" t="0"/>
            <wp:docPr descr="Figure 6.1: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41"/>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6.1: F1 × F2 of /a/ from monolingual speakers as a function of language (English, Spanish). Transparent points represent raw data. Solid points indicate posterior means ± 95% and 80% credible intervals.</w:t>
      </w:r>
    </w:p>
    <w:p>
      <w:pPr>
        <w:pStyle w:val="CaptionedFigure"/>
      </w:pPr>
      <w:r>
        <w:drawing>
          <wp:inline>
            <wp:extent cx="5943600" cy="1981200"/>
            <wp:effectExtent b="0" l="0" r="0" t="0"/>
            <wp:docPr descr="Figure 6.2: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42"/>
                    <a:stretch>
                      <a:fillRect/>
                    </a:stretch>
                  </pic:blipFill>
                  <pic:spPr bwMode="auto">
                    <a:xfrm>
                      <a:off x="0" y="0"/>
                      <a:ext cx="5943600" cy="1981200"/>
                    </a:xfrm>
                    <a:prstGeom prst="rect">
                      <a:avLst/>
                    </a:prstGeom>
                    <a:noFill/>
                    <a:ln w="9525">
                      <a:noFill/>
                      <a:headEnd/>
                      <a:tailEnd/>
                    </a:ln>
                  </pic:spPr>
                </pic:pic>
              </a:graphicData>
            </a:graphic>
          </wp:inline>
        </w:drawing>
      </w:r>
    </w:p>
    <w:p>
      <w:pPr>
        <w:pStyle w:val="ImageCaption"/>
      </w:pPr>
      <w:r>
        <w:t xml:space="preserve">Figure 6.2: Posterior medians ± 95% and 66% credible intervals for F1 and F2 from monolingual speaker data.</w:t>
      </w:r>
    </w:p>
    <w:p>
      <w:pPr>
        <w:pStyle w:val="TableCaption"/>
      </w:pPr>
      <w:r>
        <w:t xml:space="preserve">Table 6.1: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6.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p/>
    <w:p>
      <w:pPr>
        <w:pStyle w:val="TableCaption"/>
      </w:pPr>
      <w:r>
        <w:t xml:space="preserve">Table 6.2: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6.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43600" cy="2971800"/>
            <wp:effectExtent b="0" l="0" r="0" t="0"/>
            <wp:docPr descr="Figure 6.3: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t.pdf"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6.3: Posterior distribution comparing the short-lag stops, English /d/ and Spanish /t/. The white point represents the posterior mean ± 95% HDI and the grey region represents the ROPE (± 0.1).</w:t>
      </w:r>
    </w:p>
    <w:p>
      <w:pPr>
        <w:pStyle w:val="TableCaption"/>
      </w:pPr>
      <w:r>
        <w:t xml:space="preserve">Table 6.3: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6.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p/>
    <w:p>
      <w:pPr>
        <w:pStyle w:val="TableCaption"/>
      </w:pPr>
      <w:r>
        <w:t xml:space="preserve">Table 6.4: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6.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44"/>
    <w:bookmarkStart w:id="46" w:name="bayesian-data-analysis"/>
    <w:p>
      <w:pPr>
        <w:pStyle w:val="Heading2"/>
      </w:pPr>
      <w:r>
        <w:rPr>
          <w:rStyle w:val="SectionNumber"/>
        </w:rPr>
        <w:t xml:space="preserve">6.2</w:t>
      </w:r>
      <w:r>
        <w:tab/>
      </w: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incldues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45"/>
      </w:r>
      <w:r>
        <w:t xml:space="preserve"> </w:t>
      </w:r>
      <w:r>
        <w:t xml:space="preserve">The MPE calculates the proportion of the posterior distribution that is of the median’s sign (or the probability that the effect is positive or negative).</w:t>
      </w:r>
    </w:p>
    <w:p>
      <w:pPr>
        <w:pStyle w:val="BodyText"/>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6.1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bookmarkEnd w:id="46"/>
    <w:bookmarkStart w:id="47" w:name="about-this-document"/>
    <w:p>
      <w:pPr>
        <w:pStyle w:val="Heading2"/>
      </w:pPr>
      <w:r>
        <w:rPr>
          <w:rStyle w:val="SectionNumber"/>
        </w:rPr>
        <w:t xml:space="preserve">6.3</w:t>
      </w:r>
      <w:r>
        <w:tab/>
      </w: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47"/>
    <w:bookmarkStart w:id="48" w:name="session-info"/>
    <w:p>
      <w:pPr>
        <w:pStyle w:val="Heading2"/>
      </w:pPr>
      <w:r>
        <w:rPr>
          <w:rStyle w:val="SectionNumber"/>
        </w:rPr>
        <w:t xml:space="preserve">6.4</w:t>
      </w:r>
      <w:r>
        <w:tab/>
      </w: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2022-04-02</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bookmarkEnd w:id="48"/>
    <w:bookmarkEnd w:id="49"/>
    <w:bookmarkStart w:id="66" w:name="references"/>
    <w:p>
      <w:pPr>
        <w:pStyle w:val="Heading1"/>
      </w:pPr>
      <w:r>
        <w:t xml:space="preserve">References</w:t>
      </w:r>
    </w:p>
    <w:bookmarkStart w:id="65" w:name="refs"/>
    <w:bookmarkStart w:id="51"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0">
        <w:r>
          <w:rPr>
            <w:rStyle w:val="Hyperlink"/>
          </w:rPr>
          <w:t xml:space="preserve">https://github.com/crsh/papaja</w:t>
        </w:r>
      </w:hyperlink>
    </w:p>
    <w:bookmarkEnd w:id="51"/>
    <w:bookmarkStart w:id="5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2">
        <w:r>
          <w:rPr>
            <w:rStyle w:val="Hyperlink"/>
          </w:rPr>
          <w:t xml:space="preserve">https://doi.org/10.18637/jss.v080.i01</w:t>
        </w:r>
      </w:hyperlink>
    </w:p>
    <w:bookmarkEnd w:id="53"/>
    <w:bookmarkStart w:id="5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4">
        <w:r>
          <w:rPr>
            <w:rStyle w:val="Hyperlink"/>
          </w:rPr>
          <w:t xml:space="preserve">https://doi.org/10.32614/RJ-2018-017</w:t>
        </w:r>
      </w:hyperlink>
    </w:p>
    <w:bookmarkEnd w:id="55"/>
    <w:bookmarkStart w:id="5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56"/>
    <w:bookmarkStart w:id="5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57"/>
    <w:bookmarkStart w:id="5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8">
        <w:r>
          <w:rPr>
            <w:rStyle w:val="Hyperlink"/>
          </w:rPr>
          <w:t xml:space="preserve">https://doi.org/10.3390/e19100555</w:t>
        </w:r>
      </w:hyperlink>
    </w:p>
    <w:bookmarkEnd w:id="59"/>
    <w:bookmarkStart w:id="60"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60"/>
    <w:bookmarkStart w:id="62"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bookmarkEnd w:id="62"/>
    <w:bookmarkStart w:id="63"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63"/>
    <w:bookmarkStart w:id="64"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64"/>
    <w:bookmarkEnd w:id="65"/>
    <w:bookmarkEnd w:id="66"/>
    <w:sectPr w:rsidR="00B50BAA" w:rsidRPr="00C67E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45">
    <w:p>
      <w:pPr>
        <w:pStyle w:val="FootnoteText"/>
      </w:pPr>
      <w:r>
        <w:rPr>
          <w:rStyle w:val="FootnoteReference"/>
        </w:rPr>
        <w:footnoteRef/>
      </w:r>
      <w:r>
        <w:t xml:space="preserve"> </w:t>
      </w:r>
      <w:r>
        <w:t xml:space="preserve">We utilize a ROPE of ± 1 for standardized values. For non-standardized values</w:t>
      </w:r>
      <w:r>
        <w:t xml:space="preserve"> </w:t>
      </w:r>
      <w:r>
        <w:t xml:space="preserve">Kruschke (2018)</w:t>
      </w:r>
      <w:r>
        <w:t xml:space="preserve"> </w:t>
      </w:r>
      <w:r>
        <w:t xml:space="preserve">recommends using the formula in (6.1)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8126D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744329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E265F"/>
    <w:pPr>
      <w:keepNext/>
      <w:keepLines/>
      <w:spacing w:after="180" w:before="180"/>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3045E"/>
    <w:pPr>
      <w:keepNext/>
      <w:keepLines/>
      <w:spacing w:after="180" w:before="180"/>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C57C38"/>
    <w:pPr>
      <w:keepNext/>
      <w:keepLines/>
      <w:spacing w:after="180" w:before="18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78130F"/>
    <w:pPr>
      <w:keepNext/>
      <w:keepLines/>
      <w:spacing w:after="0" w:before="18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F05247"/>
    <w:pPr>
      <w:spacing w:after="180" w:before="180"/>
    </w:pPr>
    <w:rPr>
      <w:rFonts w:ascii="Times New Roman" w:hAnsi="Times New Roman"/>
      <w:color w:themeColor="text1" w:val="000000"/>
    </w:rPr>
  </w:style>
  <w:style w:customStyle="1" w:styleId="FirstParagraph" w:type="paragraph">
    <w:name w:val="First Paragraph"/>
    <w:basedOn w:val="BodyText"/>
    <w:next w:val="BodyText"/>
    <w:qFormat/>
    <w:rsid w:val="00BE6144"/>
    <w:pPr>
      <w:spacing w:after="0" w:before="0"/>
    </w:pPr>
  </w:style>
  <w:style w:customStyle="1" w:styleId="Compact" w:type="paragraph">
    <w:name w:val="Compact"/>
    <w:basedOn w:val="BodyText"/>
    <w:qFormat/>
    <w:pPr>
      <w:spacing w:after="36" w:before="36"/>
    </w:pPr>
  </w:style>
  <w:style w:styleId="Title" w:type="paragraph">
    <w:name w:val="Title"/>
    <w:basedOn w:val="Normal"/>
    <w:next w:val="BodyText"/>
    <w:qFormat/>
    <w:rsid w:val="00EB4D3B"/>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rsid w:val="00310057"/>
    <w:pPr>
      <w:spacing w:before="240"/>
    </w:pPr>
    <w:rPr>
      <w:szCs w:val="30"/>
    </w:rPr>
  </w:style>
  <w:style w:customStyle="1" w:styleId="Author" w:type="paragraph">
    <w:name w:val="Author"/>
    <w:next w:val="BodyText"/>
    <w:qFormat/>
    <w:rsid w:val="007A36F8"/>
    <w:pPr>
      <w:keepNext/>
      <w:keepLines/>
      <w:jc w:val="center"/>
    </w:pPr>
    <w:rPr>
      <w:rFonts w:ascii="Times New Roman" w:hAnsi="Times New Roman"/>
    </w:rPr>
  </w:style>
  <w:style w:styleId="Date" w:type="paragraph">
    <w:name w:val="Date"/>
    <w:next w:val="BodyText"/>
    <w:qFormat/>
    <w:rsid w:val="007A36F8"/>
    <w:pPr>
      <w:keepNext/>
      <w:keepLines/>
      <w:jc w:val="center"/>
    </w:pPr>
    <w:rPr>
      <w:rFonts w:ascii="Times New Roman" w:hAnsi="Times New Roman"/>
    </w:rPr>
  </w:style>
  <w:style w:customStyle="1" w:styleId="Abstract" w:type="paragraph">
    <w:name w:val="Abstract"/>
    <w:basedOn w:val="Normal"/>
    <w:next w:val="BodyText"/>
    <w:qFormat/>
    <w:rsid w:val="002038B4"/>
    <w:pPr>
      <w:keepNext/>
      <w:keepLines/>
      <w:spacing w:after="300" w:before="300"/>
      <w:ind w:left="720" w:right="720"/>
      <w:jc w:val="both"/>
    </w:pPr>
    <w:rPr>
      <w:rFonts w:ascii="Times New Roman" w:hAnsi="Times New Roman"/>
      <w:sz w:val="22"/>
      <w:szCs w:val="20"/>
    </w:rPr>
  </w:style>
  <w:style w:styleId="Bibliography" w:type="paragraph">
    <w:name w:val="Bibliography"/>
    <w:basedOn w:val="Normal"/>
    <w:qFormat/>
    <w:rsid w:val="006A7535"/>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313A9B"/>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32" Target="media/rId32.pdf" /><Relationship Type="http://schemas.openxmlformats.org/officeDocument/2006/relationships/image" Id="rId28" Target="media/rId28.pdf" /><Relationship Type="http://schemas.openxmlformats.org/officeDocument/2006/relationships/image" Id="rId43" Target="media/rId43.pdf" /><Relationship Type="http://schemas.openxmlformats.org/officeDocument/2006/relationships/image" Id="rId29" Target="media/rId29.pdf"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Alexander Aldrich</dc:creator>
  <cp:keywords/>
  <dcterms:created xsi:type="dcterms:W3CDTF">2022-04-02T18:09:45Z</dcterms:created>
  <dcterms:modified xsi:type="dcterms:W3CDTF">2022-04-02T18:09:45Z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../../refs/apa-6th-edition.csl</vt:lpwstr>
  </property>
  <property fmtid="{D5CDD505-2E9C-101B-9397-08002B2CF9AE}" pid="4" name="indent">
    <vt:lpwstr>True</vt:lpwstr>
  </property>
  <property fmtid="{D5CDD505-2E9C-101B-9397-08002B2CF9AE}" pid="5" name="knit">
    <vt:lpwstr>(function(inputFile, encoding){ rmarkdown::render(inputFile, encoding = encoding, output_dir = “.”, output_format = “all”) })</vt:lpwstr>
  </property>
  <property fmtid="{D5CDD505-2E9C-101B-9397-08002B2CF9AE}" pid="6" name="output">
    <vt:lpwstr/>
  </property>
</Properties>
</file>